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CAD03CA">
      <w:pPr>
        <w:pStyle w:val="2"/>
        <w:pageBreakBefore w:val="0"/>
        <w:numPr>
          <w:numId w:val="0"/>
        </w:numPr>
        <w:kinsoku/>
        <w:wordWrap/>
        <w:topLinePunct w:val="0"/>
        <w:bidi w:val="0"/>
        <w:spacing w:line="520" w:lineRule="exact"/>
        <w:ind w:right="0" w:rightChars="0"/>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8"/>
          <w:szCs w:val="28"/>
          <w:highlight w:val="none"/>
          <w14:textFill>
            <w14:solidFill>
              <w14:schemeClr w14:val="tx1"/>
            </w14:solidFill>
          </w14:textFill>
        </w:rPr>
        <w:t>采购内容及要求</w:t>
      </w:r>
    </w:p>
    <w:p w14:paraId="5FB3C800">
      <w:pPr>
        <w:pStyle w:val="2"/>
        <w:pageBreakBefore w:val="0"/>
        <w:numPr>
          <w:ilvl w:val="0"/>
          <w:numId w:val="1"/>
        </w:numPr>
        <w:kinsoku/>
        <w:wordWrap/>
        <w:overflowPunct/>
        <w:topLinePunct w:val="0"/>
        <w:autoSpaceDE/>
        <w:autoSpaceDN/>
        <w:bidi w:val="0"/>
        <w:adjustRightInd/>
        <w:spacing w:before="100" w:beforeAutospacing="1" w:after="100" w:afterAutospacing="1" w:line="520" w:lineRule="exact"/>
        <w:ind w:firstLine="480" w:firstLineChars="200"/>
        <w:textAlignment w:val="auto"/>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项目概述</w:t>
      </w:r>
      <w:bookmarkStart w:id="0" w:name="_GoBack"/>
      <w:bookmarkEnd w:id="0"/>
    </w:p>
    <w:p w14:paraId="48AEFF7C">
      <w:pPr>
        <w:pageBreakBefore w:val="0"/>
        <w:kinsoku/>
        <w:wordWrap/>
        <w:overflowPunct/>
        <w:topLinePunct w:val="0"/>
        <w:autoSpaceDE/>
        <w:autoSpaceDN/>
        <w:bidi w:val="0"/>
        <w:adjustRightInd/>
        <w:snapToGrid w:val="0"/>
        <w:spacing w:line="520" w:lineRule="exact"/>
        <w:ind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本</w:t>
      </w:r>
      <w:r>
        <w:rPr>
          <w:rFonts w:hint="eastAsia" w:ascii="宋体" w:hAnsi="宋体" w:eastAsia="宋体" w:cs="宋体"/>
          <w:color w:val="000000" w:themeColor="text1"/>
          <w:sz w:val="24"/>
          <w:szCs w:val="24"/>
          <w:highlight w:val="none"/>
          <w:lang w:eastAsia="zh-CN"/>
          <w14:textFill>
            <w14:solidFill>
              <w14:schemeClr w14:val="tx1"/>
            </w14:solidFill>
          </w14:textFill>
        </w:rPr>
        <w:t>项目采购1批终端安全防护系统，具备终端杀毒、漏洞管理、终端管控等功能，保障局机关内网计算机安全可控，实现内网计算机安全统一监测、统一管控、风险闭环处置。</w:t>
      </w:r>
    </w:p>
    <w:p w14:paraId="016599A9">
      <w:pPr>
        <w:pStyle w:val="2"/>
        <w:pageBreakBefore w:val="0"/>
        <w:kinsoku/>
        <w:wordWrap/>
        <w:overflowPunct/>
        <w:topLinePunct w:val="0"/>
        <w:autoSpaceDE/>
        <w:autoSpaceDN/>
        <w:bidi w:val="0"/>
        <w:adjustRightInd/>
        <w:spacing w:before="100" w:beforeAutospacing="1" w:after="100" w:afterAutospacing="1" w:line="52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二、采购清单</w:t>
      </w:r>
    </w:p>
    <w:tbl>
      <w:tblPr>
        <w:tblStyle w:val="4"/>
        <w:tblW w:w="888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904"/>
        <w:gridCol w:w="2196"/>
        <w:gridCol w:w="1159"/>
        <w:gridCol w:w="1200"/>
        <w:gridCol w:w="3423"/>
      </w:tblGrid>
      <w:tr w14:paraId="4AFFAB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blHeader/>
        </w:trPr>
        <w:tc>
          <w:tcPr>
            <w:tcW w:w="904" w:type="dxa"/>
            <w:noWrap w:val="0"/>
            <w:vAlign w:val="center"/>
          </w:tcPr>
          <w:p w14:paraId="509937A6">
            <w:pPr>
              <w:pageBreakBefore w:val="0"/>
              <w:kinsoku/>
              <w:wordWrap/>
              <w:overflowPunct/>
              <w:topLinePunct w:val="0"/>
              <w:autoSpaceDE/>
              <w:autoSpaceDN/>
              <w:bidi w:val="0"/>
              <w:adjustRightInd/>
              <w:spacing w:line="520" w:lineRule="exact"/>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序号</w:t>
            </w:r>
          </w:p>
        </w:tc>
        <w:tc>
          <w:tcPr>
            <w:tcW w:w="2196" w:type="dxa"/>
            <w:noWrap w:val="0"/>
            <w:vAlign w:val="center"/>
          </w:tcPr>
          <w:p w14:paraId="1F31760B">
            <w:pPr>
              <w:pageBreakBefore w:val="0"/>
              <w:kinsoku/>
              <w:wordWrap/>
              <w:overflowPunct/>
              <w:topLinePunct w:val="0"/>
              <w:autoSpaceDE/>
              <w:autoSpaceDN/>
              <w:bidi w:val="0"/>
              <w:adjustRightInd/>
              <w:spacing w:line="520" w:lineRule="exact"/>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产品名称</w:t>
            </w:r>
          </w:p>
        </w:tc>
        <w:tc>
          <w:tcPr>
            <w:tcW w:w="1159" w:type="dxa"/>
            <w:noWrap w:val="0"/>
            <w:vAlign w:val="center"/>
          </w:tcPr>
          <w:p w14:paraId="4F88A940">
            <w:pPr>
              <w:pageBreakBefore w:val="0"/>
              <w:kinsoku/>
              <w:wordWrap/>
              <w:overflowPunct/>
              <w:topLinePunct w:val="0"/>
              <w:autoSpaceDE/>
              <w:autoSpaceDN/>
              <w:bidi w:val="0"/>
              <w:adjustRightInd/>
              <w:spacing w:line="520" w:lineRule="exact"/>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数量</w:t>
            </w:r>
          </w:p>
        </w:tc>
        <w:tc>
          <w:tcPr>
            <w:tcW w:w="1200" w:type="dxa"/>
            <w:noWrap w:val="0"/>
            <w:vAlign w:val="center"/>
          </w:tcPr>
          <w:p w14:paraId="38E69099">
            <w:pPr>
              <w:pageBreakBefore w:val="0"/>
              <w:kinsoku/>
              <w:wordWrap/>
              <w:overflowPunct/>
              <w:topLinePunct w:val="0"/>
              <w:autoSpaceDE/>
              <w:autoSpaceDN/>
              <w:bidi w:val="0"/>
              <w:adjustRightInd/>
              <w:spacing w:line="520" w:lineRule="exact"/>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单位</w:t>
            </w:r>
          </w:p>
        </w:tc>
        <w:tc>
          <w:tcPr>
            <w:tcW w:w="3423" w:type="dxa"/>
            <w:noWrap w:val="0"/>
            <w:vAlign w:val="center"/>
          </w:tcPr>
          <w:p w14:paraId="042D2933">
            <w:pPr>
              <w:pageBreakBefore w:val="0"/>
              <w:kinsoku/>
              <w:wordWrap/>
              <w:overflowPunct/>
              <w:topLinePunct w:val="0"/>
              <w:autoSpaceDE/>
              <w:autoSpaceDN/>
              <w:bidi w:val="0"/>
              <w:adjustRightInd/>
              <w:spacing w:line="520" w:lineRule="exact"/>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备注</w:t>
            </w:r>
          </w:p>
        </w:tc>
      </w:tr>
      <w:tr w14:paraId="3CABC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783" w:hRule="atLeast"/>
        </w:trPr>
        <w:tc>
          <w:tcPr>
            <w:tcW w:w="904" w:type="dxa"/>
            <w:noWrap w:val="0"/>
            <w:vAlign w:val="center"/>
          </w:tcPr>
          <w:p w14:paraId="51D9C5F2">
            <w:pPr>
              <w:pageBreakBefore w:val="0"/>
              <w:kinsoku/>
              <w:wordWrap/>
              <w:overflowPunct/>
              <w:topLinePunct w:val="0"/>
              <w:autoSpaceDE/>
              <w:autoSpaceDN/>
              <w:bidi w:val="0"/>
              <w:adjustRightInd/>
              <w:spacing w:line="52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2196" w:type="dxa"/>
            <w:noWrap w:val="0"/>
            <w:vAlign w:val="center"/>
          </w:tcPr>
          <w:p w14:paraId="08340DE0">
            <w:pPr>
              <w:pageBreakBefore w:val="0"/>
              <w:kinsoku/>
              <w:wordWrap/>
              <w:overflowPunct/>
              <w:topLinePunct w:val="0"/>
              <w:autoSpaceDE/>
              <w:autoSpaceDN/>
              <w:bidi w:val="0"/>
              <w:adjustRightInd/>
              <w:spacing w:line="52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终端安全防护系统</w:t>
            </w:r>
          </w:p>
        </w:tc>
        <w:tc>
          <w:tcPr>
            <w:tcW w:w="1159" w:type="dxa"/>
            <w:noWrap w:val="0"/>
            <w:vAlign w:val="center"/>
          </w:tcPr>
          <w:p w14:paraId="3B9BE3B5">
            <w:pPr>
              <w:pageBreakBefore w:val="0"/>
              <w:kinsoku/>
              <w:wordWrap/>
              <w:overflowPunct/>
              <w:topLinePunct w:val="0"/>
              <w:autoSpaceDE/>
              <w:autoSpaceDN/>
              <w:bidi w:val="0"/>
              <w:adjustRightInd/>
              <w:spacing w:line="52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1200" w:type="dxa"/>
            <w:noWrap w:val="0"/>
            <w:vAlign w:val="center"/>
          </w:tcPr>
          <w:p w14:paraId="3F357AB8">
            <w:pPr>
              <w:pageBreakBefore w:val="0"/>
              <w:kinsoku/>
              <w:wordWrap/>
              <w:overflowPunct/>
              <w:topLinePunct w:val="0"/>
              <w:autoSpaceDE/>
              <w:autoSpaceDN/>
              <w:bidi w:val="0"/>
              <w:adjustRightInd/>
              <w:spacing w:line="52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批</w:t>
            </w:r>
          </w:p>
        </w:tc>
        <w:tc>
          <w:tcPr>
            <w:tcW w:w="3423" w:type="dxa"/>
            <w:noWrap w:val="0"/>
            <w:vAlign w:val="center"/>
          </w:tcPr>
          <w:p w14:paraId="1DE7DBFE">
            <w:pPr>
              <w:pageBreakBefore w:val="0"/>
              <w:kinsoku/>
              <w:wordWrap/>
              <w:overflowPunct/>
              <w:topLinePunct w:val="0"/>
              <w:autoSpaceDE/>
              <w:autoSpaceDN/>
              <w:bidi w:val="0"/>
              <w:adjustRightInd/>
              <w:spacing w:line="52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软件，包含1套管理端</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200</w:t>
            </w:r>
            <w:r>
              <w:rPr>
                <w:rFonts w:hint="eastAsia" w:ascii="宋体" w:hAnsi="宋体" w:eastAsia="宋体" w:cs="宋体"/>
                <w:color w:val="000000" w:themeColor="text1"/>
                <w:sz w:val="24"/>
                <w:szCs w:val="24"/>
                <w:highlight w:val="none"/>
                <w:lang w:val="en-US" w:eastAsia="zh-CN"/>
                <w14:textFill>
                  <w14:solidFill>
                    <w14:schemeClr w14:val="tx1"/>
                  </w14:solidFill>
                </w14:textFill>
              </w:rPr>
              <w:t>个PC</w:t>
            </w:r>
            <w:r>
              <w:rPr>
                <w:rFonts w:hint="eastAsia" w:ascii="宋体" w:hAnsi="宋体" w:eastAsia="宋体" w:cs="宋体"/>
                <w:color w:val="000000" w:themeColor="text1"/>
                <w:sz w:val="24"/>
                <w:szCs w:val="24"/>
                <w:highlight w:val="none"/>
                <w14:textFill>
                  <w14:solidFill>
                    <w14:schemeClr w14:val="tx1"/>
                  </w14:solidFill>
                </w14:textFill>
              </w:rPr>
              <w:t>客户端</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60个服务器客户端</w:t>
            </w:r>
          </w:p>
        </w:tc>
      </w:tr>
    </w:tbl>
    <w:p w14:paraId="67A00A66">
      <w:pPr>
        <w:pStyle w:val="2"/>
        <w:pageBreakBefore w:val="0"/>
        <w:widowControl w:val="0"/>
        <w:kinsoku/>
        <w:wordWrap/>
        <w:overflowPunct/>
        <w:topLinePunct w:val="0"/>
        <w:autoSpaceDE/>
        <w:autoSpaceDN/>
        <w:bidi w:val="0"/>
        <w:adjustRightInd/>
        <w:snapToGrid/>
        <w:spacing w:before="100" w:beforeAutospacing="1" w:after="100" w:afterAutospacing="1" w:line="520" w:lineRule="exact"/>
        <w:ind w:firstLine="480" w:firstLineChars="200"/>
        <w:textAlignment w:val="auto"/>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三、技术要求</w:t>
      </w:r>
    </w:p>
    <w:p w14:paraId="0C868A76">
      <w:pPr>
        <w:pStyle w:val="3"/>
        <w:pageBreakBefore w:val="0"/>
        <w:widowControl w:val="0"/>
        <w:kinsoku/>
        <w:wordWrap/>
        <w:overflowPunct/>
        <w:topLinePunct w:val="0"/>
        <w:autoSpaceDE/>
        <w:autoSpaceDN/>
        <w:bidi w:val="0"/>
        <w:adjustRightInd/>
        <w:snapToGrid/>
        <w:spacing w:before="100" w:beforeAutospacing="1" w:after="100" w:afterAutospacing="1" w:line="520" w:lineRule="exact"/>
        <w:ind w:firstLine="480" w:firstLineChars="200"/>
        <w:textAlignment w:val="auto"/>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（1）总体要求</w:t>
      </w:r>
    </w:p>
    <w:p w14:paraId="3E927A41">
      <w:pPr>
        <w:pageBreakBefore w:val="0"/>
        <w:widowControl w:val="0"/>
        <w:numPr>
          <w:ilvl w:val="0"/>
          <w:numId w:val="0"/>
        </w:numPr>
        <w:kinsoku/>
        <w:wordWrap/>
        <w:overflowPunct/>
        <w:topLinePunct w:val="0"/>
        <w:autoSpaceDE/>
        <w:autoSpaceDN/>
        <w:bidi w:val="0"/>
        <w:adjustRightInd/>
        <w:snapToGrid/>
        <w:spacing w:after="120" w:line="520" w:lineRule="exact"/>
        <w:ind w:left="0" w:leftChars="0" w:firstLine="480" w:firstLineChars="200"/>
        <w:textAlignment w:val="auto"/>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1、信创适配要求：产品须符合信创相关标准要求，管理端及客户端均须支持在信创体系环境下正常部署与运行。</w:t>
      </w:r>
    </w:p>
    <w:p w14:paraId="620A3C6D">
      <w:pPr>
        <w:pageBreakBefore w:val="0"/>
        <w:numPr>
          <w:ilvl w:val="0"/>
          <w:numId w:val="0"/>
        </w:numPr>
        <w:kinsoku/>
        <w:wordWrap/>
        <w:overflowPunct/>
        <w:topLinePunct w:val="0"/>
        <w:autoSpaceDE/>
        <w:autoSpaceDN/>
        <w:bidi w:val="0"/>
        <w:adjustRightInd/>
        <w:spacing w:after="120" w:line="52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2、密</w:t>
      </w:r>
      <w:r>
        <w:rPr>
          <w:rFonts w:hint="eastAsia" w:ascii="宋体" w:hAnsi="宋体" w:eastAsia="宋体" w:cs="宋体"/>
          <w:color w:val="000000" w:themeColor="text1"/>
          <w:sz w:val="24"/>
          <w:szCs w:val="24"/>
          <w:highlight w:val="none"/>
          <w14:textFill>
            <w14:solidFill>
              <w14:schemeClr w14:val="tx1"/>
            </w14:solidFill>
          </w14:textFill>
        </w:rPr>
        <w:t>码与合规要求：本项目软件属于等保体系的组成部分，产品须支持国密算法</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SM2/SM3/SM4)</w:t>
      </w:r>
      <w:r>
        <w:rPr>
          <w:rFonts w:hint="eastAsia" w:ascii="宋体" w:hAnsi="宋体" w:eastAsia="宋体" w:cs="宋体"/>
          <w:color w:val="000000" w:themeColor="text1"/>
          <w:sz w:val="24"/>
          <w:szCs w:val="24"/>
          <w:highlight w:val="none"/>
          <w14:textFill>
            <w14:solidFill>
              <w14:schemeClr w14:val="tx1"/>
            </w14:solidFill>
          </w14:textFill>
        </w:rPr>
        <w:t>，实现管理端与客户端之间数据传输、存储及交互的全链路加密，相关安全机制须满足网络安全等级保护2.0三级要求。</w:t>
      </w:r>
    </w:p>
    <w:p w14:paraId="07BA8041">
      <w:pPr>
        <w:pageBreakBefore w:val="0"/>
        <w:numPr>
          <w:ilvl w:val="0"/>
          <w:numId w:val="0"/>
        </w:numPr>
        <w:kinsoku/>
        <w:wordWrap/>
        <w:overflowPunct/>
        <w:topLinePunct w:val="0"/>
        <w:autoSpaceDE/>
        <w:autoSpaceDN/>
        <w:bidi w:val="0"/>
        <w:adjustRightInd/>
        <w:spacing w:after="120" w:line="520" w:lineRule="exact"/>
        <w:ind w:left="0"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源适配要求：产品须适配采购人现有资源环境，具体要求如下：</w:t>
      </w:r>
    </w:p>
    <w:p w14:paraId="6BD28DBA">
      <w:pPr>
        <w:pageBreakBefore w:val="0"/>
        <w:numPr>
          <w:ilvl w:val="0"/>
          <w:numId w:val="0"/>
        </w:numPr>
        <w:kinsoku/>
        <w:wordWrap/>
        <w:overflowPunct/>
        <w:topLinePunct w:val="0"/>
        <w:autoSpaceDE/>
        <w:autoSpaceDN/>
        <w:bidi w:val="0"/>
        <w:adjustRightInd/>
        <w:spacing w:after="120" w:line="520" w:lineRule="exact"/>
        <w:ind w:leftChars="20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管理</w:t>
      </w:r>
      <w:r>
        <w:rPr>
          <w:rFonts w:hint="eastAsia" w:ascii="宋体" w:hAnsi="宋体" w:eastAsia="宋体" w:cs="宋体"/>
          <w:color w:val="000000" w:themeColor="text1"/>
          <w:sz w:val="24"/>
          <w:szCs w:val="24"/>
          <w:highlight w:val="none"/>
          <w14:textFill>
            <w14:solidFill>
              <w14:schemeClr w14:val="tx1"/>
            </w14:solidFill>
          </w14:textFill>
        </w:rPr>
        <w:t>端：软件仅需在</w:t>
      </w:r>
      <w:r>
        <w:rPr>
          <w:rFonts w:hint="eastAsia" w:ascii="宋体" w:hAnsi="宋体" w:eastAsia="宋体" w:cs="宋体"/>
          <w:color w:val="000000" w:themeColor="text1"/>
          <w:sz w:val="24"/>
          <w:szCs w:val="24"/>
          <w:highlight w:val="none"/>
          <w:lang w:val="en-US" w:eastAsia="zh-CN"/>
          <w14:textFill>
            <w14:solidFill>
              <w14:schemeClr w14:val="tx1"/>
            </w14:solidFill>
          </w14:textFill>
        </w:rPr>
        <w:t>甲方提供的</w:t>
      </w:r>
      <w:r>
        <w:rPr>
          <w:rFonts w:hint="eastAsia" w:ascii="宋体" w:hAnsi="宋体" w:eastAsia="宋体" w:cs="宋体"/>
          <w:color w:val="000000" w:themeColor="text1"/>
          <w:sz w:val="24"/>
          <w:szCs w:val="24"/>
          <w:highlight w:val="none"/>
          <w14:textFill>
            <w14:solidFill>
              <w14:schemeClr w14:val="tx1"/>
            </w14:solidFill>
          </w14:textFill>
        </w:rPr>
        <w:t>服务器操作系统上完成安装即可运行，不依赖采购人另行提供其他配套软件。</w:t>
      </w:r>
      <w:r>
        <w:rPr>
          <w:rFonts w:hint="eastAsia" w:ascii="宋体" w:hAnsi="宋体" w:eastAsia="宋体" w:cs="宋体"/>
          <w:color w:val="000000" w:themeColor="text1"/>
          <w:sz w:val="24"/>
          <w:szCs w:val="24"/>
          <w:highlight w:val="none"/>
          <w:lang w:val="en-US" w:eastAsia="zh-CN"/>
          <w14:textFill>
            <w14:solidFill>
              <w14:schemeClr w14:val="tx1"/>
            </w14:solidFill>
          </w14:textFill>
        </w:rPr>
        <w:t>部署服务器为ARM架构CPU，Kylin V10 Server SP3操作系统。</w:t>
      </w:r>
    </w:p>
    <w:p w14:paraId="3FAAC965">
      <w:pPr>
        <w:pageBreakBefore w:val="0"/>
        <w:numPr>
          <w:ilvl w:val="0"/>
          <w:numId w:val="0"/>
        </w:numPr>
        <w:kinsoku/>
        <w:wordWrap/>
        <w:overflowPunct/>
        <w:topLinePunct w:val="0"/>
        <w:autoSpaceDE/>
        <w:autoSpaceDN/>
        <w:bidi w:val="0"/>
        <w:adjustRightInd/>
        <w:spacing w:after="120" w:line="520" w:lineRule="exact"/>
        <w:ind w:leftChars="20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客户端</w:t>
      </w:r>
      <w:r>
        <w:rPr>
          <w:rFonts w:hint="eastAsia" w:ascii="宋体" w:hAnsi="宋体" w:eastAsia="宋体" w:cs="宋体"/>
          <w:color w:val="000000" w:themeColor="text1"/>
          <w:sz w:val="24"/>
          <w:szCs w:val="24"/>
          <w:highlight w:val="none"/>
          <w14:textFill>
            <w14:solidFill>
              <w14:schemeClr w14:val="tx1"/>
            </w14:solidFill>
          </w14:textFill>
        </w:rPr>
        <w:t>：须支持</w:t>
      </w:r>
      <w:r>
        <w:rPr>
          <w:rFonts w:hint="eastAsia" w:ascii="宋体" w:hAnsi="宋体" w:eastAsia="宋体" w:cs="宋体"/>
          <w:color w:val="000000" w:themeColor="text1"/>
          <w:sz w:val="24"/>
          <w:szCs w:val="24"/>
          <w:highlight w:val="none"/>
          <w:lang w:val="en-US" w:eastAsia="zh-CN"/>
          <w14:textFill>
            <w14:solidFill>
              <w14:schemeClr w14:val="tx1"/>
            </w14:solidFill>
          </w14:textFill>
        </w:rPr>
        <w:t>在不同的CPU架构和操作系统</w:t>
      </w:r>
      <w:r>
        <w:rPr>
          <w:rFonts w:hint="eastAsia" w:ascii="宋体" w:hAnsi="宋体" w:eastAsia="宋体" w:cs="宋体"/>
          <w:color w:val="000000" w:themeColor="text1"/>
          <w:sz w:val="24"/>
          <w:szCs w:val="24"/>
          <w:highlight w:val="none"/>
          <w14:textFill>
            <w14:solidFill>
              <w14:schemeClr w14:val="tx1"/>
            </w14:solidFill>
          </w14:textFill>
        </w:rPr>
        <w:t>上部署，并支持由同一管理端对安装在不同操作系统上的客户端进行统一管理。</w:t>
      </w:r>
      <w:r>
        <w:rPr>
          <w:rFonts w:hint="eastAsia" w:ascii="宋体" w:hAnsi="宋体" w:eastAsia="宋体" w:cs="宋体"/>
          <w:color w:val="000000" w:themeColor="text1"/>
          <w:sz w:val="24"/>
          <w:szCs w:val="24"/>
          <w:highlight w:val="none"/>
          <w:lang w:val="en-US" w:eastAsia="zh-CN"/>
          <w14:textFill>
            <w14:solidFill>
              <w14:schemeClr w14:val="tx1"/>
            </w14:solidFill>
          </w14:textFill>
        </w:rPr>
        <w:t>操作系统包含统信、银河麒麟、Windows、OpenEuler所有版本，CPU包含X86、ARM、RISC-V、LoongArch等架构。（提供承诺函）</w:t>
      </w:r>
    </w:p>
    <w:p w14:paraId="2A9AC1E5">
      <w:pPr>
        <w:pageBreakBefore w:val="0"/>
        <w:numPr>
          <w:ilvl w:val="0"/>
          <w:numId w:val="0"/>
        </w:numPr>
        <w:kinsoku/>
        <w:wordWrap/>
        <w:overflowPunct/>
        <w:topLinePunct w:val="0"/>
        <w:autoSpaceDE/>
        <w:autoSpaceDN/>
        <w:bidi w:val="0"/>
        <w:adjustRightInd/>
        <w:spacing w:after="120" w:line="520" w:lineRule="exact"/>
        <w:ind w:leftChars="20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授权要求：提供服务端管理平台1套，客户端授权</w:t>
      </w:r>
      <w:r>
        <w:rPr>
          <w:rFonts w:hint="eastAsia" w:ascii="宋体" w:hAnsi="宋体" w:eastAsia="宋体" w:cs="宋体"/>
          <w:color w:val="000000" w:themeColor="text1"/>
          <w:sz w:val="24"/>
          <w:szCs w:val="24"/>
          <w:highlight w:val="none"/>
          <w:lang w:val="en-US" w:eastAsia="zh-CN"/>
          <w14:textFill>
            <w14:solidFill>
              <w14:schemeClr w14:val="tx1"/>
            </w14:solidFill>
          </w14:textFill>
        </w:rPr>
        <w:t>包括：PC客户端</w:t>
      </w:r>
      <w:r>
        <w:rPr>
          <w:rFonts w:hint="eastAsia" w:ascii="宋体" w:hAnsi="宋体" w:eastAsia="宋体" w:cs="宋体"/>
          <w:color w:val="000000" w:themeColor="text1"/>
          <w:sz w:val="24"/>
          <w:szCs w:val="24"/>
          <w:highlight w:val="none"/>
          <w14:textFill>
            <w14:solidFill>
              <w14:schemeClr w14:val="tx1"/>
            </w14:solidFill>
          </w14:textFill>
        </w:rPr>
        <w:t>200</w:t>
      </w:r>
      <w:r>
        <w:rPr>
          <w:rFonts w:hint="eastAsia" w:ascii="宋体" w:hAnsi="宋体" w:eastAsia="宋体" w:cs="宋体"/>
          <w:color w:val="000000" w:themeColor="text1"/>
          <w:sz w:val="24"/>
          <w:szCs w:val="24"/>
          <w:highlight w:val="none"/>
          <w:lang w:val="en-US" w:eastAsia="zh-CN"/>
          <w14:textFill>
            <w14:solidFill>
              <w14:schemeClr w14:val="tx1"/>
            </w14:solidFill>
          </w14:textFill>
        </w:rPr>
        <w:t>个</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服务器客户端60个</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02FB889">
      <w:pPr>
        <w:keepNext w:val="0"/>
        <w:keepLines w:val="0"/>
        <w:pageBreakBefore w:val="0"/>
        <w:widowControl/>
        <w:numPr>
          <w:ilvl w:val="0"/>
          <w:numId w:val="0"/>
        </w:numPr>
        <w:kinsoku/>
        <w:wordWrap/>
        <w:overflowPunct/>
        <w:topLinePunct w:val="0"/>
        <w:autoSpaceDE/>
        <w:autoSpaceDN/>
        <w:bidi w:val="0"/>
        <w:adjustRightInd/>
        <w:snapToGrid/>
        <w:spacing w:after="120" w:line="520" w:lineRule="exact"/>
        <w:ind w:leftChars="0" w:firstLine="480" w:firstLineChars="200"/>
        <w:textAlignment w:val="auto"/>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lang w:val="en-US"/>
          <w14:textFill>
            <w14:solidFill>
              <w14:schemeClr w14:val="tx1"/>
            </w14:solidFill>
          </w14:textFill>
        </w:rPr>
        <w:t>4、服务期内，因终端或服务器端操作系统变更，供应商应提供现场实施服务，完成新操作系统环境下客户端的重新安装、适配调试与安全策略迁移，保证终端与服务器持续处于受控防护状态。该服务不另行计费。</w:t>
      </w:r>
      <w:r>
        <w:rPr>
          <w:rFonts w:hint="eastAsia" w:ascii="宋体" w:hAnsi="宋体" w:eastAsia="宋体" w:cs="宋体"/>
          <w:color w:val="000000" w:themeColor="text1"/>
          <w:sz w:val="24"/>
          <w:szCs w:val="24"/>
          <w:highlight w:val="none"/>
          <w:lang w:val="en-US" w:eastAsia="zh-CN"/>
          <w14:textFill>
            <w14:solidFill>
              <w14:schemeClr w14:val="tx1"/>
            </w14:solidFill>
          </w14:textFill>
        </w:rPr>
        <w:t>（提供承诺函）</w:t>
      </w:r>
    </w:p>
    <w:p w14:paraId="10802754">
      <w:pPr>
        <w:pStyle w:val="3"/>
        <w:pageBreakBefore w:val="0"/>
        <w:kinsoku/>
        <w:wordWrap/>
        <w:overflowPunct/>
        <w:topLinePunct w:val="0"/>
        <w:autoSpaceDE/>
        <w:autoSpaceDN/>
        <w:bidi w:val="0"/>
        <w:adjustRightInd/>
        <w:spacing w:before="100" w:beforeAutospacing="1" w:after="100" w:afterAutospacing="1" w:line="520" w:lineRule="exact"/>
        <w:ind w:firstLine="482"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（2）功能要求</w:t>
      </w:r>
    </w:p>
    <w:p w14:paraId="0E10A354">
      <w:pPr>
        <w:pageBreakBefore w:val="0"/>
        <w:kinsoku/>
        <w:wordWrap/>
        <w:overflowPunct/>
        <w:topLinePunct w:val="0"/>
        <w:autoSpaceDE/>
        <w:autoSpaceDN/>
        <w:bidi w:val="0"/>
        <w:adjustRightInd/>
        <w:spacing w:after="120" w:line="520" w:lineRule="exact"/>
        <w:ind w:left="239" w:leftChars="114"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产品须支持通过管理控制中心对内网终端进行集中管理，实现终端杀毒、漏洞管理、终端管控等功能。具体功能要求如下：</w:t>
      </w:r>
    </w:p>
    <w:p w14:paraId="00D7B299">
      <w:pPr>
        <w:pageBreakBefore w:val="0"/>
        <w:numPr>
          <w:ilvl w:val="0"/>
          <w:numId w:val="0"/>
        </w:numPr>
        <w:kinsoku/>
        <w:wordWrap/>
        <w:overflowPunct/>
        <w:topLinePunct w:val="0"/>
        <w:autoSpaceDE/>
        <w:autoSpaceDN/>
        <w:bidi w:val="0"/>
        <w:adjustRightInd/>
        <w:spacing w:after="120" w:line="520" w:lineRule="exact"/>
        <w:ind w:left="425"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kern w:val="2"/>
          <w:sz w:val="24"/>
          <w:szCs w:val="24"/>
          <w:lang w:val="en-US" w:eastAsia="zh-CN" w:bidi="ar-SA"/>
          <w14:textFill>
            <w14:solidFill>
              <w14:schemeClr w14:val="tx1"/>
            </w14:solidFill>
          </w14:textFill>
        </w:rPr>
        <w:t>1.</w:t>
      </w:r>
      <w:r>
        <w:rPr>
          <w:rFonts w:hint="eastAsia" w:ascii="宋体" w:hAnsi="宋体" w:eastAsia="宋体" w:cs="宋体"/>
          <w:color w:val="000000" w:themeColor="text1"/>
          <w:sz w:val="24"/>
          <w:szCs w:val="24"/>
          <w:highlight w:val="none"/>
          <w14:textFill>
            <w14:solidFill>
              <w14:schemeClr w14:val="tx1"/>
            </w14:solidFill>
          </w14:textFill>
        </w:rPr>
        <w:t>可视化展示：具备多维度态势大屏展示能力，至少包括资产态势、运维态势、威胁态势、数据安全态势等视图；展示内容至少包括威胁告警统计、攻击阶段统计、威胁等级统计、漏洞信息Top5、终端威胁告警Top5、敏感信息Top5、敏感终端Top5、最新告警事件、威胁态势评分等信息。</w:t>
      </w:r>
    </w:p>
    <w:p w14:paraId="0ADB2A3F">
      <w:pPr>
        <w:pageBreakBefore w:val="0"/>
        <w:numPr>
          <w:ilvl w:val="0"/>
          <w:numId w:val="0"/>
        </w:numPr>
        <w:kinsoku/>
        <w:wordWrap/>
        <w:overflowPunct/>
        <w:topLinePunct w:val="0"/>
        <w:autoSpaceDE/>
        <w:autoSpaceDN/>
        <w:bidi w:val="0"/>
        <w:adjustRightInd/>
        <w:spacing w:after="120" w:line="520" w:lineRule="exact"/>
        <w:ind w:left="425"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kern w:val="2"/>
          <w:sz w:val="24"/>
          <w:szCs w:val="24"/>
          <w:lang w:val="en-US" w:eastAsia="zh-CN" w:bidi="ar-SA"/>
          <w14:textFill>
            <w14:solidFill>
              <w14:schemeClr w14:val="tx1"/>
            </w14:solidFill>
          </w14:textFill>
        </w:rPr>
        <w:t>2.</w:t>
      </w:r>
      <w:r>
        <w:rPr>
          <w:rFonts w:hint="eastAsia" w:ascii="宋体" w:hAnsi="宋体" w:eastAsia="宋体" w:cs="宋体"/>
          <w:color w:val="000000" w:themeColor="text1"/>
          <w:sz w:val="24"/>
          <w:szCs w:val="24"/>
          <w:highlight w:val="none"/>
          <w14:textFill>
            <w14:solidFill>
              <w14:schemeClr w14:val="tx1"/>
            </w14:solidFill>
          </w14:textFill>
        </w:rPr>
        <w:t>▲病毒查杀：具备病毒查杀能力，支持闪电查杀、全盘查杀、自定义查杀等任务类型；支持自定义查杀效率、查杀位置、查杀引擎、扫描文件类型与大小阈值、压缩包配置等参数；病毒处置方式至少支持自动隔离、终端使用者自行处理、仅记录、删除等；支持直观展示已处理与未处理的病毒数量，展示内容至少包括全病毒、勒索病毒、挖矿病毒、蠕虫病毒的分类统计。</w:t>
      </w:r>
      <w:r>
        <w:rPr>
          <w:rFonts w:hint="eastAsia" w:ascii="宋体" w:hAnsi="宋体" w:eastAsia="宋体" w:cs="宋体"/>
          <w:strike w:val="0"/>
          <w:color w:val="000000" w:themeColor="text1"/>
          <w:sz w:val="24"/>
          <w:szCs w:val="24"/>
          <w:highlight w:val="none"/>
          <w14:textFill>
            <w14:solidFill>
              <w14:schemeClr w14:val="tx1"/>
            </w14:solidFill>
          </w14:textFill>
        </w:rPr>
        <w:t>（需提供产品截图证明）</w:t>
      </w:r>
    </w:p>
    <w:p w14:paraId="63DF6344">
      <w:pPr>
        <w:pageBreakBefore w:val="0"/>
        <w:numPr>
          <w:ilvl w:val="0"/>
          <w:numId w:val="0"/>
        </w:numPr>
        <w:kinsoku/>
        <w:wordWrap/>
        <w:overflowPunct/>
        <w:topLinePunct w:val="0"/>
        <w:autoSpaceDE/>
        <w:autoSpaceDN/>
        <w:bidi w:val="0"/>
        <w:adjustRightInd/>
        <w:spacing w:after="120" w:line="520" w:lineRule="exact"/>
        <w:ind w:left="425" w:leftChars="0"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kern w:val="2"/>
          <w:sz w:val="24"/>
          <w:szCs w:val="24"/>
          <w:lang w:val="en-US" w:eastAsia="zh-CN" w:bidi="ar-SA"/>
          <w14:textFill>
            <w14:solidFill>
              <w14:schemeClr w14:val="tx1"/>
            </w14:solidFill>
          </w14:textFill>
        </w:rPr>
        <w:t>3.</w:t>
      </w:r>
      <w:r>
        <w:rPr>
          <w:rFonts w:hint="eastAsia" w:ascii="宋体" w:hAnsi="宋体" w:eastAsia="宋体" w:cs="宋体"/>
          <w:color w:val="000000" w:themeColor="text1"/>
          <w:sz w:val="24"/>
          <w:szCs w:val="24"/>
          <w:highlight w:val="none"/>
          <w14:textFill>
            <w14:solidFill>
              <w14:schemeClr w14:val="tx1"/>
            </w14:solidFill>
          </w14:textFill>
        </w:rPr>
        <w:t>▲漏洞风险管理：具备漏洞检查、补丁检测、漏洞修复、弱密码检查、暴露面管理等能力。</w:t>
      </w:r>
    </w:p>
    <w:p w14:paraId="7A6F0986">
      <w:pPr>
        <w:pageBreakBefore w:val="0"/>
        <w:widowControl/>
        <w:numPr>
          <w:ilvl w:val="0"/>
          <w:numId w:val="0"/>
        </w:numPr>
        <w:kinsoku/>
        <w:wordWrap/>
        <w:overflowPunct/>
        <w:topLinePunct w:val="0"/>
        <w:autoSpaceDE/>
        <w:autoSpaceDN/>
        <w:bidi w:val="0"/>
        <w:adjustRightInd/>
        <w:snapToGrid/>
        <w:spacing w:after="120" w:line="520" w:lineRule="exact"/>
        <w:ind w:left="0" w:leftChars="0" w:right="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3.1 </w:t>
      </w:r>
      <w:r>
        <w:rPr>
          <w:rFonts w:hint="eastAsia" w:ascii="宋体" w:hAnsi="宋体" w:eastAsia="宋体" w:cs="宋体"/>
          <w:color w:val="000000" w:themeColor="text1"/>
          <w:sz w:val="24"/>
          <w:szCs w:val="24"/>
          <w:highlight w:val="none"/>
          <w14:textFill>
            <w14:solidFill>
              <w14:schemeClr w14:val="tx1"/>
            </w14:solidFill>
          </w14:textFill>
        </w:rPr>
        <w:t>漏洞检查：支持系统漏洞、应用漏洞、中间件漏洞、数据库漏洞等类型检测，支持基于官方漏洞库的版本比对、POC验证等多维扫描方式；提供漏洞态势展示与多视角漏洞分析，并输出修复建议。</w:t>
      </w:r>
    </w:p>
    <w:p w14:paraId="56D005F7">
      <w:pPr>
        <w:pageBreakBefore w:val="0"/>
        <w:widowControl/>
        <w:numPr>
          <w:ilvl w:val="0"/>
          <w:numId w:val="0"/>
        </w:numPr>
        <w:kinsoku/>
        <w:wordWrap/>
        <w:overflowPunct/>
        <w:topLinePunct w:val="0"/>
        <w:autoSpaceDE/>
        <w:autoSpaceDN/>
        <w:bidi w:val="0"/>
        <w:adjustRightInd/>
        <w:snapToGrid/>
        <w:spacing w:after="120" w:line="520" w:lineRule="exact"/>
        <w:ind w:left="0" w:leftChars="0" w:right="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3.2 </w:t>
      </w:r>
      <w:r>
        <w:rPr>
          <w:rFonts w:hint="eastAsia" w:ascii="宋体" w:hAnsi="宋体" w:eastAsia="宋体" w:cs="宋体"/>
          <w:color w:val="000000" w:themeColor="text1"/>
          <w:sz w:val="24"/>
          <w:szCs w:val="24"/>
          <w:highlight w:val="none"/>
          <w14:textFill>
            <w14:solidFill>
              <w14:schemeClr w14:val="tx1"/>
            </w14:solidFill>
          </w14:textFill>
        </w:rPr>
        <w:t>补丁检测：支持</w:t>
      </w:r>
      <w:r>
        <w:rPr>
          <w:rFonts w:hint="eastAsia" w:ascii="宋体" w:hAnsi="宋体" w:eastAsia="宋体" w:cs="宋体"/>
          <w:color w:val="000000" w:themeColor="text1"/>
          <w:sz w:val="24"/>
          <w:szCs w:val="24"/>
          <w:highlight w:val="none"/>
          <w:lang w:val="en-US" w:eastAsia="zh-CN"/>
          <w14:textFill>
            <w14:solidFill>
              <w14:schemeClr w14:val="tx1"/>
            </w14:solidFill>
          </w14:textFill>
        </w:rPr>
        <w:t>终端</w:t>
      </w:r>
      <w:r>
        <w:rPr>
          <w:rFonts w:hint="eastAsia" w:ascii="宋体" w:hAnsi="宋体" w:eastAsia="宋体" w:cs="宋体"/>
          <w:color w:val="000000" w:themeColor="text1"/>
          <w:sz w:val="24"/>
          <w:szCs w:val="24"/>
          <w:highlight w:val="none"/>
          <w14:textFill>
            <w14:solidFill>
              <w14:schemeClr w14:val="tx1"/>
            </w14:solidFill>
          </w14:textFill>
        </w:rPr>
        <w:t>补丁检测，提供已安装、未安装及补丁总数统计结果，支持补丁信息展示与漏洞关联。</w:t>
      </w:r>
    </w:p>
    <w:p w14:paraId="12ACD1AF">
      <w:pPr>
        <w:pageBreakBefore w:val="0"/>
        <w:widowControl/>
        <w:numPr>
          <w:ilvl w:val="0"/>
          <w:numId w:val="0"/>
        </w:numPr>
        <w:kinsoku/>
        <w:wordWrap/>
        <w:overflowPunct/>
        <w:topLinePunct w:val="0"/>
        <w:autoSpaceDE/>
        <w:autoSpaceDN/>
        <w:bidi w:val="0"/>
        <w:adjustRightInd/>
        <w:snapToGrid/>
        <w:spacing w:after="120" w:line="520" w:lineRule="exact"/>
        <w:ind w:left="0" w:leftChars="0" w:right="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3.3 </w:t>
      </w:r>
      <w:r>
        <w:rPr>
          <w:rFonts w:hint="eastAsia" w:ascii="宋体" w:hAnsi="宋体" w:eastAsia="宋体" w:cs="宋体"/>
          <w:color w:val="000000" w:themeColor="text1"/>
          <w:sz w:val="24"/>
          <w:szCs w:val="24"/>
          <w:highlight w:val="none"/>
          <w14:textFill>
            <w14:solidFill>
              <w14:schemeClr w14:val="tx1"/>
            </w14:solidFill>
          </w14:textFill>
        </w:rPr>
        <w:t>漏洞修复：支持资产视角与漏洞视角双维度展示漏洞分布，支持补丁库上传后执行漏洞修复，支持对检出漏洞执行修复、处置、忽略等闭环操作。</w:t>
      </w:r>
    </w:p>
    <w:p w14:paraId="3C8B93CC">
      <w:pPr>
        <w:pageBreakBefore w:val="0"/>
        <w:numPr>
          <w:ilvl w:val="0"/>
          <w:numId w:val="0"/>
        </w:numPr>
        <w:kinsoku/>
        <w:wordWrap/>
        <w:overflowPunct/>
        <w:topLinePunct w:val="0"/>
        <w:autoSpaceDE/>
        <w:autoSpaceDN/>
        <w:bidi w:val="0"/>
        <w:adjustRightInd/>
        <w:spacing w:after="120" w:line="52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kern w:val="2"/>
          <w:sz w:val="24"/>
          <w:szCs w:val="24"/>
          <w:lang w:val="en-US" w:eastAsia="zh-CN" w:bidi="ar-SA"/>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弱密码检查：支持系统弱密码与应用弱密码检查，内置弱密码库，支持按需配置弱密码规则生成弱密码字典。</w:t>
      </w:r>
    </w:p>
    <w:p w14:paraId="08B8EB29">
      <w:pPr>
        <w:pageBreakBefore w:val="0"/>
        <w:numPr>
          <w:ilvl w:val="0"/>
          <w:numId w:val="0"/>
        </w:numPr>
        <w:kinsoku/>
        <w:wordWrap/>
        <w:overflowPunct/>
        <w:topLinePunct w:val="0"/>
        <w:autoSpaceDE/>
        <w:autoSpaceDN/>
        <w:bidi w:val="0"/>
        <w:adjustRightInd/>
        <w:spacing w:after="120" w:line="52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kern w:val="2"/>
          <w:sz w:val="24"/>
          <w:szCs w:val="24"/>
          <w:lang w:val="en-US" w:eastAsia="zh-CN" w:bidi="ar-SA"/>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暴露面管理：支持对全网资产进行网络暴露面检测，判定暴露范围，并支持根据检测结果引导开展暴露面收敛。</w:t>
      </w:r>
    </w:p>
    <w:p w14:paraId="41D95489">
      <w:pPr>
        <w:pageBreakBefore w:val="0"/>
        <w:numPr>
          <w:ilvl w:val="0"/>
          <w:numId w:val="0"/>
        </w:numPr>
        <w:kinsoku/>
        <w:wordWrap/>
        <w:overflowPunct/>
        <w:topLinePunct w:val="0"/>
        <w:autoSpaceDE/>
        <w:autoSpaceDN/>
        <w:bidi w:val="0"/>
        <w:adjustRightInd/>
        <w:spacing w:after="120" w:line="52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kern w:val="2"/>
          <w:sz w:val="24"/>
          <w:szCs w:val="24"/>
          <w:lang w:val="en-US" w:eastAsia="zh-CN" w:bidi="ar-SA"/>
          <w14:textFill>
            <w14:solidFill>
              <w14:schemeClr w14:val="tx1"/>
            </w14:solidFill>
          </w14:textFill>
        </w:rPr>
        <w:t>6.</w:t>
      </w:r>
      <w:r>
        <w:rPr>
          <w:rFonts w:hint="eastAsia" w:ascii="宋体" w:hAnsi="宋体" w:eastAsia="宋体" w:cs="宋体"/>
          <w:color w:val="000000" w:themeColor="text1"/>
          <w:sz w:val="24"/>
          <w:szCs w:val="24"/>
          <w:highlight w:val="none"/>
          <w14:textFill>
            <w14:solidFill>
              <w14:schemeClr w14:val="tx1"/>
            </w14:solidFill>
          </w14:textFill>
        </w:rPr>
        <w:t>终端运维：具备资产运维、资产发现、资产清点、资产监控、外设管控、任务分发、消息分发、组织管理等能力。</w:t>
      </w:r>
    </w:p>
    <w:p w14:paraId="3AD4769E">
      <w:pPr>
        <w:pageBreakBefore w:val="0"/>
        <w:widowControl/>
        <w:numPr>
          <w:ilvl w:val="0"/>
          <w:numId w:val="0"/>
        </w:numPr>
        <w:kinsoku/>
        <w:wordWrap/>
        <w:overflowPunct/>
        <w:topLinePunct w:val="0"/>
        <w:autoSpaceDE/>
        <w:autoSpaceDN/>
        <w:bidi w:val="0"/>
        <w:adjustRightInd/>
        <w:snapToGrid/>
        <w:spacing w:after="120" w:line="520" w:lineRule="exact"/>
        <w:ind w:left="0" w:leftChars="0" w:right="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6.1</w:t>
      </w:r>
      <w:r>
        <w:rPr>
          <w:rFonts w:hint="eastAsia" w:ascii="宋体" w:hAnsi="宋体" w:eastAsia="宋体" w:cs="宋体"/>
          <w:color w:val="000000" w:themeColor="text1"/>
          <w:sz w:val="24"/>
          <w:szCs w:val="24"/>
          <w:highlight w:val="none"/>
          <w14:textFill>
            <w14:solidFill>
              <w14:schemeClr w14:val="tx1"/>
            </w14:solidFill>
          </w14:textFill>
        </w:rPr>
        <w:t>资产运维：支持对终端资产执行关闭、重启、锁屏、结束进程、断开网络、远程协助等操作。</w:t>
      </w:r>
    </w:p>
    <w:p w14:paraId="33410773">
      <w:pPr>
        <w:pageBreakBefore w:val="0"/>
        <w:widowControl/>
        <w:numPr>
          <w:ilvl w:val="0"/>
          <w:numId w:val="0"/>
        </w:numPr>
        <w:kinsoku/>
        <w:wordWrap/>
        <w:overflowPunct/>
        <w:topLinePunct w:val="0"/>
        <w:autoSpaceDE/>
        <w:autoSpaceDN/>
        <w:bidi w:val="0"/>
        <w:adjustRightInd/>
        <w:snapToGrid/>
        <w:spacing w:after="120" w:line="520" w:lineRule="exact"/>
        <w:ind w:left="0" w:leftChars="0" w:right="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6.2</w:t>
      </w:r>
      <w:r>
        <w:rPr>
          <w:rFonts w:hint="eastAsia" w:ascii="宋体" w:hAnsi="宋体" w:eastAsia="宋体" w:cs="宋体"/>
          <w:color w:val="000000" w:themeColor="text1"/>
          <w:sz w:val="24"/>
          <w:szCs w:val="24"/>
          <w:highlight w:val="none"/>
          <w14:textFill>
            <w14:solidFill>
              <w14:schemeClr w14:val="tx1"/>
            </w14:solidFill>
          </w14:textFill>
        </w:rPr>
        <w:t>资产发现：支持通过ARP、PING、NMAP等方式探测非法接入终端，发现未安装客户端的终端资产。</w:t>
      </w:r>
    </w:p>
    <w:p w14:paraId="2106A994">
      <w:pPr>
        <w:pageBreakBefore w:val="0"/>
        <w:widowControl/>
        <w:numPr>
          <w:ilvl w:val="0"/>
          <w:numId w:val="0"/>
        </w:numPr>
        <w:kinsoku/>
        <w:wordWrap/>
        <w:overflowPunct/>
        <w:topLinePunct w:val="0"/>
        <w:autoSpaceDE/>
        <w:autoSpaceDN/>
        <w:bidi w:val="0"/>
        <w:adjustRightInd/>
        <w:snapToGrid/>
        <w:spacing w:after="120" w:line="520" w:lineRule="exact"/>
        <w:ind w:left="0" w:leftChars="0" w:right="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6.3 </w:t>
      </w:r>
      <w:r>
        <w:rPr>
          <w:rFonts w:hint="eastAsia" w:ascii="宋体" w:hAnsi="宋体" w:eastAsia="宋体" w:cs="宋体"/>
          <w:color w:val="000000" w:themeColor="text1"/>
          <w:sz w:val="24"/>
          <w:szCs w:val="24"/>
          <w:highlight w:val="none"/>
          <w14:textFill>
            <w14:solidFill>
              <w14:schemeClr w14:val="tx1"/>
            </w14:solidFill>
          </w14:textFill>
        </w:rPr>
        <w:t>资产清点：支持以列表形式展示全网终端资产信息，至少包括操作系统、终端账号、软件、监听端口、运行进程、运行服务、网络连接、自启动项、计划任务、共享目录等。</w:t>
      </w:r>
    </w:p>
    <w:p w14:paraId="44EF43EC">
      <w:pPr>
        <w:pageBreakBefore w:val="0"/>
        <w:widowControl/>
        <w:numPr>
          <w:ilvl w:val="0"/>
          <w:numId w:val="0"/>
        </w:numPr>
        <w:kinsoku/>
        <w:wordWrap/>
        <w:overflowPunct/>
        <w:topLinePunct w:val="0"/>
        <w:autoSpaceDE/>
        <w:autoSpaceDN/>
        <w:bidi w:val="0"/>
        <w:adjustRightInd/>
        <w:snapToGrid/>
        <w:spacing w:after="120" w:line="520" w:lineRule="exact"/>
        <w:ind w:left="0" w:leftChars="0" w:right="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6.4 </w:t>
      </w:r>
      <w:r>
        <w:rPr>
          <w:rFonts w:hint="eastAsia" w:ascii="宋体" w:hAnsi="宋体" w:eastAsia="宋体" w:cs="宋体"/>
          <w:color w:val="000000" w:themeColor="text1"/>
          <w:sz w:val="24"/>
          <w:szCs w:val="24"/>
          <w:highlight w:val="none"/>
          <w14:textFill>
            <w14:solidFill>
              <w14:schemeClr w14:val="tx1"/>
            </w14:solidFill>
          </w14:textFill>
        </w:rPr>
        <w:t>资产监控：支持终端运行状态监控，支持配置CPU使用率、内存使用率阈值，超过阈值持续时间后执行客户端休眠或进程重启等处置。</w:t>
      </w:r>
    </w:p>
    <w:p w14:paraId="51FEA756">
      <w:pPr>
        <w:pageBreakBefore w:val="0"/>
        <w:widowControl/>
        <w:numPr>
          <w:ilvl w:val="0"/>
          <w:numId w:val="0"/>
        </w:numPr>
        <w:kinsoku/>
        <w:wordWrap/>
        <w:overflowPunct/>
        <w:topLinePunct w:val="0"/>
        <w:autoSpaceDE/>
        <w:autoSpaceDN/>
        <w:bidi w:val="0"/>
        <w:adjustRightInd/>
        <w:snapToGrid/>
        <w:spacing w:after="120" w:line="520" w:lineRule="exact"/>
        <w:ind w:left="0" w:leftChars="0" w:right="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6.5 </w:t>
      </w:r>
      <w:r>
        <w:rPr>
          <w:rFonts w:hint="eastAsia" w:ascii="宋体" w:hAnsi="宋体" w:eastAsia="宋体" w:cs="宋体"/>
          <w:color w:val="000000" w:themeColor="text1"/>
          <w:sz w:val="24"/>
          <w:szCs w:val="24"/>
          <w:highlight w:val="none"/>
          <w14:textFill>
            <w14:solidFill>
              <w14:schemeClr w14:val="tx1"/>
            </w14:solidFill>
          </w14:textFill>
        </w:rPr>
        <w:t>▲外设管控：支持按接口类型及设备类型（移动存储设备、光驱、鼠标键盘、智能移动终端、蓝牙设备等）进行精细化管控，支持记录、拦截、告警、放行等处置动作；支持自定义设备类型扩展，具备白名单机制与未知设备取样能力，支持单独启用/禁用取样外设。</w:t>
      </w:r>
    </w:p>
    <w:p w14:paraId="63154325">
      <w:pPr>
        <w:pageBreakBefore w:val="0"/>
        <w:widowControl/>
        <w:numPr>
          <w:ilvl w:val="0"/>
          <w:numId w:val="0"/>
        </w:numPr>
        <w:kinsoku/>
        <w:wordWrap/>
        <w:overflowPunct/>
        <w:topLinePunct w:val="0"/>
        <w:autoSpaceDE/>
        <w:autoSpaceDN/>
        <w:bidi w:val="0"/>
        <w:adjustRightInd/>
        <w:snapToGrid/>
        <w:spacing w:after="120" w:line="520" w:lineRule="exact"/>
        <w:ind w:left="0" w:leftChars="0" w:right="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6.6 </w:t>
      </w:r>
      <w:r>
        <w:rPr>
          <w:rFonts w:hint="eastAsia" w:ascii="宋体" w:hAnsi="宋体" w:eastAsia="宋体" w:cs="宋体"/>
          <w:color w:val="000000" w:themeColor="text1"/>
          <w:sz w:val="24"/>
          <w:szCs w:val="24"/>
          <w:highlight w:val="none"/>
          <w14:textFill>
            <w14:solidFill>
              <w14:schemeClr w14:val="tx1"/>
            </w14:solidFill>
          </w14:textFill>
        </w:rPr>
        <w:t>任务分发：支持客户端软件自动化分发与安装，支持普通文件分发并可指定投放目录；支持选择执行权限，支持按操作系统类型（Windows/Linux/信创等）下发定向分发策略。</w:t>
      </w:r>
    </w:p>
    <w:p w14:paraId="5F22A601">
      <w:pPr>
        <w:pageBreakBefore w:val="0"/>
        <w:widowControl/>
        <w:numPr>
          <w:ilvl w:val="0"/>
          <w:numId w:val="0"/>
        </w:numPr>
        <w:kinsoku/>
        <w:wordWrap/>
        <w:overflowPunct/>
        <w:topLinePunct w:val="0"/>
        <w:autoSpaceDE/>
        <w:autoSpaceDN/>
        <w:bidi w:val="0"/>
        <w:adjustRightInd/>
        <w:snapToGrid/>
        <w:spacing w:after="120" w:line="520" w:lineRule="exact"/>
        <w:ind w:left="0" w:leftChars="0" w:right="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6.7 </w:t>
      </w:r>
      <w:r>
        <w:rPr>
          <w:rFonts w:hint="eastAsia" w:ascii="宋体" w:hAnsi="宋体" w:eastAsia="宋体" w:cs="宋体"/>
          <w:color w:val="000000" w:themeColor="text1"/>
          <w:sz w:val="24"/>
          <w:szCs w:val="24"/>
          <w:highlight w:val="none"/>
          <w14:textFill>
            <w14:solidFill>
              <w14:schemeClr w14:val="tx1"/>
            </w14:solidFill>
          </w14:textFill>
        </w:rPr>
        <w:t>消息分发：支持终端消息精准触达，支持自定义文本样式（加粗、倾斜、颜色、超链接等）及发布单位、发布时间配置。</w:t>
      </w:r>
    </w:p>
    <w:p w14:paraId="347472F9">
      <w:pPr>
        <w:pageBreakBefore w:val="0"/>
        <w:widowControl/>
        <w:numPr>
          <w:ilvl w:val="0"/>
          <w:numId w:val="0"/>
        </w:numPr>
        <w:kinsoku/>
        <w:wordWrap/>
        <w:overflowPunct/>
        <w:topLinePunct w:val="0"/>
        <w:autoSpaceDE/>
        <w:autoSpaceDN/>
        <w:bidi w:val="0"/>
        <w:adjustRightInd/>
        <w:snapToGrid/>
        <w:spacing w:after="120" w:line="520" w:lineRule="exact"/>
        <w:ind w:left="0" w:leftChars="0" w:right="0" w:firstLine="480" w:firstLineChars="200"/>
        <w:jc w:val="left"/>
        <w:textAlignment w:val="auto"/>
        <w:outlineLvl w:val="9"/>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6.8 </w:t>
      </w:r>
      <w:r>
        <w:rPr>
          <w:rFonts w:hint="eastAsia" w:ascii="宋体" w:hAnsi="宋体" w:eastAsia="宋体" w:cs="宋体"/>
          <w:color w:val="000000" w:themeColor="text1"/>
          <w:sz w:val="24"/>
          <w:szCs w:val="24"/>
          <w:highlight w:val="none"/>
          <w14:textFill>
            <w14:solidFill>
              <w14:schemeClr w14:val="tx1"/>
            </w14:solidFill>
          </w14:textFill>
        </w:rPr>
        <w:t>组织管理：支持组织架构的新增、删除、修改，支持构建多级组织管理模式，支持按IP信息自动将客户端划分至对应组织。</w:t>
      </w:r>
    </w:p>
    <w:p w14:paraId="689D1AE1">
      <w:pPr>
        <w:pageBreakBefore w:val="0"/>
        <w:numPr>
          <w:ilvl w:val="0"/>
          <w:numId w:val="0"/>
        </w:numPr>
        <w:kinsoku/>
        <w:wordWrap/>
        <w:overflowPunct/>
        <w:topLinePunct w:val="0"/>
        <w:autoSpaceDE/>
        <w:autoSpaceDN/>
        <w:bidi w:val="0"/>
        <w:adjustRightInd/>
        <w:spacing w:after="120" w:line="52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eastAsia="宋体" w:cs="宋体"/>
          <w:color w:val="000000" w:themeColor="text1"/>
          <w:kern w:val="2"/>
          <w:sz w:val="24"/>
          <w:szCs w:val="24"/>
          <w:lang w:val="en-US" w:eastAsia="zh-CN" w:bidi="ar-SA"/>
          <w14:textFill>
            <w14:solidFill>
              <w14:schemeClr w14:val="tx1"/>
            </w14:solidFill>
          </w14:textFill>
        </w:rPr>
        <w:t>7.</w:t>
      </w:r>
      <w:r>
        <w:rPr>
          <w:rFonts w:hint="eastAsia" w:ascii="宋体" w:hAnsi="宋体" w:eastAsia="宋体" w:cs="宋体"/>
          <w:color w:val="000000" w:themeColor="text1"/>
          <w:sz w:val="24"/>
          <w:szCs w:val="24"/>
          <w:highlight w:val="none"/>
          <w14:textFill>
            <w14:solidFill>
              <w14:schemeClr w14:val="tx1"/>
            </w14:solidFill>
          </w14:textFill>
        </w:rPr>
        <w:t>升级服务：</w:t>
      </w:r>
      <w:r>
        <w:rPr>
          <w:rFonts w:hint="eastAsia" w:ascii="宋体" w:hAnsi="宋体" w:eastAsia="宋体" w:cs="宋体"/>
          <w:color w:val="000000" w:themeColor="text1"/>
          <w:sz w:val="24"/>
          <w:szCs w:val="24"/>
          <w:highlight w:val="none"/>
          <w:lang w:eastAsia="zh-CN"/>
          <w14:textFill>
            <w14:solidFill>
              <w14:schemeClr w14:val="tx1"/>
            </w14:solidFill>
          </w14:textFill>
        </w:rPr>
        <w:t>软件永久授权，</w:t>
      </w:r>
      <w:r>
        <w:rPr>
          <w:rFonts w:hint="eastAsia" w:ascii="宋体" w:hAnsi="宋体" w:eastAsia="宋体" w:cs="宋体"/>
          <w:color w:val="000000" w:themeColor="text1"/>
          <w:sz w:val="24"/>
          <w:szCs w:val="24"/>
          <w:highlight w:val="none"/>
          <w14:textFill>
            <w14:solidFill>
              <w14:schemeClr w14:val="tx1"/>
            </w14:solidFill>
          </w14:textFill>
        </w:rPr>
        <w:t>提供原厂3年软件及功能模块免费升级服务，服务期内升级（含功能更新、缺陷修复）不另行收费。</w:t>
      </w:r>
    </w:p>
    <w:p w14:paraId="44E682D9">
      <w:pPr>
        <w:pageBreakBefore w:val="0"/>
        <w:numPr>
          <w:ilvl w:val="0"/>
          <w:numId w:val="0"/>
        </w:numPr>
        <w:kinsoku/>
        <w:wordWrap/>
        <w:overflowPunct/>
        <w:topLinePunct w:val="0"/>
        <w:autoSpaceDE/>
        <w:autoSpaceDN/>
        <w:bidi w:val="0"/>
        <w:adjustRightInd/>
        <w:spacing w:after="120" w:line="520" w:lineRule="exact"/>
        <w:ind w:firstLine="482" w:firstLineChars="200"/>
        <w:textAlignment w:val="auto"/>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（3）产品资质要求</w:t>
      </w:r>
    </w:p>
    <w:p w14:paraId="17467476">
      <w:pPr>
        <w:pageBreakBefore w:val="0"/>
        <w:kinsoku/>
        <w:wordWrap/>
        <w:overflowPunct/>
        <w:topLinePunct w:val="0"/>
        <w:autoSpaceDE/>
        <w:autoSpaceDN/>
        <w:bidi w:val="0"/>
        <w:adjustRightInd/>
        <w:spacing w:after="120" w:line="520" w:lineRule="exact"/>
        <w:ind w:firstLine="480" w:firstLineChars="200"/>
        <w:textAlignment w:val="auto"/>
        <w:rPr>
          <w:rFonts w:hint="eastAsia" w:ascii="宋体" w:hAnsi="宋体" w:eastAsia="宋体" w:cs="宋体"/>
          <w:color w:val="000000" w:themeColor="text1"/>
          <w:sz w:val="24"/>
          <w:szCs w:val="24"/>
          <w:highlight w:val="none"/>
          <w:rPrChange w:id="0" w:author="宋璟雯" w:date="2026-10-30T15:41:00Z">
            <w:rPr>
              <w:rFonts w:hint="eastAsia" w:ascii="宋体" w:hAnsi="宋体" w:eastAsia="宋体" w:cs="宋体"/>
              <w:color w:val="auto"/>
              <w:sz w:val="24"/>
              <w:szCs w:val="24"/>
              <w:highlight w:val="none"/>
            </w:rPr>
          </w:rPrChang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产品须具备防病毒类别的网络安全专用</w:t>
      </w:r>
      <w:r>
        <w:rPr>
          <w:rFonts w:hint="eastAsia" w:ascii="宋体" w:hAnsi="宋体" w:eastAsia="宋体" w:cs="宋体"/>
          <w:color w:val="000000" w:themeColor="text1"/>
          <w:sz w:val="24"/>
          <w:szCs w:val="24"/>
          <w:highlight w:val="none"/>
          <w:rPrChange w:id="1" w:author="宋璟雯" w:date="2026-10-30T15:41:00Z">
            <w:rPr>
              <w:rFonts w:hint="eastAsia" w:ascii="宋体" w:hAnsi="宋体" w:eastAsia="宋体" w:cs="宋体"/>
              <w:color w:val="auto"/>
              <w:sz w:val="24"/>
              <w:szCs w:val="24"/>
              <w:highlight w:val="none"/>
            </w:rPr>
          </w:rPrChange>
          <w14:textFill>
            <w14:solidFill>
              <w14:schemeClr w14:val="tx1"/>
            </w14:solidFill>
          </w14:textFill>
        </w:rPr>
        <w:t>产品安全检测证书。（提供证书复印件并加盖</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rPrChange w:id="2" w:author="宋璟雯" w:date="2026-10-30T15:41:00Z">
            <w:rPr>
              <w:rFonts w:hint="eastAsia" w:ascii="宋体" w:hAnsi="宋体" w:eastAsia="宋体" w:cs="宋体"/>
              <w:color w:val="auto"/>
              <w:sz w:val="24"/>
              <w:szCs w:val="24"/>
              <w:highlight w:val="none"/>
            </w:rPr>
          </w:rPrChange>
          <w14:textFill>
            <w14:solidFill>
              <w14:schemeClr w14:val="tx1"/>
            </w14:solidFill>
          </w14:textFill>
        </w:rPr>
        <w:t>公章）</w:t>
      </w:r>
    </w:p>
    <w:p w14:paraId="5AF902C9">
      <w:pPr>
        <w:pageBreakBefore w:val="0"/>
        <w:kinsoku/>
        <w:wordWrap/>
        <w:overflowPunct/>
        <w:topLinePunct w:val="0"/>
        <w:autoSpaceDE/>
        <w:autoSpaceDN/>
        <w:bidi w:val="0"/>
        <w:adjustRightInd/>
        <w:spacing w:after="120" w:line="520" w:lineRule="exact"/>
        <w:ind w:firstLine="480" w:firstLineChars="200"/>
        <w:textAlignment w:val="auto"/>
      </w:pPr>
      <w:r>
        <w:rPr>
          <w:rFonts w:hint="eastAsia" w:ascii="宋体" w:hAnsi="宋体" w:eastAsia="宋体" w:cs="宋体"/>
          <w:color w:val="000000" w:themeColor="text1"/>
          <w:sz w:val="24"/>
          <w:szCs w:val="24"/>
          <w:highlight w:val="none"/>
          <w14:textFill>
            <w14:solidFill>
              <w14:schemeClr w14:val="tx1"/>
            </w14:solidFill>
          </w14:textFill>
        </w:rPr>
        <w:t>注：1、功能要求中标▲参数需提供界面截图并加盖供应商公章，未提供证明材料视为重大负偏离，按无效谈判响应文件处理。</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B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0"/>
    <w:multiLevelType w:val="singleLevel"/>
    <w:tmpl w:val="00000000"/>
    <w:lvl w:ilvl="0" w:tentative="0">
      <w:start w:val="1"/>
      <w:numFmt w:val="chineseCounting"/>
      <w:suff w:val="nothing"/>
      <w:lvlText w:val="%1、"/>
      <w:lvlJc w:val="left"/>
      <w:rPr>
        <w:rFonts w:hint="eastAsia"/>
      </w:rPr>
    </w:lvl>
  </w:abstractNum>
  <w:num w:numId="1">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宋璟雯">
    <w15:presenceInfo w15:providerId="WPS Office" w15:userId="497054579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revisionView w:markup="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3F49597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qFormat/>
    <w:uiPriority w:val="0"/>
    <w:pPr>
      <w:keepNext/>
      <w:keepLines/>
      <w:widowControl w:val="0"/>
      <w:spacing w:before="260" w:after="260" w:line="500" w:lineRule="atLeast"/>
      <w:ind w:left="0" w:right="0"/>
      <w:jc w:val="both"/>
      <w:outlineLvl w:val="1"/>
    </w:pPr>
    <w:rPr>
      <w:rFonts w:ascii="Arial" w:hAnsi="Arial" w:eastAsia="黑体" w:cs="Times New Roman"/>
      <w:b/>
      <w:bCs/>
      <w:kern w:val="2"/>
      <w:sz w:val="28"/>
      <w:szCs w:val="20"/>
      <w:lang w:val="en-US" w:eastAsia="zh-CN" w:bidi="ar-SA"/>
    </w:rPr>
  </w:style>
  <w:style w:type="paragraph" w:styleId="3">
    <w:name w:val="heading 3"/>
    <w:basedOn w:val="1"/>
    <w:next w:val="1"/>
    <w:qFormat/>
    <w:uiPriority w:val="0"/>
    <w:pPr>
      <w:keepNext/>
      <w:keepLines/>
      <w:spacing w:before="260" w:after="260" w:line="412" w:lineRule="auto"/>
      <w:outlineLvl w:val="2"/>
    </w:pPr>
    <w:rPr>
      <w:rFonts w:ascii="Times New Roman" w:hAnsi="Times New Roman" w:eastAsia="宋体" w:cs="Times New Roman"/>
      <w:b/>
      <w:sz w:val="32"/>
      <w:szCs w:val="20"/>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microsoft.com/office/2011/relationships/people" Target="people.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2026-11-02T01:05:09Z</dcterms:created>
  <dc:creator>Administrator</dc:creator>
  <cp:lastModifiedBy>宋璟雯</cp:lastModifiedBy>
  <dcterms:modified xsi:type="dcterms:W3CDTF">2026-11-02T01:06:00Z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KSOTemplateDocerSaveRecord">
    <vt:lpwstr>eyJoZGlkIjoiNjMzZmQ0ZDk5YzU0YjllNTdjMTBiZDMxYTg3ZmM2YmYiLCJ1c2VySWQiOiIxNDUxODIyODU0In0=</vt:lpwstr>
  </property>
  <property fmtid="{D5CDD505-2E9C-101B-9397-08002B2CF9AE}" pid="4" name="ICV">
    <vt:lpwstr>FBC94C53853B44F5AB4F39E5818064E0_12</vt:lpwstr>
  </property>
</Properties>
</file>