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3E0C32">
      <w:pPr>
        <w:jc w:val="center"/>
        <w:rPr>
          <w:rFonts w:hint="eastAsia"/>
          <w:b/>
          <w:bCs/>
          <w:sz w:val="32"/>
          <w:szCs w:val="32"/>
          <w:lang w:val="en-US" w:eastAsia="zh-CN"/>
        </w:rPr>
      </w:pPr>
      <w:r>
        <w:rPr>
          <w:rFonts w:hint="eastAsia"/>
          <w:b/>
          <w:bCs/>
          <w:sz w:val="32"/>
          <w:szCs w:val="32"/>
          <w:lang w:val="en-US" w:eastAsia="zh-CN"/>
        </w:rPr>
        <w:t>采购需求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6"/>
        <w:gridCol w:w="737"/>
        <w:gridCol w:w="7031"/>
      </w:tblGrid>
      <w:tr w14:paraId="701765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01171CCE">
            <w:pPr>
              <w:pStyle w:val="4"/>
              <w:jc w:val="center"/>
              <w:rPr>
                <w:rFonts w:ascii="仿宋" w:hAnsi="仿宋" w:eastAsia="仿宋" w:cs="仿宋"/>
                <w:color w:val="auto"/>
              </w:rPr>
            </w:pPr>
            <w:r>
              <w:rPr>
                <w:rFonts w:ascii="仿宋" w:hAnsi="仿宋" w:eastAsia="仿宋" w:cs="仿宋"/>
                <w:color w:val="auto"/>
              </w:rPr>
              <w:t>序号</w:t>
            </w:r>
          </w:p>
        </w:tc>
        <w:tc>
          <w:tcPr>
            <w:tcW w:w="737" w:type="dxa"/>
            <w:vAlign w:val="center"/>
          </w:tcPr>
          <w:p w14:paraId="442ECB54">
            <w:pPr>
              <w:pStyle w:val="4"/>
              <w:jc w:val="center"/>
              <w:rPr>
                <w:rFonts w:ascii="仿宋" w:hAnsi="仿宋" w:eastAsia="仿宋" w:cs="仿宋"/>
                <w:color w:val="auto"/>
              </w:rPr>
            </w:pPr>
            <w:r>
              <w:rPr>
                <w:rFonts w:ascii="仿宋" w:hAnsi="仿宋" w:eastAsia="仿宋" w:cs="仿宋"/>
                <w:color w:val="auto"/>
              </w:rPr>
              <w:t>参数性质</w:t>
            </w:r>
          </w:p>
        </w:tc>
        <w:tc>
          <w:tcPr>
            <w:tcW w:w="7031" w:type="dxa"/>
            <w:vAlign w:val="center"/>
          </w:tcPr>
          <w:p w14:paraId="07374552">
            <w:pPr>
              <w:pStyle w:val="4"/>
              <w:jc w:val="both"/>
              <w:rPr>
                <w:rFonts w:ascii="仿宋" w:hAnsi="仿宋" w:eastAsia="仿宋" w:cs="仿宋"/>
                <w:color w:val="auto"/>
              </w:rPr>
            </w:pPr>
            <w:r>
              <w:rPr>
                <w:rFonts w:ascii="仿宋" w:hAnsi="仿宋" w:eastAsia="仿宋" w:cs="仿宋"/>
                <w:color w:val="auto"/>
              </w:rPr>
              <w:t>技术参数与性能指标</w:t>
            </w:r>
          </w:p>
        </w:tc>
      </w:tr>
      <w:tr w14:paraId="63E24E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18C2A17D">
            <w:pPr>
              <w:pStyle w:val="4"/>
              <w:jc w:val="center"/>
              <w:rPr>
                <w:rFonts w:ascii="仿宋" w:hAnsi="仿宋" w:eastAsia="仿宋" w:cs="仿宋"/>
                <w:color w:val="auto"/>
              </w:rPr>
            </w:pPr>
            <w:r>
              <w:rPr>
                <w:rFonts w:ascii="仿宋" w:hAnsi="仿宋" w:eastAsia="仿宋" w:cs="仿宋"/>
                <w:color w:val="auto"/>
              </w:rPr>
              <w:t>1</w:t>
            </w:r>
          </w:p>
        </w:tc>
        <w:tc>
          <w:tcPr>
            <w:tcW w:w="737" w:type="dxa"/>
            <w:vAlign w:val="center"/>
          </w:tcPr>
          <w:p w14:paraId="64EC2869">
            <w:pPr>
              <w:pStyle w:val="4"/>
              <w:jc w:val="center"/>
              <w:rPr>
                <w:rFonts w:ascii="仿宋" w:hAnsi="仿宋" w:eastAsia="仿宋" w:cs="仿宋"/>
                <w:color w:val="auto"/>
              </w:rPr>
            </w:pPr>
          </w:p>
        </w:tc>
        <w:tc>
          <w:tcPr>
            <w:tcW w:w="7031" w:type="dxa"/>
          </w:tcPr>
          <w:p w14:paraId="5298E881">
            <w:pPr>
              <w:pStyle w:val="4"/>
              <w:rPr>
                <w:rFonts w:ascii="仿宋" w:hAnsi="仿宋" w:eastAsia="仿宋" w:cs="仿宋"/>
                <w:b/>
                <w:bCs/>
                <w:color w:val="auto"/>
                <w:lang w:eastAsia="zh-CN"/>
              </w:rPr>
            </w:pPr>
            <w:r>
              <w:rPr>
                <w:rFonts w:ascii="仿宋" w:hAnsi="仿宋" w:eastAsia="仿宋" w:cs="仿宋"/>
                <w:b/>
                <w:bCs/>
                <w:color w:val="auto"/>
                <w:lang w:eastAsia="zh-CN"/>
              </w:rPr>
              <w:t>1.IT资产管理服务</w:t>
            </w:r>
          </w:p>
          <w:p w14:paraId="2FAF39A7">
            <w:pPr>
              <w:pStyle w:val="4"/>
              <w:rPr>
                <w:rFonts w:ascii="仿宋" w:hAnsi="仿宋" w:eastAsia="仿宋" w:cs="仿宋"/>
                <w:color w:val="auto"/>
                <w:lang w:eastAsia="zh-CN"/>
              </w:rPr>
            </w:pPr>
            <w:r>
              <w:rPr>
                <w:rFonts w:ascii="仿宋" w:hAnsi="仿宋" w:eastAsia="仿宋" w:cs="仿宋"/>
                <w:color w:val="auto"/>
                <w:lang w:eastAsia="zh-CN"/>
              </w:rPr>
              <w:t>1.1对考试院所有业务资产包括物理主机、虚拟机、业务端口等</w:t>
            </w:r>
            <w:r>
              <w:rPr>
                <w:rFonts w:hint="eastAsia" w:ascii="仿宋" w:hAnsi="仿宋" w:eastAsia="仿宋" w:cs="仿宋"/>
                <w:color w:val="auto"/>
                <w:lang w:eastAsia="zh-CN"/>
              </w:rPr>
              <w:t>，开展细致</w:t>
            </w:r>
            <w:r>
              <w:rPr>
                <w:rFonts w:ascii="仿宋" w:hAnsi="仿宋" w:eastAsia="仿宋" w:cs="仿宋"/>
                <w:color w:val="auto"/>
                <w:lang w:eastAsia="zh-CN"/>
              </w:rPr>
              <w:t>全面的资产梳理工作。基于考试院现有资产探测工具如态势感知平台、数据库审计设备、EDR终端防护系统及现有资产台账，开展全量业务资产梳理工作，形成准确、完整、可持续更新的资产台账，资产梳理频率服务期内每季度不少于1次。</w:t>
            </w:r>
          </w:p>
          <w:p w14:paraId="657422E7">
            <w:pPr>
              <w:pStyle w:val="4"/>
              <w:rPr>
                <w:rFonts w:hint="default" w:ascii="仿宋" w:hAnsi="仿宋" w:eastAsia="仿宋" w:cs="仿宋"/>
                <w:color w:val="auto"/>
                <w:lang w:eastAsia="zh-CN"/>
              </w:rPr>
            </w:pPr>
            <w:r>
              <w:rPr>
                <w:rFonts w:ascii="仿宋" w:hAnsi="仿宋" w:eastAsia="仿宋" w:cs="仿宋"/>
                <w:color w:val="auto"/>
                <w:lang w:eastAsia="zh-CN"/>
              </w:rPr>
              <w:t>1.2对考试院物理主机、虚拟机、服务器、PC终端、业务端口、Web业务系统、数据库实例、重点业务IP等资产进行识别、核查和分类管理。资产识别方式应包括但不限于流量被动识别、主动探测、数据库审计被动发现、EDR终端发现、人工核查和台账比对等方式，发现Web业务资产、数据库资产</w:t>
            </w:r>
            <w:r>
              <w:rPr>
                <w:rFonts w:hint="eastAsia" w:ascii="仿宋" w:hAnsi="仿宋" w:eastAsia="仿宋" w:cs="仿宋"/>
                <w:color w:val="auto"/>
                <w:lang w:eastAsia="zh-CN"/>
              </w:rPr>
              <w:t>，以及</w:t>
            </w:r>
            <w:r>
              <w:rPr>
                <w:rFonts w:ascii="仿宋" w:hAnsi="仿宋" w:eastAsia="仿宋" w:cs="仿宋"/>
                <w:color w:val="auto"/>
                <w:lang w:eastAsia="zh-CN"/>
              </w:rPr>
              <w:t>终端及服务器资产，同时在现有识别成果基础上，进一步梳理内网存活IP、离线资产、开放端口、服务类型、资产指纹、责任人、所属区域、重要程度等信息，对核心业务系统、DNS服务器、数据库服务器、考试报名、成绩查询、志愿填报、缴费等关键业务相关资产进行重要性标识，形成重点资产标签，例如“DNS服务器</w:t>
            </w:r>
            <w:r>
              <w:rPr>
                <w:rFonts w:hint="eastAsia" w:ascii="仿宋" w:hAnsi="仿宋" w:eastAsia="仿宋" w:cs="仿宋"/>
                <w:color w:val="auto"/>
                <w:lang w:eastAsia="zh-CN"/>
              </w:rPr>
              <w:t>－</w:t>
            </w:r>
            <w:r>
              <w:rPr>
                <w:rFonts w:ascii="仿宋" w:hAnsi="仿宋" w:eastAsia="仿宋" w:cs="仿宋"/>
                <w:color w:val="auto"/>
                <w:lang w:eastAsia="zh-CN"/>
              </w:rPr>
              <w:t>重要”“核心业务系统</w:t>
            </w:r>
            <w:r>
              <w:rPr>
                <w:rFonts w:hint="eastAsia" w:ascii="仿宋" w:hAnsi="仿宋" w:eastAsia="仿宋" w:cs="仿宋"/>
                <w:color w:val="auto"/>
                <w:lang w:eastAsia="zh-CN"/>
              </w:rPr>
              <w:t>－</w:t>
            </w:r>
            <w:r>
              <w:rPr>
                <w:rFonts w:ascii="仿宋" w:hAnsi="仿宋" w:eastAsia="仿宋" w:cs="仿宋"/>
                <w:color w:val="auto"/>
                <w:lang w:eastAsia="zh-CN"/>
              </w:rPr>
              <w:t>重要”等，支撑后续安全监测、告警研判、漏洞整改、应急响应和重要时期安全保障工作。</w:t>
            </w:r>
          </w:p>
          <w:p w14:paraId="1A9FCF53">
            <w:pPr>
              <w:pStyle w:val="4"/>
              <w:rPr>
                <w:rFonts w:ascii="仿宋" w:hAnsi="仿宋" w:eastAsia="仿宋" w:cs="仿宋"/>
                <w:color w:val="auto"/>
                <w:lang w:eastAsia="zh-CN"/>
              </w:rPr>
            </w:pPr>
            <w:r>
              <w:rPr>
                <w:rFonts w:ascii="仿宋" w:hAnsi="仿宋" w:eastAsia="仿宋" w:cs="仿宋"/>
                <w:color w:val="auto"/>
                <w:lang w:eastAsia="zh-CN"/>
              </w:rPr>
              <w:t>1.3数据安全资产梳理，通过技术扫描与人工核查相结合的方式，全面发现、识别并梳理考试院信息系统中的各类数据资产，包括但不限于：各类库表数据资产、数据接口资产、备份数据资产等，清晰反映资产的名称、类型及责任人等关键信息。</w:t>
            </w:r>
          </w:p>
          <w:p w14:paraId="6BC6E174">
            <w:pPr>
              <w:pStyle w:val="4"/>
              <w:rPr>
                <w:rFonts w:ascii="仿宋" w:hAnsi="仿宋" w:eastAsia="仿宋" w:cs="仿宋"/>
                <w:color w:val="auto"/>
              </w:rPr>
            </w:pPr>
            <w:r>
              <w:rPr>
                <w:rFonts w:ascii="仿宋" w:hAnsi="仿宋" w:eastAsia="仿宋" w:cs="仿宋"/>
                <w:color w:val="auto"/>
                <w:lang w:eastAsia="zh-CN"/>
              </w:rPr>
              <w:t>1.4服务实施完成后，输出《资产统计清单》《数据安全资产清单》，清单至少包括资产名称、IP、用途、责任人等信息，</w:t>
            </w:r>
            <w:r>
              <w:rPr>
                <w:rFonts w:hint="eastAsia" w:ascii="仿宋" w:hAnsi="仿宋" w:eastAsia="仿宋" w:cs="仿宋"/>
                <w:color w:val="auto"/>
                <w:lang w:eastAsia="zh-CN"/>
              </w:rPr>
              <w:t>清单</w:t>
            </w:r>
            <w:r>
              <w:rPr>
                <w:rFonts w:ascii="仿宋" w:hAnsi="仿宋" w:eastAsia="仿宋" w:cs="仿宋"/>
                <w:color w:val="auto"/>
                <w:lang w:eastAsia="zh-CN"/>
              </w:rPr>
              <w:t>包括资产名称、IP、用途、责任人等信息，协助考试院进行资产台账登记，并录入已有态势感知平台。</w:t>
            </w:r>
          </w:p>
        </w:tc>
      </w:tr>
      <w:tr w14:paraId="028420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3F7D7F18">
            <w:pPr>
              <w:pStyle w:val="4"/>
              <w:jc w:val="center"/>
              <w:rPr>
                <w:rFonts w:ascii="仿宋" w:hAnsi="仿宋" w:eastAsia="仿宋" w:cs="仿宋"/>
                <w:color w:val="auto"/>
              </w:rPr>
            </w:pPr>
            <w:r>
              <w:rPr>
                <w:rFonts w:ascii="仿宋" w:hAnsi="仿宋" w:eastAsia="仿宋" w:cs="仿宋"/>
                <w:color w:val="auto"/>
              </w:rPr>
              <w:t>2</w:t>
            </w:r>
          </w:p>
        </w:tc>
        <w:tc>
          <w:tcPr>
            <w:tcW w:w="737" w:type="dxa"/>
            <w:vAlign w:val="center"/>
          </w:tcPr>
          <w:p w14:paraId="28A4B67E">
            <w:pPr>
              <w:pStyle w:val="4"/>
              <w:jc w:val="center"/>
              <w:rPr>
                <w:rFonts w:ascii="仿宋" w:hAnsi="仿宋" w:eastAsia="仿宋" w:cs="仿宋"/>
                <w:color w:val="auto"/>
              </w:rPr>
            </w:pPr>
          </w:p>
        </w:tc>
        <w:tc>
          <w:tcPr>
            <w:tcW w:w="7031" w:type="dxa"/>
          </w:tcPr>
          <w:p w14:paraId="70C19C23">
            <w:pPr>
              <w:pStyle w:val="4"/>
              <w:rPr>
                <w:rFonts w:ascii="仿宋" w:hAnsi="仿宋" w:eastAsia="仿宋" w:cs="仿宋"/>
                <w:b/>
                <w:bCs/>
                <w:color w:val="auto"/>
                <w:lang w:eastAsia="zh-CN"/>
              </w:rPr>
            </w:pPr>
            <w:r>
              <w:rPr>
                <w:rFonts w:ascii="仿宋" w:hAnsi="仿宋" w:eastAsia="仿宋" w:cs="仿宋"/>
                <w:b/>
                <w:bCs/>
                <w:color w:val="auto"/>
                <w:lang w:eastAsia="zh-CN"/>
              </w:rPr>
              <w:t>2.资产暴露面检测服务</w:t>
            </w:r>
          </w:p>
          <w:p w14:paraId="4AE2D4F5">
            <w:pPr>
              <w:pStyle w:val="4"/>
              <w:rPr>
                <w:rFonts w:ascii="仿宋" w:hAnsi="仿宋" w:eastAsia="仿宋" w:cs="仿宋"/>
                <w:color w:val="auto"/>
                <w:lang w:eastAsia="zh-CN"/>
              </w:rPr>
            </w:pPr>
            <w:r>
              <w:rPr>
                <w:rFonts w:ascii="仿宋" w:hAnsi="仿宋" w:eastAsia="仿宋" w:cs="仿宋"/>
                <w:color w:val="auto"/>
                <w:lang w:eastAsia="zh-CN"/>
              </w:rPr>
              <w:t>2.1对考试院暴露在互联网上的资产进行测绘，包括但不限于域名、端口、IP等，对发现的高危风险资产进行关停或协助整改，以减少资产在互联网上的暴露风险，降低被黑客攻破的可能。服务期内开展不少于2次，每次不少于25个互联网系统资产。</w:t>
            </w:r>
          </w:p>
          <w:p w14:paraId="630C8A30">
            <w:pPr>
              <w:pStyle w:val="4"/>
              <w:rPr>
                <w:rFonts w:hint="default" w:ascii="仿宋" w:hAnsi="仿宋" w:eastAsia="仿宋" w:cs="仿宋"/>
                <w:color w:val="auto"/>
                <w:lang w:eastAsia="zh-CN"/>
              </w:rPr>
            </w:pPr>
            <w:r>
              <w:rPr>
                <w:rFonts w:ascii="仿宋" w:hAnsi="仿宋" w:eastAsia="仿宋" w:cs="仿宋"/>
                <w:color w:val="auto"/>
                <w:lang w:eastAsia="zh-CN"/>
              </w:rPr>
              <w:t>2.2针对考试院互联网资产（互联网域名、端口、IP等）开展暴露面检测，评估互联网资产的安全暴露风险，基于检测结果协助处置高危风险资产，减少互联网资产风险隐患。</w:t>
            </w:r>
          </w:p>
          <w:p w14:paraId="036082FC">
            <w:pPr>
              <w:pStyle w:val="4"/>
              <w:rPr>
                <w:rFonts w:hint="default" w:ascii="仿宋" w:hAnsi="仿宋" w:eastAsia="仿宋" w:cs="仿宋"/>
                <w:color w:val="auto"/>
                <w:lang w:eastAsia="zh-CN"/>
              </w:rPr>
            </w:pPr>
            <w:r>
              <w:rPr>
                <w:rFonts w:ascii="仿宋" w:hAnsi="仿宋" w:eastAsia="仿宋" w:cs="仿宋"/>
                <w:color w:val="auto"/>
                <w:lang w:eastAsia="zh-CN"/>
              </w:rPr>
              <w:t>2.3在确保不影响业务稳定性的情况下开展检测工作，</w:t>
            </w:r>
            <w:r>
              <w:rPr>
                <w:rFonts w:hint="eastAsia" w:ascii="仿宋" w:hAnsi="仿宋" w:eastAsia="仿宋" w:cs="仿宋"/>
                <w:color w:val="auto"/>
                <w:lang w:eastAsia="zh-CN"/>
              </w:rPr>
              <w:t>对</w:t>
            </w:r>
            <w:r>
              <w:rPr>
                <w:rFonts w:ascii="仿宋" w:hAnsi="仿宋" w:eastAsia="仿宋" w:cs="仿宋"/>
                <w:color w:val="auto"/>
                <w:lang w:eastAsia="zh-CN"/>
              </w:rPr>
              <w:t>所有互联网资产进行检测，提供所有互联网资产的测绘结果数据，人工对检测结果进行分析，针对高危资产提供安全建议。</w:t>
            </w:r>
          </w:p>
          <w:p w14:paraId="720D1EB7">
            <w:pPr>
              <w:pStyle w:val="4"/>
              <w:rPr>
                <w:rFonts w:ascii="仿宋" w:hAnsi="仿宋" w:eastAsia="仿宋" w:cs="仿宋"/>
                <w:color w:val="auto"/>
              </w:rPr>
            </w:pPr>
            <w:r>
              <w:rPr>
                <w:rFonts w:ascii="仿宋" w:hAnsi="仿宋" w:eastAsia="仿宋" w:cs="仿宋"/>
                <w:color w:val="auto"/>
              </w:rPr>
              <w:t>2.</w:t>
            </w:r>
            <w:r>
              <w:rPr>
                <w:rFonts w:ascii="仿宋" w:hAnsi="仿宋" w:eastAsia="仿宋" w:cs="仿宋"/>
                <w:color w:val="auto"/>
                <w:lang w:eastAsia="zh-CN"/>
              </w:rPr>
              <w:t>4</w:t>
            </w:r>
            <w:r>
              <w:rPr>
                <w:rFonts w:ascii="仿宋" w:hAnsi="仿宋" w:eastAsia="仿宋" w:cs="仿宋"/>
                <w:color w:val="auto"/>
              </w:rPr>
              <w:t>完成检测服务工作后，输出《互联网暴露面检测报告》和《互联网资产清单》，暴露面检测报告包括检测到的高危资产列表及详情、安全建议等，互联网资产清单包括资产URL、IP地址、资产名称、开放端口、返回标题等信息。</w:t>
            </w:r>
          </w:p>
        </w:tc>
      </w:tr>
      <w:tr w14:paraId="312E3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566" w:type="dxa"/>
            <w:vAlign w:val="center"/>
          </w:tcPr>
          <w:p w14:paraId="2F282C60">
            <w:pPr>
              <w:pStyle w:val="4"/>
              <w:jc w:val="center"/>
              <w:rPr>
                <w:rFonts w:ascii="仿宋" w:hAnsi="仿宋" w:eastAsia="仿宋" w:cs="仿宋"/>
                <w:color w:val="auto"/>
              </w:rPr>
            </w:pPr>
            <w:r>
              <w:rPr>
                <w:rFonts w:ascii="仿宋" w:hAnsi="仿宋" w:eastAsia="仿宋" w:cs="仿宋"/>
                <w:color w:val="auto"/>
              </w:rPr>
              <w:t>3</w:t>
            </w:r>
          </w:p>
        </w:tc>
        <w:tc>
          <w:tcPr>
            <w:tcW w:w="737" w:type="dxa"/>
            <w:vAlign w:val="center"/>
          </w:tcPr>
          <w:p w14:paraId="00D3A206">
            <w:pPr>
              <w:pStyle w:val="4"/>
              <w:jc w:val="center"/>
              <w:rPr>
                <w:rFonts w:ascii="仿宋" w:hAnsi="仿宋" w:eastAsia="仿宋" w:cs="仿宋"/>
                <w:color w:val="auto"/>
              </w:rPr>
            </w:pPr>
            <w:r>
              <w:rPr>
                <w:rFonts w:ascii="仿宋" w:hAnsi="仿宋" w:eastAsia="仿宋" w:cs="仿宋"/>
                <w:color w:val="auto"/>
              </w:rPr>
              <w:t>▲</w:t>
            </w:r>
          </w:p>
        </w:tc>
        <w:tc>
          <w:tcPr>
            <w:tcW w:w="7031" w:type="dxa"/>
          </w:tcPr>
          <w:p w14:paraId="66979C45">
            <w:pPr>
              <w:pStyle w:val="4"/>
              <w:rPr>
                <w:rFonts w:ascii="仿宋" w:hAnsi="仿宋" w:eastAsia="仿宋" w:cs="仿宋"/>
                <w:color w:val="auto"/>
              </w:rPr>
            </w:pPr>
            <w:r>
              <w:rPr>
                <w:rFonts w:ascii="仿宋" w:hAnsi="仿宋" w:eastAsia="仿宋" w:cs="仿宋"/>
                <w:color w:val="auto"/>
                <w:lang w:eastAsia="zh-CN"/>
              </w:rPr>
              <w:t>2.5提供资产暴露面检测工具，针对暴露资产的攻击面分析结果支持通过风险标签分类，风险类型包括高危端口开放、高危指纹、疑似敏感应用等（需提供工具相关功能截图证明并加盖公章）</w:t>
            </w:r>
          </w:p>
        </w:tc>
      </w:tr>
      <w:tr w14:paraId="094B24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5B35712E">
            <w:pPr>
              <w:pStyle w:val="4"/>
              <w:jc w:val="center"/>
              <w:rPr>
                <w:rFonts w:ascii="仿宋" w:hAnsi="仿宋" w:eastAsia="仿宋" w:cs="仿宋"/>
                <w:color w:val="auto"/>
              </w:rPr>
            </w:pPr>
            <w:r>
              <w:rPr>
                <w:rFonts w:ascii="仿宋" w:hAnsi="仿宋" w:eastAsia="仿宋" w:cs="仿宋"/>
                <w:color w:val="auto"/>
              </w:rPr>
              <w:t>4</w:t>
            </w:r>
          </w:p>
        </w:tc>
        <w:tc>
          <w:tcPr>
            <w:tcW w:w="737" w:type="dxa"/>
            <w:vAlign w:val="center"/>
          </w:tcPr>
          <w:p w14:paraId="22D1C6EA">
            <w:pPr>
              <w:pStyle w:val="4"/>
              <w:jc w:val="center"/>
              <w:rPr>
                <w:rFonts w:ascii="仿宋" w:hAnsi="仿宋" w:eastAsia="仿宋" w:cs="仿宋"/>
                <w:color w:val="auto"/>
              </w:rPr>
            </w:pPr>
          </w:p>
        </w:tc>
        <w:tc>
          <w:tcPr>
            <w:tcW w:w="7031" w:type="dxa"/>
          </w:tcPr>
          <w:p w14:paraId="7CB8553C">
            <w:pPr>
              <w:pStyle w:val="4"/>
              <w:rPr>
                <w:rFonts w:ascii="仿宋" w:hAnsi="仿宋" w:eastAsia="仿宋" w:cs="仿宋"/>
                <w:color w:val="auto"/>
              </w:rPr>
            </w:pPr>
            <w:r>
              <w:rPr>
                <w:rFonts w:ascii="仿宋" w:hAnsi="仿宋" w:eastAsia="仿宋" w:cs="仿宋"/>
                <w:color w:val="auto"/>
              </w:rPr>
              <w:t>3.AI交互式渗透测试服务</w:t>
            </w:r>
          </w:p>
          <w:p w14:paraId="3CDF1763">
            <w:pPr>
              <w:pStyle w:val="4"/>
              <w:rPr>
                <w:rFonts w:ascii="仿宋" w:hAnsi="仿宋" w:eastAsia="仿宋" w:cs="仿宋"/>
                <w:color w:val="auto"/>
              </w:rPr>
            </w:pPr>
            <w:r>
              <w:rPr>
                <w:rFonts w:ascii="仿宋" w:hAnsi="仿宋" w:eastAsia="仿宋" w:cs="仿宋"/>
                <w:color w:val="auto"/>
              </w:rPr>
              <w:t>3.1服务商提供交互式的AI渗透测试服务，对考试院的重要业务进行测试，通过AI自动研判与任务规划，尽可能多地发现测试对象的各类安全风险、漏洞问题，并提供相应的修复建议，在整改修复后，完成复测。服务期内提供不少于30个系统的测试服务。</w:t>
            </w:r>
          </w:p>
          <w:p w14:paraId="08536C75">
            <w:pPr>
              <w:pStyle w:val="4"/>
              <w:rPr>
                <w:rFonts w:ascii="仿宋" w:hAnsi="仿宋" w:eastAsia="仿宋" w:cs="仿宋"/>
                <w:color w:val="auto"/>
              </w:rPr>
            </w:pPr>
            <w:r>
              <w:rPr>
                <w:rFonts w:ascii="仿宋" w:hAnsi="仿宋" w:eastAsia="仿宋" w:cs="仿宋"/>
                <w:color w:val="auto"/>
              </w:rPr>
              <w:t>3.2在得到考试院授权的前提下，服务商通过AI渗透测试工具对存量重要系统、业务变更、新上线业务及重大业务前进行测试，基于</w:t>
            </w:r>
            <w:r>
              <w:rPr>
                <w:rFonts w:ascii="仿宋" w:hAnsi="仿宋" w:eastAsia="仿宋" w:cs="仿宋"/>
                <w:color w:val="auto"/>
                <w:lang w:eastAsia="zh-CN"/>
              </w:rPr>
              <w:t>AI</w:t>
            </w:r>
            <w:r>
              <w:rPr>
                <w:rFonts w:ascii="仿宋" w:hAnsi="仿宋" w:eastAsia="仿宋" w:cs="仿宋"/>
                <w:color w:val="auto"/>
              </w:rPr>
              <w:t>大模型技术模拟真实的安全攻击，从而发现黑客入侵信息系统的潜在可能途径，挖掘测试目标存在的安全隐患、漏洞，查找系统存在的安全隐患点，并验证每个安全隐患点的可利用程度。根据测试结果输出渗透测试报告，</w:t>
            </w:r>
            <w:r>
              <w:rPr>
                <w:rFonts w:hint="eastAsia" w:ascii="仿宋" w:hAnsi="仿宋" w:eastAsia="仿宋" w:cs="仿宋"/>
                <w:color w:val="auto"/>
                <w:lang w:eastAsia="zh-CN"/>
              </w:rPr>
              <w:t>对</w:t>
            </w:r>
            <w:r>
              <w:rPr>
                <w:rFonts w:ascii="仿宋" w:hAnsi="仿宋" w:eastAsia="仿宋" w:cs="仿宋"/>
                <w:color w:val="auto"/>
              </w:rPr>
              <w:t>每个安全风险进行详细描述，并给出相关的安全建议。</w:t>
            </w:r>
          </w:p>
          <w:p w14:paraId="57846BE3">
            <w:pPr>
              <w:pStyle w:val="4"/>
              <w:rPr>
                <w:rFonts w:ascii="仿宋" w:hAnsi="仿宋" w:eastAsia="仿宋" w:cs="仿宋"/>
                <w:color w:val="auto"/>
              </w:rPr>
            </w:pPr>
            <w:r>
              <w:rPr>
                <w:rFonts w:ascii="仿宋" w:hAnsi="仿宋" w:eastAsia="仿宋" w:cs="仿宋"/>
                <w:color w:val="auto"/>
                <w:lang w:eastAsia="zh-CN"/>
              </w:rPr>
              <w:t>3.3</w:t>
            </w:r>
            <w:r>
              <w:rPr>
                <w:rFonts w:ascii="仿宋" w:hAnsi="仿宋" w:eastAsia="仿宋" w:cs="仿宋"/>
                <w:color w:val="auto"/>
              </w:rPr>
              <w:t>在修复安全风险问题后，完成风险复测验证，</w:t>
            </w:r>
            <w:r>
              <w:rPr>
                <w:rFonts w:ascii="仿宋" w:hAnsi="仿宋" w:eastAsia="仿宋" w:cs="仿宋"/>
                <w:color w:val="auto"/>
                <w:lang w:eastAsia="zh-CN"/>
              </w:rPr>
              <w:t>AI</w:t>
            </w:r>
            <w:r>
              <w:rPr>
                <w:rFonts w:ascii="仿宋" w:hAnsi="仿宋" w:eastAsia="仿宋" w:cs="仿宋"/>
                <w:color w:val="auto"/>
              </w:rPr>
              <w:t>渗透测试支持POC包回放进行一键复测，并快速生成复测报告，确保渗透的安全风险问题完全修复，完成渗透测试工作后5个工作日内输出《渗透测试报告》。</w:t>
            </w:r>
          </w:p>
        </w:tc>
      </w:tr>
      <w:tr w14:paraId="27B70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05EAF064">
            <w:pPr>
              <w:pStyle w:val="4"/>
              <w:jc w:val="center"/>
              <w:rPr>
                <w:rFonts w:ascii="仿宋" w:hAnsi="仿宋" w:eastAsia="仿宋" w:cs="仿宋"/>
                <w:color w:val="auto"/>
              </w:rPr>
            </w:pPr>
            <w:r>
              <w:rPr>
                <w:rFonts w:ascii="仿宋" w:hAnsi="仿宋" w:eastAsia="仿宋" w:cs="仿宋"/>
                <w:color w:val="auto"/>
              </w:rPr>
              <w:t>5</w:t>
            </w:r>
          </w:p>
        </w:tc>
        <w:tc>
          <w:tcPr>
            <w:tcW w:w="737" w:type="dxa"/>
            <w:vAlign w:val="center"/>
          </w:tcPr>
          <w:p w14:paraId="288A4821">
            <w:pPr>
              <w:pStyle w:val="4"/>
              <w:jc w:val="center"/>
              <w:rPr>
                <w:rFonts w:ascii="仿宋" w:hAnsi="仿宋" w:eastAsia="仿宋" w:cs="仿宋"/>
                <w:color w:val="auto"/>
              </w:rPr>
            </w:pPr>
            <w:r>
              <w:rPr>
                <w:rFonts w:ascii="仿宋" w:hAnsi="仿宋" w:eastAsia="仿宋" w:cs="仿宋"/>
                <w:color w:val="auto"/>
              </w:rPr>
              <w:t>▲</w:t>
            </w:r>
          </w:p>
        </w:tc>
        <w:tc>
          <w:tcPr>
            <w:tcW w:w="7031" w:type="dxa"/>
          </w:tcPr>
          <w:p w14:paraId="2BEA9DAD">
            <w:pPr>
              <w:pStyle w:val="4"/>
              <w:jc w:val="both"/>
              <w:rPr>
                <w:rFonts w:ascii="仿宋" w:hAnsi="仿宋" w:eastAsia="仿宋" w:cs="仿宋"/>
                <w:color w:val="auto"/>
              </w:rPr>
            </w:pPr>
            <w:r>
              <w:rPr>
                <w:rFonts w:ascii="仿宋" w:hAnsi="仿宋" w:eastAsia="仿宋" w:cs="仿宋"/>
                <w:color w:val="auto"/>
                <w:lang w:eastAsia="zh-CN"/>
              </w:rPr>
              <w:t>3.4</w:t>
            </w:r>
            <w:r>
              <w:rPr>
                <w:rFonts w:ascii="仿宋" w:hAnsi="仿宋" w:eastAsia="仿宋" w:cs="仿宋"/>
                <w:color w:val="auto"/>
              </w:rPr>
              <w:t>服务工具具备AI推理能力，针对业务系统通过AI推理分析渗透测试步骤并拆解成多个任务。</w:t>
            </w:r>
            <w:r>
              <w:rPr>
                <w:rFonts w:ascii="仿宋" w:hAnsi="仿宋" w:eastAsia="仿宋" w:cs="仿宋"/>
                <w:color w:val="auto"/>
                <w:lang w:eastAsia="zh-CN"/>
              </w:rPr>
              <w:t>（需提供工具相关功能截图证明并加盖公章）</w:t>
            </w:r>
          </w:p>
        </w:tc>
      </w:tr>
      <w:tr w14:paraId="0DF286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17440E0F">
            <w:pPr>
              <w:pStyle w:val="4"/>
              <w:jc w:val="center"/>
              <w:rPr>
                <w:rFonts w:ascii="仿宋" w:hAnsi="仿宋" w:eastAsia="仿宋" w:cs="仿宋"/>
                <w:color w:val="auto"/>
                <w:lang w:eastAsia="zh-CN"/>
              </w:rPr>
            </w:pPr>
            <w:r>
              <w:rPr>
                <w:rFonts w:ascii="仿宋" w:hAnsi="仿宋" w:eastAsia="仿宋" w:cs="仿宋"/>
                <w:color w:val="auto"/>
                <w:lang w:eastAsia="zh-CN"/>
              </w:rPr>
              <w:t>6</w:t>
            </w:r>
          </w:p>
        </w:tc>
        <w:tc>
          <w:tcPr>
            <w:tcW w:w="737" w:type="dxa"/>
            <w:vAlign w:val="center"/>
          </w:tcPr>
          <w:p w14:paraId="3D117BE2">
            <w:pPr>
              <w:pStyle w:val="4"/>
              <w:jc w:val="center"/>
              <w:rPr>
                <w:rFonts w:ascii="仿宋" w:hAnsi="仿宋" w:eastAsia="仿宋" w:cs="仿宋"/>
                <w:color w:val="auto"/>
              </w:rPr>
            </w:pPr>
            <w:r>
              <w:rPr>
                <w:rFonts w:ascii="仿宋" w:hAnsi="仿宋" w:eastAsia="仿宋" w:cs="仿宋"/>
                <w:color w:val="auto"/>
              </w:rPr>
              <w:t>▲</w:t>
            </w:r>
          </w:p>
        </w:tc>
        <w:tc>
          <w:tcPr>
            <w:tcW w:w="7031" w:type="dxa"/>
          </w:tcPr>
          <w:p w14:paraId="13D91BE8">
            <w:pPr>
              <w:pStyle w:val="4"/>
              <w:jc w:val="both"/>
              <w:rPr>
                <w:rFonts w:ascii="仿宋" w:hAnsi="仿宋" w:eastAsia="仿宋" w:cs="仿宋"/>
                <w:color w:val="auto"/>
              </w:rPr>
            </w:pPr>
            <w:r>
              <w:rPr>
                <w:rFonts w:ascii="仿宋" w:hAnsi="仿宋" w:eastAsia="仿宋" w:cs="仿宋"/>
                <w:color w:val="auto"/>
                <w:lang w:eastAsia="zh-CN"/>
              </w:rPr>
              <w:t>3.5</w:t>
            </w:r>
            <w:r>
              <w:rPr>
                <w:rFonts w:ascii="仿宋" w:hAnsi="仿宋" w:eastAsia="仿宋" w:cs="仿宋"/>
                <w:color w:val="auto"/>
              </w:rPr>
              <w:t>服务工具</w:t>
            </w:r>
            <w:r>
              <w:rPr>
                <w:rFonts w:hint="eastAsia" w:ascii="仿宋" w:hAnsi="仿宋" w:eastAsia="仿宋" w:cs="仿宋"/>
                <w:color w:val="auto"/>
                <w:lang w:eastAsia="zh-CN"/>
              </w:rPr>
              <w:t>在</w:t>
            </w:r>
            <w:r>
              <w:rPr>
                <w:rFonts w:ascii="仿宋" w:hAnsi="仿宋" w:eastAsia="仿宋" w:cs="仿宋"/>
                <w:color w:val="auto"/>
              </w:rPr>
              <w:t>测试任务过程中结合AI推理能力并融合MCP协议，支持通过MCP协议调用不少于20</w:t>
            </w:r>
            <w:r>
              <w:rPr>
                <w:rFonts w:hint="eastAsia" w:ascii="仿宋" w:hAnsi="仿宋" w:eastAsia="仿宋" w:cs="仿宋"/>
                <w:color w:val="auto"/>
                <w:lang w:eastAsia="zh-CN"/>
              </w:rPr>
              <w:t>种</w:t>
            </w:r>
            <w:r>
              <w:rPr>
                <w:rFonts w:ascii="仿宋" w:hAnsi="仿宋" w:eastAsia="仿宋" w:cs="仿宋"/>
                <w:color w:val="auto"/>
              </w:rPr>
              <w:t>渗透测试工具。</w:t>
            </w:r>
            <w:r>
              <w:rPr>
                <w:rFonts w:ascii="仿宋" w:hAnsi="仿宋" w:eastAsia="仿宋" w:cs="仿宋"/>
                <w:color w:val="auto"/>
                <w:lang w:eastAsia="zh-CN"/>
              </w:rPr>
              <w:t>（需提供工具相关功能截图证明并加盖公章）</w:t>
            </w:r>
          </w:p>
        </w:tc>
      </w:tr>
      <w:tr w14:paraId="529A20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080844F0">
            <w:pPr>
              <w:pStyle w:val="4"/>
              <w:jc w:val="center"/>
              <w:rPr>
                <w:rFonts w:ascii="仿宋" w:hAnsi="仿宋" w:eastAsia="仿宋" w:cs="仿宋"/>
                <w:color w:val="auto"/>
                <w:lang w:eastAsia="zh-CN"/>
              </w:rPr>
            </w:pPr>
            <w:r>
              <w:rPr>
                <w:rFonts w:ascii="仿宋" w:hAnsi="仿宋" w:eastAsia="仿宋" w:cs="仿宋"/>
                <w:color w:val="auto"/>
                <w:lang w:eastAsia="zh-CN"/>
              </w:rPr>
              <w:t>7</w:t>
            </w:r>
          </w:p>
        </w:tc>
        <w:tc>
          <w:tcPr>
            <w:tcW w:w="737" w:type="dxa"/>
            <w:vAlign w:val="center"/>
          </w:tcPr>
          <w:p w14:paraId="0F02FDC5">
            <w:pPr>
              <w:pStyle w:val="4"/>
              <w:jc w:val="center"/>
              <w:rPr>
                <w:rFonts w:ascii="仿宋" w:hAnsi="仿宋" w:eastAsia="仿宋" w:cs="仿宋"/>
                <w:color w:val="auto"/>
              </w:rPr>
            </w:pPr>
          </w:p>
        </w:tc>
        <w:tc>
          <w:tcPr>
            <w:tcW w:w="7031" w:type="dxa"/>
          </w:tcPr>
          <w:p w14:paraId="6D35BF34">
            <w:pPr>
              <w:pStyle w:val="4"/>
              <w:rPr>
                <w:rFonts w:ascii="仿宋" w:hAnsi="仿宋" w:eastAsia="仿宋" w:cs="仿宋"/>
                <w:color w:val="auto"/>
                <w:lang w:eastAsia="zh-CN"/>
              </w:rPr>
            </w:pPr>
            <w:r>
              <w:rPr>
                <w:rFonts w:ascii="仿宋" w:hAnsi="仿宋" w:eastAsia="仿宋" w:cs="仿宋"/>
                <w:color w:val="auto"/>
                <w:lang w:eastAsia="zh-CN"/>
              </w:rPr>
              <w:t>4.综合漏洞评估服务</w:t>
            </w:r>
          </w:p>
          <w:p w14:paraId="69D2C04B">
            <w:pPr>
              <w:pStyle w:val="4"/>
              <w:rPr>
                <w:rFonts w:ascii="仿宋" w:hAnsi="仿宋" w:eastAsia="仿宋" w:cs="仿宋"/>
                <w:color w:val="auto"/>
                <w:lang w:eastAsia="zh-CN"/>
              </w:rPr>
            </w:pPr>
            <w:r>
              <w:rPr>
                <w:rFonts w:ascii="仿宋" w:hAnsi="仿宋" w:eastAsia="仿宋" w:cs="仿宋"/>
                <w:color w:val="auto"/>
                <w:lang w:eastAsia="zh-CN"/>
              </w:rPr>
              <w:t>4.1提供漏洞评估服务，对考试院的所有资产或用户指定资产开展漏洞扫描工作，并出具相应的扫描报告，对用户有疑问的漏洞进行答疑</w:t>
            </w:r>
            <w:r>
              <w:rPr>
                <w:rFonts w:hint="eastAsia" w:ascii="仿宋" w:hAnsi="仿宋" w:eastAsia="仿宋" w:cs="仿宋"/>
                <w:color w:val="auto"/>
                <w:lang w:eastAsia="zh-CN"/>
              </w:rPr>
              <w:t>解惑</w:t>
            </w:r>
            <w:r>
              <w:rPr>
                <w:rFonts w:ascii="仿宋" w:hAnsi="仿宋" w:eastAsia="仿宋" w:cs="仿宋"/>
                <w:color w:val="auto"/>
                <w:lang w:eastAsia="zh-CN"/>
              </w:rPr>
              <w:t>，并提供针对性的漏洞修复建议，对发现的高危漏洞风险进行闭环跟踪，在业务人员修复漏洞后进行漏洞复测，并留存相应的复测记录。</w:t>
            </w:r>
          </w:p>
          <w:p w14:paraId="7E4257C6">
            <w:pPr>
              <w:pStyle w:val="4"/>
              <w:jc w:val="both"/>
              <w:rPr>
                <w:rFonts w:ascii="仿宋" w:hAnsi="仿宋" w:eastAsia="仿宋" w:cs="仿宋"/>
                <w:color w:val="auto"/>
                <w:lang w:eastAsia="zh-CN"/>
              </w:rPr>
            </w:pPr>
            <w:r>
              <w:rPr>
                <w:rFonts w:ascii="仿宋" w:hAnsi="仿宋" w:eastAsia="仿宋" w:cs="仿宋"/>
                <w:color w:val="auto"/>
                <w:lang w:eastAsia="zh-CN"/>
              </w:rPr>
              <w:t>4.2服务期内至少完成12次全量资产的漏洞扫描工作，以及按考试院需求提供不限次、不定期地针对指定资产、组件等提供专项漏洞扫描，每次扫描结束后输出相应的《漏洞扫描报告》，并记录复测结果。</w:t>
            </w:r>
          </w:p>
        </w:tc>
      </w:tr>
      <w:tr w14:paraId="7BF1E1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09373858">
            <w:pPr>
              <w:pStyle w:val="4"/>
              <w:jc w:val="center"/>
              <w:rPr>
                <w:rFonts w:ascii="仿宋" w:hAnsi="仿宋" w:eastAsia="仿宋" w:cs="仿宋"/>
                <w:color w:val="auto"/>
                <w:lang w:eastAsia="zh-CN"/>
              </w:rPr>
            </w:pPr>
            <w:r>
              <w:rPr>
                <w:rFonts w:ascii="仿宋" w:hAnsi="仿宋" w:eastAsia="仿宋" w:cs="仿宋"/>
                <w:color w:val="auto"/>
                <w:lang w:eastAsia="zh-CN"/>
              </w:rPr>
              <w:t>8</w:t>
            </w:r>
          </w:p>
        </w:tc>
        <w:tc>
          <w:tcPr>
            <w:tcW w:w="737" w:type="dxa"/>
            <w:vAlign w:val="center"/>
          </w:tcPr>
          <w:p w14:paraId="64ACFA80">
            <w:pPr>
              <w:pStyle w:val="4"/>
              <w:jc w:val="center"/>
              <w:rPr>
                <w:rFonts w:ascii="仿宋" w:hAnsi="仿宋" w:eastAsia="仿宋" w:cs="仿宋"/>
                <w:color w:val="auto"/>
              </w:rPr>
            </w:pPr>
            <w:r>
              <w:rPr>
                <w:rFonts w:ascii="仿宋" w:hAnsi="仿宋" w:eastAsia="仿宋" w:cs="仿宋"/>
                <w:color w:val="auto"/>
              </w:rPr>
              <w:t>▲</w:t>
            </w:r>
          </w:p>
        </w:tc>
        <w:tc>
          <w:tcPr>
            <w:tcW w:w="7031" w:type="dxa"/>
          </w:tcPr>
          <w:p w14:paraId="6B6B3B1B">
            <w:pPr>
              <w:pStyle w:val="4"/>
              <w:rPr>
                <w:rFonts w:ascii="仿宋" w:hAnsi="仿宋" w:eastAsia="仿宋" w:cs="仿宋"/>
                <w:color w:val="auto"/>
                <w:lang w:eastAsia="zh-CN"/>
              </w:rPr>
            </w:pPr>
            <w:r>
              <w:rPr>
                <w:rFonts w:ascii="仿宋" w:hAnsi="仿宋" w:eastAsia="仿宋" w:cs="仿宋"/>
                <w:color w:val="auto"/>
                <w:lang w:eastAsia="zh-CN"/>
              </w:rPr>
              <w:t>4.3服务工具具备主机扫描、网站扫描、数据库扫描、基线配置、事件内容、协同扫描、弱口令扫描、存活主机探测、大数据漏洞扫描、物联网漏洞扫描、信创漏洞扫描、无感扫描等任务类型。（需提供工具相关功能截图证明并加盖公章）</w:t>
            </w:r>
          </w:p>
        </w:tc>
      </w:tr>
      <w:tr w14:paraId="11DF3B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037CD06A">
            <w:pPr>
              <w:pStyle w:val="4"/>
              <w:jc w:val="center"/>
              <w:rPr>
                <w:rFonts w:ascii="仿宋" w:hAnsi="仿宋" w:eastAsia="仿宋" w:cs="仿宋"/>
                <w:color w:val="auto"/>
                <w:lang w:eastAsia="zh-CN"/>
              </w:rPr>
            </w:pPr>
            <w:r>
              <w:rPr>
                <w:rFonts w:ascii="仿宋" w:hAnsi="仿宋" w:eastAsia="仿宋" w:cs="仿宋"/>
                <w:color w:val="auto"/>
                <w:lang w:eastAsia="zh-CN"/>
              </w:rPr>
              <w:t>9</w:t>
            </w:r>
          </w:p>
        </w:tc>
        <w:tc>
          <w:tcPr>
            <w:tcW w:w="737" w:type="dxa"/>
            <w:vAlign w:val="center"/>
          </w:tcPr>
          <w:p w14:paraId="16B31F34">
            <w:pPr>
              <w:pStyle w:val="4"/>
              <w:jc w:val="center"/>
              <w:rPr>
                <w:rFonts w:ascii="仿宋" w:hAnsi="仿宋" w:eastAsia="仿宋" w:cs="仿宋"/>
                <w:color w:val="auto"/>
              </w:rPr>
            </w:pPr>
            <w:r>
              <w:rPr>
                <w:rFonts w:ascii="仿宋" w:hAnsi="仿宋" w:eastAsia="仿宋" w:cs="仿宋"/>
                <w:color w:val="auto"/>
              </w:rPr>
              <w:t>▲</w:t>
            </w:r>
          </w:p>
        </w:tc>
        <w:tc>
          <w:tcPr>
            <w:tcW w:w="7031" w:type="dxa"/>
          </w:tcPr>
          <w:p w14:paraId="29393C85">
            <w:pPr>
              <w:pStyle w:val="4"/>
              <w:rPr>
                <w:rFonts w:ascii="仿宋" w:hAnsi="仿宋" w:eastAsia="仿宋" w:cs="仿宋"/>
                <w:color w:val="auto"/>
                <w:lang w:eastAsia="zh-CN"/>
              </w:rPr>
            </w:pPr>
            <w:r>
              <w:rPr>
                <w:rFonts w:ascii="仿宋" w:hAnsi="仿宋" w:eastAsia="仿宋" w:cs="仿宋"/>
                <w:color w:val="auto"/>
                <w:lang w:eastAsia="zh-CN"/>
              </w:rPr>
              <w:t>4.4服务工具模拟勒索攻击路径，评测考试院网络环境对勒索风险的防护能力，提供babuk、BlackBasta、BlackCat、conti、crylock、mallox等流行勒索家族攻击检测，涵盖ATT&amp;CK中初始化访问、执行、持久化、权限提升、防御规避、信息搜集、发现、横向移动、命令控制等方向技术。（需提供工具相关功能截图证明并加盖公章）</w:t>
            </w:r>
          </w:p>
        </w:tc>
      </w:tr>
      <w:tr w14:paraId="517CA7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36791EC6">
            <w:pPr>
              <w:pStyle w:val="4"/>
              <w:jc w:val="center"/>
              <w:rPr>
                <w:rFonts w:ascii="仿宋" w:hAnsi="仿宋" w:eastAsia="仿宋" w:cs="仿宋"/>
                <w:color w:val="auto"/>
                <w:lang w:eastAsia="zh-CN"/>
              </w:rPr>
            </w:pPr>
            <w:r>
              <w:rPr>
                <w:rFonts w:ascii="仿宋" w:hAnsi="仿宋" w:eastAsia="仿宋" w:cs="仿宋"/>
                <w:color w:val="auto"/>
                <w:lang w:eastAsia="zh-CN"/>
              </w:rPr>
              <w:t>10</w:t>
            </w:r>
          </w:p>
        </w:tc>
        <w:tc>
          <w:tcPr>
            <w:tcW w:w="737" w:type="dxa"/>
            <w:vAlign w:val="center"/>
          </w:tcPr>
          <w:p w14:paraId="4417A8D7">
            <w:pPr>
              <w:pStyle w:val="4"/>
              <w:jc w:val="center"/>
              <w:rPr>
                <w:rFonts w:ascii="仿宋" w:hAnsi="仿宋" w:eastAsia="仿宋" w:cs="仿宋"/>
                <w:color w:val="auto"/>
              </w:rPr>
            </w:pPr>
          </w:p>
        </w:tc>
        <w:tc>
          <w:tcPr>
            <w:tcW w:w="7031" w:type="dxa"/>
          </w:tcPr>
          <w:p w14:paraId="5F1F50F0">
            <w:pPr>
              <w:pStyle w:val="4"/>
              <w:rPr>
                <w:rFonts w:ascii="仿宋" w:hAnsi="仿宋" w:eastAsia="仿宋" w:cs="仿宋"/>
                <w:color w:val="auto"/>
                <w:lang w:eastAsia="zh-CN"/>
              </w:rPr>
            </w:pPr>
            <w:r>
              <w:rPr>
                <w:rFonts w:ascii="仿宋" w:hAnsi="仿宋" w:eastAsia="仿宋" w:cs="仿宋"/>
                <w:color w:val="auto"/>
                <w:lang w:eastAsia="zh-CN"/>
              </w:rPr>
              <w:t>5.主机安全加固服务</w:t>
            </w:r>
          </w:p>
          <w:p w14:paraId="375A6094">
            <w:pPr>
              <w:pStyle w:val="4"/>
              <w:rPr>
                <w:rFonts w:ascii="仿宋" w:hAnsi="仿宋" w:eastAsia="仿宋" w:cs="仿宋"/>
                <w:color w:val="auto"/>
                <w:lang w:eastAsia="zh-CN"/>
              </w:rPr>
            </w:pPr>
            <w:r>
              <w:rPr>
                <w:rFonts w:ascii="仿宋" w:hAnsi="仿宋" w:eastAsia="仿宋" w:cs="仿宋"/>
                <w:color w:val="auto"/>
                <w:lang w:eastAsia="zh-CN"/>
              </w:rPr>
              <w:t>5.1提供主机病毒查杀、网马查杀、补丁管理、微隔离、主动防御功能，包括已知和未知类型勒索病毒检测查杀</w:t>
            </w:r>
            <w:r>
              <w:rPr>
                <w:rFonts w:hint="eastAsia" w:ascii="仿宋" w:hAnsi="仿宋" w:eastAsia="仿宋" w:cs="仿宋"/>
                <w:color w:val="auto"/>
                <w:lang w:eastAsia="zh-CN"/>
              </w:rPr>
              <w:t>，</w:t>
            </w:r>
            <w:r>
              <w:rPr>
                <w:rFonts w:ascii="仿宋" w:hAnsi="仿宋" w:eastAsia="仿宋" w:cs="仿宋"/>
                <w:color w:val="auto"/>
                <w:lang w:eastAsia="zh-CN"/>
              </w:rPr>
              <w:t>挖矿防御查杀，高级威胁防御，渗透攻击防护，系统登录防护，防暴力破解，进程防御，WEB应用防护，文件访问监控等功能。提供不少于200</w:t>
            </w:r>
            <w:r>
              <w:rPr>
                <w:rFonts w:hint="eastAsia" w:ascii="仿宋" w:hAnsi="仿宋" w:eastAsia="仿宋" w:cs="仿宋"/>
                <w:color w:val="auto"/>
                <w:lang w:eastAsia="zh-CN"/>
              </w:rPr>
              <w:t>台</w:t>
            </w:r>
            <w:r>
              <w:rPr>
                <w:rFonts w:ascii="仿宋" w:hAnsi="仿宋" w:eastAsia="仿宋" w:cs="仿宋"/>
                <w:color w:val="auto"/>
                <w:lang w:eastAsia="zh-CN"/>
              </w:rPr>
              <w:t>服务器（包括虚拟主机）、200个PC终端的防护能力。</w:t>
            </w:r>
          </w:p>
          <w:p w14:paraId="5A1E5813">
            <w:pPr>
              <w:pStyle w:val="4"/>
              <w:rPr>
                <w:rFonts w:hint="default" w:ascii="仿宋" w:hAnsi="仿宋" w:eastAsia="仿宋" w:cs="仿宋"/>
                <w:color w:val="auto"/>
                <w:lang w:eastAsia="zh-CN"/>
              </w:rPr>
            </w:pPr>
            <w:r>
              <w:rPr>
                <w:rFonts w:ascii="仿宋" w:hAnsi="仿宋" w:eastAsia="仿宋" w:cs="仿宋"/>
                <w:color w:val="auto"/>
                <w:lang w:eastAsia="zh-CN"/>
              </w:rPr>
              <w:t>5.2提供未知勒索病毒的诱饵防护引擎，通过自动生成的高仿真文件诱捕未知勒索病毒的攻击，并进行实时阻断。</w:t>
            </w:r>
          </w:p>
          <w:p w14:paraId="534633BF">
            <w:pPr>
              <w:pStyle w:val="4"/>
              <w:rPr>
                <w:rFonts w:hint="default" w:ascii="仿宋" w:hAnsi="仿宋" w:eastAsia="仿宋" w:cs="仿宋"/>
                <w:color w:val="auto"/>
                <w:lang w:eastAsia="zh-CN"/>
              </w:rPr>
            </w:pPr>
            <w:r>
              <w:rPr>
                <w:rFonts w:ascii="仿宋" w:hAnsi="仿宋" w:eastAsia="仿宋" w:cs="仿宋"/>
                <w:color w:val="auto"/>
                <w:lang w:eastAsia="zh-CN"/>
              </w:rPr>
              <w:t>5.3通过实时监控能力，发现各主机进程内存中是否被注入后门，包括内存马风险说明、内存马类名、内存马路径、堆栈轨迹、攻击技战术、处理建议</w:t>
            </w:r>
            <w:r>
              <w:rPr>
                <w:rFonts w:hint="eastAsia" w:ascii="仿宋" w:hAnsi="仿宋" w:eastAsia="仿宋" w:cs="仿宋"/>
                <w:color w:val="auto"/>
                <w:lang w:eastAsia="zh-CN"/>
              </w:rPr>
              <w:t>，</w:t>
            </w:r>
            <w:r>
              <w:rPr>
                <w:rFonts w:ascii="仿宋" w:hAnsi="仿宋" w:eastAsia="仿宋" w:cs="仿宋"/>
                <w:color w:val="auto"/>
                <w:lang w:eastAsia="zh-CN"/>
              </w:rPr>
              <w:t>可以有效检测无文件攻击的事件。</w:t>
            </w:r>
          </w:p>
          <w:p w14:paraId="3E8D0D23">
            <w:pPr>
              <w:pStyle w:val="4"/>
              <w:rPr>
                <w:rFonts w:ascii="仿宋" w:hAnsi="仿宋" w:eastAsia="仿宋" w:cs="仿宋"/>
                <w:color w:val="auto"/>
                <w:lang w:eastAsia="zh-CN"/>
              </w:rPr>
            </w:pPr>
            <w:r>
              <w:rPr>
                <w:rFonts w:ascii="仿宋" w:hAnsi="仿宋" w:eastAsia="仿宋" w:cs="仿宋"/>
                <w:color w:val="auto"/>
                <w:lang w:eastAsia="zh-CN"/>
              </w:rPr>
              <w:t>5.4每季度输出《主机安全防护服务报告》，服务期内不少于4份，针对当季度的安全防护服务情况进行汇总分析。</w:t>
            </w:r>
          </w:p>
        </w:tc>
      </w:tr>
      <w:tr w14:paraId="24DEF1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25D5D322">
            <w:pPr>
              <w:pStyle w:val="4"/>
              <w:jc w:val="center"/>
              <w:rPr>
                <w:rFonts w:ascii="仿宋" w:hAnsi="仿宋" w:eastAsia="仿宋" w:cs="仿宋"/>
                <w:color w:val="auto"/>
                <w:lang w:eastAsia="zh-CN"/>
              </w:rPr>
            </w:pPr>
            <w:r>
              <w:rPr>
                <w:rFonts w:ascii="仿宋" w:hAnsi="仿宋" w:eastAsia="仿宋" w:cs="仿宋"/>
                <w:color w:val="auto"/>
                <w:lang w:eastAsia="zh-CN"/>
              </w:rPr>
              <w:t>11</w:t>
            </w:r>
          </w:p>
        </w:tc>
        <w:tc>
          <w:tcPr>
            <w:tcW w:w="737" w:type="dxa"/>
            <w:vAlign w:val="center"/>
          </w:tcPr>
          <w:p w14:paraId="469E78F2">
            <w:pPr>
              <w:pStyle w:val="4"/>
              <w:jc w:val="center"/>
              <w:rPr>
                <w:rFonts w:ascii="仿宋" w:hAnsi="仿宋" w:eastAsia="仿宋" w:cs="仿宋"/>
                <w:color w:val="auto"/>
              </w:rPr>
            </w:pPr>
            <w:r>
              <w:rPr>
                <w:rFonts w:ascii="仿宋" w:hAnsi="仿宋" w:eastAsia="仿宋" w:cs="仿宋"/>
                <w:color w:val="auto"/>
              </w:rPr>
              <w:t>▲</w:t>
            </w:r>
          </w:p>
        </w:tc>
        <w:tc>
          <w:tcPr>
            <w:tcW w:w="7031" w:type="dxa"/>
          </w:tcPr>
          <w:p w14:paraId="3EA0B555">
            <w:pPr>
              <w:pStyle w:val="4"/>
              <w:rPr>
                <w:rFonts w:ascii="仿宋" w:hAnsi="仿宋" w:eastAsia="仿宋" w:cs="仿宋"/>
                <w:color w:val="auto"/>
                <w:lang w:eastAsia="zh-CN"/>
              </w:rPr>
            </w:pPr>
            <w:r>
              <w:rPr>
                <w:rFonts w:ascii="仿宋" w:hAnsi="仿宋" w:eastAsia="仿宋" w:cs="仿宋"/>
                <w:color w:val="auto"/>
                <w:lang w:eastAsia="zh-CN"/>
              </w:rPr>
              <w:t>5.5暴力破解防护，支持开启AI哨兵模式，持续学习业务特征，识别行为偏差及非法登录特征，阻断爆破行为。（需提供工具相关功能截图证明并加盖公章）</w:t>
            </w:r>
          </w:p>
        </w:tc>
      </w:tr>
      <w:tr w14:paraId="0642A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2C0F1C22">
            <w:pPr>
              <w:pStyle w:val="4"/>
              <w:jc w:val="center"/>
              <w:rPr>
                <w:rFonts w:ascii="仿宋" w:hAnsi="仿宋" w:eastAsia="仿宋" w:cs="仿宋"/>
                <w:color w:val="auto"/>
                <w:lang w:eastAsia="zh-CN"/>
              </w:rPr>
            </w:pPr>
            <w:r>
              <w:rPr>
                <w:rFonts w:ascii="仿宋" w:hAnsi="仿宋" w:eastAsia="仿宋" w:cs="仿宋"/>
                <w:color w:val="auto"/>
                <w:lang w:eastAsia="zh-CN"/>
              </w:rPr>
              <w:t>12</w:t>
            </w:r>
          </w:p>
        </w:tc>
        <w:tc>
          <w:tcPr>
            <w:tcW w:w="737" w:type="dxa"/>
            <w:vAlign w:val="center"/>
          </w:tcPr>
          <w:p w14:paraId="68AFC1FE">
            <w:pPr>
              <w:pStyle w:val="4"/>
              <w:jc w:val="center"/>
              <w:rPr>
                <w:rFonts w:ascii="仿宋" w:hAnsi="仿宋" w:eastAsia="仿宋" w:cs="仿宋"/>
                <w:color w:val="auto"/>
              </w:rPr>
            </w:pPr>
          </w:p>
        </w:tc>
        <w:tc>
          <w:tcPr>
            <w:tcW w:w="7031" w:type="dxa"/>
          </w:tcPr>
          <w:p w14:paraId="5D09F1B6">
            <w:pPr>
              <w:pStyle w:val="4"/>
              <w:rPr>
                <w:rFonts w:ascii="仿宋" w:hAnsi="仿宋" w:eastAsia="仿宋" w:cs="仿宋"/>
                <w:color w:val="auto"/>
                <w:lang w:eastAsia="zh-CN"/>
              </w:rPr>
            </w:pPr>
            <w:r>
              <w:rPr>
                <w:rFonts w:ascii="仿宋" w:hAnsi="仿宋" w:eastAsia="仿宋" w:cs="仿宋"/>
                <w:color w:val="auto"/>
                <w:lang w:eastAsia="zh-CN"/>
              </w:rPr>
              <w:t>6.安全托管运营服务</w:t>
            </w:r>
          </w:p>
          <w:p w14:paraId="3E6E96DF">
            <w:pPr>
              <w:pStyle w:val="4"/>
              <w:rPr>
                <w:rFonts w:ascii="仿宋" w:hAnsi="仿宋" w:eastAsia="仿宋" w:cs="仿宋"/>
                <w:color w:val="auto"/>
                <w:lang w:eastAsia="zh-CN"/>
              </w:rPr>
            </w:pPr>
            <w:r>
              <w:rPr>
                <w:rFonts w:ascii="仿宋" w:hAnsi="仿宋" w:eastAsia="仿宋" w:cs="仿宋"/>
                <w:color w:val="auto"/>
                <w:lang w:eastAsia="zh-CN"/>
              </w:rPr>
              <w:t>6.1提供全年7×24小时安全托管运营服务，基于现场已有的态势感知平台对考试院相关安全风险、威胁等进行远程实时监测和安全运营，服务内容至少包括：威胁监测与分析、威胁处置、应急响应、安全有效性调优、安全汇报等服务，安全运营重要资产数不少于100个。</w:t>
            </w:r>
          </w:p>
          <w:p w14:paraId="3F2D802F">
            <w:pPr>
              <w:pStyle w:val="4"/>
              <w:rPr>
                <w:rFonts w:ascii="仿宋" w:hAnsi="仿宋" w:eastAsia="仿宋" w:cs="仿宋"/>
                <w:color w:val="auto"/>
                <w:lang w:eastAsia="zh-CN"/>
              </w:rPr>
            </w:pPr>
            <w:r>
              <w:rPr>
                <w:rFonts w:ascii="仿宋" w:hAnsi="仿宋" w:eastAsia="仿宋" w:cs="仿宋"/>
                <w:color w:val="auto"/>
                <w:lang w:eastAsia="zh-CN"/>
              </w:rPr>
              <w:t>6.2面向考试院的云网基础设施、业务系统提供远程安全监测分析能力，对发现的安全风险进行专业人工分析、验证后，在考试院指定的内部工作群发布安全风险提醒，由驻场人员辅助进行风险处置，对每个风险需完成风险提醒、处置、反馈、验证归档的闭环管理，在处置完成后，进行风险复测验证，确保风险修复闭环，对因客观原因无法处置的，应尽可能采取措施降低风险，并进行记录归档。</w:t>
            </w:r>
          </w:p>
          <w:p w14:paraId="1261D0B7">
            <w:pPr>
              <w:pStyle w:val="4"/>
              <w:rPr>
                <w:rFonts w:hint="default" w:ascii="仿宋" w:hAnsi="仿宋" w:eastAsia="仿宋" w:cs="仿宋"/>
                <w:color w:val="auto"/>
                <w:lang w:eastAsia="zh-CN"/>
              </w:rPr>
            </w:pPr>
            <w:r>
              <w:rPr>
                <w:rFonts w:ascii="仿宋" w:hAnsi="仿宋" w:eastAsia="仿宋" w:cs="仿宋"/>
                <w:color w:val="auto"/>
                <w:lang w:eastAsia="zh-CN"/>
              </w:rPr>
              <w:t>6.3每月输出《安全托管运营服务报告》，服务期内不少于12份，针对当月的安全运营分析情况进行汇总分析。</w:t>
            </w:r>
          </w:p>
          <w:p w14:paraId="6653237C">
            <w:pPr>
              <w:pStyle w:val="4"/>
              <w:rPr>
                <w:rFonts w:ascii="仿宋" w:hAnsi="仿宋" w:eastAsia="仿宋" w:cs="仿宋"/>
                <w:color w:val="auto"/>
                <w:lang w:eastAsia="zh-CN"/>
              </w:rPr>
            </w:pPr>
            <w:r>
              <w:rPr>
                <w:rFonts w:ascii="仿宋" w:hAnsi="仿宋" w:eastAsia="仿宋" w:cs="仿宋"/>
                <w:color w:val="auto"/>
                <w:lang w:eastAsia="zh-CN"/>
              </w:rPr>
              <w:t>6.4期间每发生一次安全事件，经确认属于服务未通知或不到位的，扣除本项服务费用的5%。</w:t>
            </w:r>
          </w:p>
        </w:tc>
      </w:tr>
      <w:tr w14:paraId="116C7C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6EB64DB3">
            <w:pPr>
              <w:pStyle w:val="4"/>
              <w:jc w:val="center"/>
              <w:rPr>
                <w:rFonts w:ascii="仿宋" w:hAnsi="仿宋" w:eastAsia="仿宋" w:cs="仿宋"/>
                <w:color w:val="auto"/>
                <w:lang w:eastAsia="zh-CN"/>
              </w:rPr>
            </w:pPr>
            <w:r>
              <w:rPr>
                <w:rFonts w:ascii="仿宋" w:hAnsi="仿宋" w:eastAsia="仿宋" w:cs="仿宋"/>
                <w:color w:val="auto"/>
                <w:lang w:eastAsia="zh-CN"/>
              </w:rPr>
              <w:t>13</w:t>
            </w:r>
          </w:p>
        </w:tc>
        <w:tc>
          <w:tcPr>
            <w:tcW w:w="737" w:type="dxa"/>
            <w:vAlign w:val="center"/>
          </w:tcPr>
          <w:p w14:paraId="3DFC4D5C">
            <w:pPr>
              <w:pStyle w:val="4"/>
              <w:jc w:val="center"/>
              <w:rPr>
                <w:rFonts w:ascii="仿宋" w:hAnsi="仿宋" w:eastAsia="仿宋" w:cs="仿宋"/>
                <w:color w:val="auto"/>
              </w:rPr>
            </w:pPr>
            <w:r>
              <w:rPr>
                <w:rFonts w:ascii="仿宋" w:hAnsi="仿宋" w:eastAsia="仿宋" w:cs="仿宋"/>
                <w:color w:val="auto"/>
              </w:rPr>
              <w:t>▲</w:t>
            </w:r>
          </w:p>
        </w:tc>
        <w:tc>
          <w:tcPr>
            <w:tcW w:w="7031" w:type="dxa"/>
          </w:tcPr>
          <w:p w14:paraId="1227AEB2">
            <w:pPr>
              <w:pStyle w:val="4"/>
              <w:rPr>
                <w:rFonts w:ascii="仿宋" w:hAnsi="仿宋" w:eastAsia="仿宋" w:cs="仿宋"/>
                <w:color w:val="auto"/>
                <w:lang w:eastAsia="zh-CN"/>
              </w:rPr>
            </w:pPr>
            <w:r>
              <w:rPr>
                <w:rFonts w:ascii="仿宋" w:hAnsi="仿宋" w:eastAsia="仿宋" w:cs="仿宋"/>
                <w:color w:val="auto"/>
                <w:lang w:eastAsia="zh-CN"/>
              </w:rPr>
              <w:t>6.5为了提升安全运营效率，服务工具需具备AI数字专家，能够辅助运营人员对安全事件进行分析，分析环节包括数据基本信息查询、事件顶级标准查询、客户运营备注获取、攻击者分析、资产历史事件查询、受害者分析、事件综合研判等。（需提供工具相关功能截图证明并加盖公章）</w:t>
            </w:r>
          </w:p>
        </w:tc>
      </w:tr>
      <w:tr w14:paraId="3446FD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5C1AB810">
            <w:pPr>
              <w:pStyle w:val="4"/>
              <w:jc w:val="center"/>
              <w:rPr>
                <w:rFonts w:ascii="仿宋" w:hAnsi="仿宋" w:eastAsia="仿宋" w:cs="仿宋"/>
                <w:color w:val="auto"/>
                <w:lang w:eastAsia="zh-CN"/>
              </w:rPr>
            </w:pPr>
            <w:r>
              <w:rPr>
                <w:rFonts w:ascii="仿宋" w:hAnsi="仿宋" w:eastAsia="仿宋" w:cs="仿宋"/>
                <w:color w:val="auto"/>
                <w:lang w:eastAsia="zh-CN"/>
              </w:rPr>
              <w:t>14</w:t>
            </w:r>
          </w:p>
        </w:tc>
        <w:tc>
          <w:tcPr>
            <w:tcW w:w="737" w:type="dxa"/>
            <w:vAlign w:val="center"/>
          </w:tcPr>
          <w:p w14:paraId="6B3DB2DA">
            <w:pPr>
              <w:pStyle w:val="4"/>
              <w:jc w:val="center"/>
              <w:rPr>
                <w:rFonts w:ascii="仿宋" w:hAnsi="仿宋" w:eastAsia="仿宋" w:cs="仿宋"/>
                <w:color w:val="auto"/>
              </w:rPr>
            </w:pPr>
          </w:p>
        </w:tc>
        <w:tc>
          <w:tcPr>
            <w:tcW w:w="7031" w:type="dxa"/>
          </w:tcPr>
          <w:p w14:paraId="506E7399">
            <w:pPr>
              <w:pStyle w:val="4"/>
              <w:rPr>
                <w:rFonts w:ascii="仿宋" w:hAnsi="仿宋" w:eastAsia="仿宋" w:cs="仿宋"/>
                <w:color w:val="auto"/>
                <w:lang w:eastAsia="zh-CN"/>
              </w:rPr>
            </w:pPr>
            <w:r>
              <w:rPr>
                <w:rFonts w:ascii="仿宋" w:hAnsi="仿宋" w:eastAsia="仿宋" w:cs="仿宋"/>
                <w:color w:val="auto"/>
                <w:lang w:eastAsia="zh-CN"/>
              </w:rPr>
              <w:t>7.AI代码审计服务</w:t>
            </w:r>
          </w:p>
          <w:p w14:paraId="2DC5B3B4">
            <w:pPr>
              <w:pStyle w:val="4"/>
              <w:rPr>
                <w:rFonts w:ascii="仿宋" w:hAnsi="仿宋" w:eastAsia="仿宋" w:cs="仿宋"/>
                <w:color w:val="auto"/>
                <w:lang w:eastAsia="zh-CN"/>
              </w:rPr>
            </w:pPr>
            <w:r>
              <w:rPr>
                <w:rFonts w:ascii="仿宋" w:hAnsi="仿宋" w:eastAsia="仿宋" w:cs="仿宋"/>
                <w:color w:val="auto"/>
                <w:lang w:eastAsia="zh-CN"/>
              </w:rPr>
              <w:t>7.1提供AI代码审计服务，对重要业务的程序源代码逐条进行检查、分析，发现其中的错误信息、安全隐患和规范性缺陷问题，以及由这些问题引发的安全漏洞，提供代码优化建议。服务期内至少提供1次代码审计服务，审计工作量不少于100万行代码。</w:t>
            </w:r>
          </w:p>
          <w:p w14:paraId="6E38F943">
            <w:pPr>
              <w:pStyle w:val="4"/>
              <w:rPr>
                <w:rFonts w:hint="default" w:ascii="仿宋" w:hAnsi="仿宋" w:eastAsia="仿宋" w:cs="仿宋"/>
                <w:color w:val="auto"/>
                <w:lang w:eastAsia="zh-CN"/>
              </w:rPr>
            </w:pPr>
            <w:r>
              <w:rPr>
                <w:rFonts w:ascii="仿宋" w:hAnsi="仿宋" w:eastAsia="仿宋" w:cs="仿宋"/>
                <w:color w:val="auto"/>
                <w:lang w:eastAsia="zh-CN"/>
              </w:rPr>
              <w:t>7.2提供基于AI的审计需求理解能力，通过自然语言描述审计目标与范围，能够自动解析代码压缩包，识别项目语言类型、代码结构及相关特征信息，并结合审计场景智能推荐或自动生成审计策略。</w:t>
            </w:r>
          </w:p>
          <w:p w14:paraId="1FC76E1C">
            <w:pPr>
              <w:pStyle w:val="4"/>
              <w:rPr>
                <w:rFonts w:ascii="仿宋" w:hAnsi="仿宋" w:eastAsia="仿宋" w:cs="仿宋"/>
                <w:color w:val="auto"/>
                <w:lang w:eastAsia="zh-CN"/>
              </w:rPr>
            </w:pPr>
            <w:r>
              <w:rPr>
                <w:rFonts w:ascii="仿宋" w:hAnsi="仿宋" w:eastAsia="仿宋" w:cs="仿宋"/>
                <w:color w:val="auto"/>
                <w:lang w:eastAsia="zh-CN"/>
              </w:rPr>
              <w:t>7.3审计服务能够从可靠性、可维护性、覆盖率、重复度、大小、复杂度、问题、安全等方面量化源代码的详细质量情况，评估源代码的质量情况。</w:t>
            </w:r>
          </w:p>
          <w:p w14:paraId="43ECF256">
            <w:pPr>
              <w:pStyle w:val="4"/>
              <w:rPr>
                <w:rFonts w:ascii="仿宋" w:hAnsi="仿宋" w:eastAsia="仿宋" w:cs="仿宋"/>
                <w:color w:val="auto"/>
                <w:lang w:eastAsia="zh-CN"/>
              </w:rPr>
            </w:pPr>
            <w:r>
              <w:rPr>
                <w:rFonts w:ascii="仿宋" w:hAnsi="仿宋" w:eastAsia="仿宋" w:cs="仿宋"/>
                <w:color w:val="auto"/>
                <w:lang w:eastAsia="zh-CN"/>
              </w:rPr>
              <w:t>7.4完成审计工作后10个工作日内输出《代码审计报告》，审计报告包括文件数量、代码数量、开发语言、缺陷类型、缺陷风险级别、缺陷数量等信息。</w:t>
            </w:r>
          </w:p>
        </w:tc>
      </w:tr>
      <w:tr w14:paraId="14FECA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24FE4A1A">
            <w:pPr>
              <w:pStyle w:val="4"/>
              <w:jc w:val="center"/>
              <w:rPr>
                <w:rFonts w:ascii="仿宋" w:hAnsi="仿宋" w:eastAsia="仿宋" w:cs="仿宋"/>
                <w:color w:val="auto"/>
                <w:lang w:eastAsia="zh-CN"/>
              </w:rPr>
            </w:pPr>
            <w:r>
              <w:rPr>
                <w:rFonts w:ascii="仿宋" w:hAnsi="仿宋" w:eastAsia="仿宋" w:cs="仿宋"/>
                <w:color w:val="auto"/>
              </w:rPr>
              <w:t>1</w:t>
            </w:r>
            <w:r>
              <w:rPr>
                <w:rFonts w:ascii="仿宋" w:hAnsi="仿宋" w:eastAsia="仿宋" w:cs="仿宋"/>
                <w:color w:val="auto"/>
                <w:lang w:eastAsia="zh-CN"/>
              </w:rPr>
              <w:t>5</w:t>
            </w:r>
          </w:p>
        </w:tc>
        <w:tc>
          <w:tcPr>
            <w:tcW w:w="737" w:type="dxa"/>
            <w:vAlign w:val="center"/>
          </w:tcPr>
          <w:p w14:paraId="516FCDF6">
            <w:pPr>
              <w:pStyle w:val="4"/>
              <w:jc w:val="center"/>
              <w:rPr>
                <w:rFonts w:ascii="仿宋" w:hAnsi="仿宋" w:eastAsia="仿宋" w:cs="仿宋"/>
                <w:color w:val="auto"/>
              </w:rPr>
            </w:pPr>
            <w:r>
              <w:rPr>
                <w:rFonts w:ascii="仿宋" w:hAnsi="仿宋" w:eastAsia="仿宋" w:cs="仿宋"/>
                <w:color w:val="auto"/>
              </w:rPr>
              <w:t>▲</w:t>
            </w:r>
          </w:p>
        </w:tc>
        <w:tc>
          <w:tcPr>
            <w:tcW w:w="7031" w:type="dxa"/>
          </w:tcPr>
          <w:p w14:paraId="41DBA734">
            <w:pPr>
              <w:pStyle w:val="4"/>
              <w:rPr>
                <w:rFonts w:ascii="仿宋" w:hAnsi="仿宋" w:eastAsia="仿宋" w:cs="仿宋"/>
                <w:color w:val="auto"/>
                <w:lang w:eastAsia="zh-CN"/>
              </w:rPr>
            </w:pPr>
            <w:r>
              <w:rPr>
                <w:rFonts w:ascii="仿宋" w:hAnsi="仿宋" w:eastAsia="仿宋" w:cs="仿宋"/>
                <w:color w:val="auto"/>
                <w:lang w:eastAsia="zh-CN"/>
              </w:rPr>
              <w:t>7.5服务工具提供对源代码AI漏洞降噪和AI研判能力，研判白盒漏洞是否为误报，结合历史漏洞数据特征、上下文环境信息，对每个漏洞自动生成置信度评分、成因分析、修复方案等。（需提供工具相关功能截图证明并加盖公章）</w:t>
            </w:r>
          </w:p>
        </w:tc>
      </w:tr>
      <w:tr w14:paraId="3F681D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3F24B69D">
            <w:pPr>
              <w:pStyle w:val="4"/>
              <w:jc w:val="center"/>
              <w:rPr>
                <w:rFonts w:ascii="仿宋" w:hAnsi="仿宋" w:eastAsia="仿宋" w:cs="仿宋"/>
                <w:color w:val="auto"/>
                <w:lang w:eastAsia="zh-CN"/>
              </w:rPr>
            </w:pPr>
            <w:r>
              <w:rPr>
                <w:rFonts w:ascii="仿宋" w:hAnsi="仿宋" w:eastAsia="仿宋" w:cs="仿宋"/>
                <w:color w:val="auto"/>
              </w:rPr>
              <w:t>1</w:t>
            </w:r>
            <w:r>
              <w:rPr>
                <w:rFonts w:ascii="仿宋" w:hAnsi="仿宋" w:eastAsia="仿宋" w:cs="仿宋"/>
                <w:color w:val="auto"/>
                <w:lang w:eastAsia="zh-CN"/>
              </w:rPr>
              <w:t>6</w:t>
            </w:r>
          </w:p>
        </w:tc>
        <w:tc>
          <w:tcPr>
            <w:tcW w:w="737" w:type="dxa"/>
            <w:vAlign w:val="center"/>
          </w:tcPr>
          <w:p w14:paraId="20EEDB36">
            <w:pPr>
              <w:pStyle w:val="4"/>
              <w:jc w:val="center"/>
              <w:rPr>
                <w:rFonts w:ascii="仿宋" w:hAnsi="仿宋" w:eastAsia="仿宋" w:cs="仿宋"/>
                <w:color w:val="auto"/>
              </w:rPr>
            </w:pPr>
          </w:p>
        </w:tc>
        <w:tc>
          <w:tcPr>
            <w:tcW w:w="7031" w:type="dxa"/>
          </w:tcPr>
          <w:p w14:paraId="6CF7E020">
            <w:pPr>
              <w:pStyle w:val="4"/>
              <w:rPr>
                <w:rFonts w:ascii="仿宋" w:hAnsi="仿宋" w:eastAsia="仿宋" w:cs="仿宋"/>
                <w:color w:val="auto"/>
              </w:rPr>
            </w:pPr>
            <w:r>
              <w:rPr>
                <w:rFonts w:ascii="仿宋" w:hAnsi="仿宋" w:eastAsia="仿宋" w:cs="仿宋"/>
                <w:color w:val="auto"/>
              </w:rPr>
              <w:t>8</w:t>
            </w:r>
            <w:r>
              <w:rPr>
                <w:rFonts w:ascii="仿宋" w:hAnsi="仿宋" w:eastAsia="仿宋" w:cs="仿宋"/>
                <w:color w:val="auto"/>
                <w:lang w:eastAsia="zh-CN"/>
              </w:rPr>
              <w:t>.</w:t>
            </w:r>
            <w:r>
              <w:rPr>
                <w:rFonts w:ascii="仿宋" w:hAnsi="仿宋" w:eastAsia="仿宋" w:cs="仿宋"/>
                <w:color w:val="auto"/>
              </w:rPr>
              <w:t>驻场运维服务（网络安全）</w:t>
            </w:r>
          </w:p>
          <w:p w14:paraId="5894A8E7">
            <w:pPr>
              <w:pStyle w:val="4"/>
              <w:rPr>
                <w:rFonts w:ascii="仿宋" w:hAnsi="仿宋" w:eastAsia="仿宋" w:cs="仿宋"/>
                <w:color w:val="auto"/>
                <w:lang w:eastAsia="zh-CN"/>
              </w:rPr>
            </w:pPr>
            <w:r>
              <w:rPr>
                <w:rFonts w:ascii="仿宋" w:hAnsi="仿宋" w:eastAsia="仿宋" w:cs="仿宋"/>
                <w:color w:val="auto"/>
                <w:lang w:eastAsia="zh-CN"/>
              </w:rPr>
              <w:t>8.1服务期内为考试院提供全年1人5×8小时驻场安全运维保障服务。驻场技术人员负责现场既有安全设备、业务系统、安全平台及本项目配套服务工具的全生命周期日常运维管理，包括但不限于设备启停、参数配置、日常操作、故障排查与应急处置等核心工作，确保各类安全基础设施及相关系统稳定、合规、高效运行；同时承担现场安全态势分析、安全事件响应、应急处置及其他协作等专项工作。</w:t>
            </w:r>
          </w:p>
          <w:p w14:paraId="2B8F3103">
            <w:pPr>
              <w:pStyle w:val="4"/>
              <w:rPr>
                <w:rFonts w:ascii="仿宋" w:hAnsi="仿宋" w:eastAsia="仿宋" w:cs="仿宋"/>
                <w:color w:val="auto"/>
                <w:lang w:eastAsia="zh-CN"/>
              </w:rPr>
            </w:pPr>
            <w:r>
              <w:rPr>
                <w:rFonts w:ascii="仿宋" w:hAnsi="仿宋" w:eastAsia="仿宋" w:cs="仿宋"/>
                <w:color w:val="auto"/>
                <w:lang w:eastAsia="zh-CN"/>
              </w:rPr>
              <w:t>8.2协助考试院处理各类现场网络安全相关事务性工作，在重大活动网络安全保障、攻防演练等关键节点，全程现场配合开展业务系统安全防护部署、实时监测、异常处置等工作，保障核心业务系统在关键时期的网络安全。</w:t>
            </w:r>
          </w:p>
          <w:p w14:paraId="3857799E">
            <w:pPr>
              <w:pStyle w:val="4"/>
              <w:rPr>
                <w:rFonts w:ascii="仿宋" w:hAnsi="仿宋" w:eastAsia="仿宋" w:cs="仿宋"/>
                <w:color w:val="auto"/>
                <w:lang w:eastAsia="zh-CN"/>
              </w:rPr>
            </w:pPr>
            <w:r>
              <w:rPr>
                <w:rFonts w:ascii="仿宋" w:hAnsi="仿宋" w:eastAsia="仿宋" w:cs="仿宋"/>
                <w:color w:val="auto"/>
                <w:lang w:eastAsia="zh-CN"/>
              </w:rPr>
              <w:t>8.3负责对考试院现场既有安全设备、业务系统、安全平台及本项目服务工具实施规范化管理与常态化维护，严格按照运维标准，每月完成全量定期巡检，及时发现并闭环处理设备运行异常、配置偏差等问题；每周完成安全特征库版本更新升级，确保安全防护能力同步提升，并结合考试院实际网络安全需求，动态调整、优化安全策略，提升防护精准度与有效性。</w:t>
            </w:r>
          </w:p>
          <w:p w14:paraId="7723DDBD">
            <w:pPr>
              <w:pStyle w:val="4"/>
              <w:rPr>
                <w:rFonts w:ascii="仿宋" w:hAnsi="仿宋" w:eastAsia="仿宋" w:cs="仿宋"/>
                <w:color w:val="auto"/>
                <w:lang w:eastAsia="zh-CN"/>
              </w:rPr>
            </w:pPr>
            <w:r>
              <w:rPr>
                <w:rFonts w:ascii="仿宋" w:hAnsi="仿宋" w:eastAsia="仿宋" w:cs="仿宋"/>
                <w:color w:val="auto"/>
                <w:lang w:eastAsia="zh-CN"/>
              </w:rPr>
              <w:t>8.4定期推送漏洞威胁情报及针对性防护建议，结合网络安全态势变化，及时提供精准化威胁情报预警服务；针对业务系统安全加固工作，同步配合业务应用部门开展安全加固技术指导、漏洞复测等工作，确保加固效果达标，降低安全风险。</w:t>
            </w:r>
          </w:p>
          <w:p w14:paraId="0A388264">
            <w:pPr>
              <w:pStyle w:val="4"/>
              <w:rPr>
                <w:rFonts w:ascii="仿宋" w:hAnsi="仿宋" w:eastAsia="仿宋" w:cs="仿宋"/>
                <w:color w:val="auto"/>
                <w:lang w:eastAsia="zh-CN"/>
              </w:rPr>
            </w:pPr>
            <w:r>
              <w:rPr>
                <w:rFonts w:ascii="仿宋" w:hAnsi="仿宋" w:eastAsia="仿宋" w:cs="仿宋"/>
                <w:color w:val="auto"/>
                <w:lang w:eastAsia="zh-CN"/>
              </w:rPr>
              <w:t>8.5严格按照项目管理规范及进度要求，完成各类服务文档的整理、审核、归档工作，确保文档的完整性、规范性与可追溯性，支撑项目全流程管控；完成考试院交办的其他各类网络安全相关事务性、辅助性工作，主动配合考试院落实各项网络安全管理要求。</w:t>
            </w:r>
          </w:p>
          <w:p w14:paraId="7C763798">
            <w:pPr>
              <w:pStyle w:val="4"/>
              <w:rPr>
                <w:rFonts w:ascii="仿宋" w:hAnsi="仿宋" w:eastAsia="仿宋" w:cs="仿宋"/>
                <w:color w:val="auto"/>
                <w:lang w:eastAsia="zh-CN"/>
              </w:rPr>
            </w:pPr>
            <w:r>
              <w:rPr>
                <w:rFonts w:ascii="仿宋" w:hAnsi="仿宋" w:eastAsia="仿宋" w:cs="仿宋"/>
                <w:color w:val="auto"/>
                <w:lang w:eastAsia="zh-CN"/>
              </w:rPr>
              <w:t>8.6驻场运维服务成果需满足规范化、可追溯要求，包括但不限于《运维巡检报告》《项目驻场周报/月报》《安全情报资讯》《故障处置报告》《安全策略调整记录》等相关成果资料。</w:t>
            </w:r>
          </w:p>
        </w:tc>
      </w:tr>
      <w:tr w14:paraId="714364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4BC9AFD9">
            <w:pPr>
              <w:pStyle w:val="4"/>
              <w:jc w:val="center"/>
              <w:rPr>
                <w:rFonts w:ascii="仿宋" w:hAnsi="仿宋" w:eastAsia="仿宋" w:cs="仿宋"/>
                <w:color w:val="auto"/>
                <w:lang w:eastAsia="zh-CN"/>
              </w:rPr>
            </w:pPr>
            <w:r>
              <w:rPr>
                <w:rFonts w:ascii="仿宋" w:hAnsi="仿宋" w:eastAsia="仿宋" w:cs="仿宋"/>
                <w:color w:val="auto"/>
              </w:rPr>
              <w:t>1</w:t>
            </w:r>
            <w:r>
              <w:rPr>
                <w:rFonts w:ascii="仿宋" w:hAnsi="仿宋" w:eastAsia="仿宋" w:cs="仿宋"/>
                <w:color w:val="auto"/>
                <w:lang w:eastAsia="zh-CN"/>
              </w:rPr>
              <w:t>7</w:t>
            </w:r>
          </w:p>
        </w:tc>
        <w:tc>
          <w:tcPr>
            <w:tcW w:w="737" w:type="dxa"/>
            <w:vAlign w:val="center"/>
          </w:tcPr>
          <w:p w14:paraId="31494F2A">
            <w:pPr>
              <w:pStyle w:val="4"/>
              <w:jc w:val="center"/>
              <w:rPr>
                <w:rFonts w:ascii="仿宋" w:hAnsi="仿宋" w:eastAsia="仿宋" w:cs="仿宋"/>
                <w:color w:val="auto"/>
              </w:rPr>
            </w:pPr>
          </w:p>
        </w:tc>
        <w:tc>
          <w:tcPr>
            <w:tcW w:w="7031" w:type="dxa"/>
          </w:tcPr>
          <w:p w14:paraId="399171EE">
            <w:pPr>
              <w:pStyle w:val="4"/>
              <w:rPr>
                <w:rFonts w:ascii="仿宋" w:hAnsi="仿宋" w:eastAsia="仿宋" w:cs="仿宋"/>
                <w:color w:val="auto"/>
              </w:rPr>
            </w:pPr>
            <w:r>
              <w:rPr>
                <w:rFonts w:ascii="仿宋" w:hAnsi="仿宋" w:eastAsia="仿宋" w:cs="仿宋"/>
                <w:color w:val="auto"/>
              </w:rPr>
              <w:t>9</w:t>
            </w:r>
            <w:r>
              <w:rPr>
                <w:rFonts w:ascii="仿宋" w:hAnsi="仿宋" w:eastAsia="仿宋" w:cs="仿宋"/>
                <w:color w:val="auto"/>
                <w:lang w:eastAsia="zh-CN"/>
              </w:rPr>
              <w:t>.</w:t>
            </w:r>
            <w:r>
              <w:rPr>
                <w:rFonts w:ascii="仿宋" w:hAnsi="仿宋" w:eastAsia="仿宋" w:cs="仿宋"/>
                <w:color w:val="auto"/>
              </w:rPr>
              <w:t>重要时期安全保障服务</w:t>
            </w:r>
          </w:p>
          <w:p w14:paraId="12FD65D9">
            <w:pPr>
              <w:pStyle w:val="4"/>
              <w:rPr>
                <w:rFonts w:ascii="仿宋" w:hAnsi="仿宋" w:eastAsia="仿宋" w:cs="仿宋"/>
                <w:color w:val="auto"/>
              </w:rPr>
            </w:pPr>
            <w:r>
              <w:rPr>
                <w:rFonts w:ascii="仿宋" w:hAnsi="仿宋" w:eastAsia="仿宋" w:cs="仿宋"/>
                <w:color w:val="auto"/>
                <w:lang w:eastAsia="zh-CN"/>
              </w:rPr>
              <w:t>9.1</w:t>
            </w:r>
            <w:r>
              <w:rPr>
                <w:rFonts w:ascii="仿宋" w:hAnsi="仿宋" w:eastAsia="仿宋" w:cs="仿宋"/>
                <w:color w:val="auto"/>
              </w:rPr>
              <w:t>服务商需组建不少于2人的专项重保团队，团队成员需具备丰富的重大活动安全保障经验</w:t>
            </w:r>
            <w:r>
              <w:rPr>
                <w:rFonts w:hint="eastAsia" w:ascii="仿宋" w:hAnsi="仿宋" w:eastAsia="仿宋" w:cs="仿宋"/>
                <w:color w:val="auto"/>
                <w:lang w:eastAsia="zh-CN"/>
              </w:rPr>
              <w:t>，</w:t>
            </w:r>
            <w:r>
              <w:rPr>
                <w:rFonts w:ascii="仿宋" w:hAnsi="仿宋" w:eastAsia="仿宋" w:cs="仿宋"/>
                <w:color w:val="auto"/>
              </w:rPr>
              <w:t>熟悉教育考试系统架构及安全防护要点。重保范围覆盖两会、春节、国庆等重大节假日及各类招生考试、资格考试等关键时期，服务期时长不少于五周。</w:t>
            </w:r>
          </w:p>
          <w:p w14:paraId="0872E32B">
            <w:pPr>
              <w:pStyle w:val="4"/>
              <w:jc w:val="both"/>
              <w:rPr>
                <w:rFonts w:hint="default" w:ascii="仿宋" w:hAnsi="仿宋" w:eastAsia="仿宋" w:cs="仿宋"/>
                <w:color w:val="auto"/>
                <w:lang w:eastAsia="zh-CN"/>
              </w:rPr>
            </w:pPr>
            <w:r>
              <w:rPr>
                <w:rFonts w:ascii="仿宋" w:hAnsi="仿宋" w:eastAsia="仿宋" w:cs="仿宋"/>
                <w:color w:val="auto"/>
                <w:lang w:eastAsia="zh-CN"/>
              </w:rPr>
              <w:t>9.2重保活动启动前，服务商需开展全面的安全风险摸排工作，对考试院网络设备、服务器、业务系统、数据库等核心资产进行全面梳理，精准识别潜在安全风险、漏洞及威胁隐患，建立完整的风险排查台账，明确风险等级、影响范围及整改建议；对摸排出的所有风险问题实行闭环管理，全程跟进整改进度，确保整改到位、隐患清零。</w:t>
            </w:r>
          </w:p>
          <w:p w14:paraId="26DE17C0">
            <w:pPr>
              <w:pStyle w:val="4"/>
              <w:jc w:val="both"/>
              <w:rPr>
                <w:rFonts w:hint="default" w:ascii="仿宋" w:hAnsi="仿宋" w:eastAsia="仿宋" w:cs="仿宋"/>
                <w:color w:val="auto"/>
                <w:lang w:eastAsia="zh-CN"/>
              </w:rPr>
            </w:pPr>
            <w:r>
              <w:rPr>
                <w:rFonts w:ascii="仿宋" w:hAnsi="仿宋" w:eastAsia="仿宋" w:cs="仿宋"/>
                <w:color w:val="auto"/>
                <w:lang w:eastAsia="zh-CN"/>
              </w:rPr>
              <w:t>9.3重保期间实行7×24小时全天候值守，专项重保团队现场驻场值守，</w:t>
            </w:r>
            <w:r>
              <w:rPr>
                <w:rFonts w:hint="eastAsia" w:ascii="仿宋" w:hAnsi="仿宋" w:eastAsia="仿宋" w:cs="仿宋"/>
                <w:color w:val="auto"/>
                <w:lang w:eastAsia="zh-CN"/>
              </w:rPr>
              <w:t>开展实时</w:t>
            </w:r>
            <w:r>
              <w:rPr>
                <w:rFonts w:ascii="仿宋" w:hAnsi="仿宋" w:eastAsia="仿宋" w:cs="仿宋"/>
                <w:color w:val="auto"/>
                <w:lang w:eastAsia="zh-CN"/>
              </w:rPr>
              <w:t>安全监测、风险分析研判、应急处置等工作。依托安全监测工具与人工巡查相结合的方式，实时监测网络流量、系统运行状态及安全告警信息，及时发现异常情况并快速分析研判，最大限度降低事件影响。同时，服务商需组建专业后端技术支撑团队，为现场值守人员提供全方位技术支持，协助处置复杂安全风险、疑难技术问题，保障考试院网络与业务系统持续稳定运行。</w:t>
            </w:r>
          </w:p>
          <w:p w14:paraId="3CD499E2">
            <w:pPr>
              <w:pStyle w:val="4"/>
              <w:jc w:val="both"/>
              <w:rPr>
                <w:rFonts w:ascii="仿宋" w:hAnsi="仿宋" w:eastAsia="仿宋" w:cs="仿宋"/>
                <w:color w:val="auto"/>
                <w:lang w:eastAsia="zh-CN"/>
              </w:rPr>
            </w:pPr>
            <w:r>
              <w:rPr>
                <w:rFonts w:ascii="仿宋" w:hAnsi="仿宋" w:eastAsia="仿宋" w:cs="仿宋"/>
                <w:color w:val="auto"/>
                <w:lang w:eastAsia="zh-CN"/>
              </w:rPr>
              <w:t>9.4重保活动结束后7个工作日内，服务商需编制并提交《重要活动保障服务总结报告》，报告需内容详实、数据准确、重点突出，全面涵盖重保值守情况、风险排查及整改闭环情况、安全事件处置详情、保障工作成效、存在的问题及优化建议等内容，为考试院后续安全防护工作提供参考依据。</w:t>
            </w:r>
          </w:p>
        </w:tc>
      </w:tr>
      <w:tr w14:paraId="757FAC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6A2F8946">
            <w:pPr>
              <w:pStyle w:val="4"/>
              <w:jc w:val="center"/>
              <w:rPr>
                <w:rFonts w:ascii="仿宋" w:hAnsi="仿宋" w:eastAsia="仿宋" w:cs="仿宋"/>
                <w:color w:val="auto"/>
                <w:lang w:eastAsia="zh-CN"/>
              </w:rPr>
            </w:pPr>
            <w:r>
              <w:rPr>
                <w:rFonts w:ascii="仿宋" w:hAnsi="仿宋" w:eastAsia="仿宋" w:cs="仿宋"/>
                <w:color w:val="auto"/>
              </w:rPr>
              <w:t>1</w:t>
            </w:r>
            <w:r>
              <w:rPr>
                <w:rFonts w:ascii="仿宋" w:hAnsi="仿宋" w:eastAsia="仿宋" w:cs="仿宋"/>
                <w:color w:val="auto"/>
                <w:lang w:eastAsia="zh-CN"/>
              </w:rPr>
              <w:t>8</w:t>
            </w:r>
          </w:p>
        </w:tc>
        <w:tc>
          <w:tcPr>
            <w:tcW w:w="737" w:type="dxa"/>
            <w:vAlign w:val="center"/>
          </w:tcPr>
          <w:p w14:paraId="1EF3E085">
            <w:pPr>
              <w:pStyle w:val="4"/>
              <w:jc w:val="center"/>
              <w:rPr>
                <w:rFonts w:ascii="仿宋" w:hAnsi="仿宋" w:eastAsia="仿宋" w:cs="仿宋"/>
                <w:color w:val="auto"/>
              </w:rPr>
            </w:pPr>
          </w:p>
        </w:tc>
        <w:tc>
          <w:tcPr>
            <w:tcW w:w="7031" w:type="dxa"/>
          </w:tcPr>
          <w:p w14:paraId="55DA92E3">
            <w:pPr>
              <w:pStyle w:val="4"/>
              <w:rPr>
                <w:rFonts w:ascii="仿宋" w:hAnsi="仿宋" w:eastAsia="仿宋" w:cs="仿宋"/>
                <w:color w:val="auto"/>
              </w:rPr>
            </w:pPr>
            <w:r>
              <w:rPr>
                <w:rFonts w:ascii="仿宋" w:hAnsi="仿宋" w:eastAsia="仿宋" w:cs="仿宋"/>
                <w:color w:val="auto"/>
              </w:rPr>
              <w:t>10</w:t>
            </w:r>
            <w:r>
              <w:rPr>
                <w:rFonts w:ascii="仿宋" w:hAnsi="仿宋" w:eastAsia="仿宋" w:cs="仿宋"/>
                <w:color w:val="auto"/>
                <w:lang w:eastAsia="zh-CN"/>
              </w:rPr>
              <w:t>.</w:t>
            </w:r>
            <w:r>
              <w:rPr>
                <w:rFonts w:ascii="仿宋" w:hAnsi="仿宋" w:eastAsia="仿宋" w:cs="仿宋"/>
                <w:color w:val="auto"/>
              </w:rPr>
              <w:t>应急响应服务</w:t>
            </w:r>
          </w:p>
          <w:p w14:paraId="691790DD">
            <w:pPr>
              <w:pStyle w:val="4"/>
              <w:rPr>
                <w:rFonts w:ascii="仿宋" w:hAnsi="仿宋" w:eastAsia="仿宋" w:cs="仿宋"/>
                <w:color w:val="auto"/>
                <w:lang w:eastAsia="zh-CN"/>
              </w:rPr>
            </w:pPr>
            <w:r>
              <w:rPr>
                <w:rFonts w:ascii="仿宋" w:hAnsi="仿宋" w:eastAsia="仿宋" w:cs="仿宋"/>
                <w:color w:val="auto"/>
                <w:lang w:eastAsia="zh-CN"/>
              </w:rPr>
              <w:t>10.1服务期内提供不限次数的应急响应服务，针对已发生的重大网络安全、数据安全等突发安全事件，全面开展事中处置、事后溯源复盘及加固优化工作，涵盖事件取证、原因分析、攻击溯源、系统恢复、安全加固等核心环节，降低事件对考试院业务正常开展的影响。</w:t>
            </w:r>
          </w:p>
          <w:p w14:paraId="5F5748F9">
            <w:pPr>
              <w:pStyle w:val="4"/>
              <w:jc w:val="both"/>
              <w:rPr>
                <w:rFonts w:hint="default" w:ascii="仿宋" w:hAnsi="仿宋" w:eastAsia="仿宋" w:cs="仿宋"/>
                <w:color w:val="auto"/>
                <w:lang w:eastAsia="zh-CN"/>
              </w:rPr>
            </w:pPr>
            <w:r>
              <w:rPr>
                <w:rFonts w:ascii="仿宋" w:hAnsi="仿宋" w:eastAsia="仿宋" w:cs="仿宋"/>
                <w:color w:val="auto"/>
                <w:lang w:eastAsia="zh-CN"/>
              </w:rPr>
              <w:t>10.2协助考试院组建专项应急响应小组，明确小组人员职责、分工及联络方式，协助建立健全应急上报流程、分级响应机制及多方联络机制，规范应急事件处置流程，确保突发安全事件发生时，能够快速启动对应等级应急流程，及时联络相关责任人员、协同推进处置工作，保障应急响应高效有序。</w:t>
            </w:r>
          </w:p>
          <w:p w14:paraId="17F019A5">
            <w:pPr>
              <w:pStyle w:val="4"/>
              <w:jc w:val="both"/>
              <w:rPr>
                <w:rFonts w:hint="default" w:ascii="仿宋" w:hAnsi="仿宋" w:eastAsia="仿宋" w:cs="仿宋"/>
                <w:color w:val="auto"/>
                <w:lang w:eastAsia="zh-CN"/>
              </w:rPr>
            </w:pPr>
            <w:r>
              <w:rPr>
                <w:rFonts w:ascii="仿宋" w:hAnsi="仿宋" w:eastAsia="仿宋" w:cs="仿宋"/>
                <w:color w:val="auto"/>
                <w:lang w:eastAsia="zh-CN"/>
              </w:rPr>
              <w:t>10.3服务商在接到应急需求通知后，保障1小时内抵达考试院指定现场开展应急响应工作，服务内容至少包括快速控制事件范围，全面开展事件取证，事件处置消除隐患，攻击溯源定位攻击来源、攻击路径及攻击手段等，协助考试院完成核心业务、关键数据的恢复工作，保障业务快速回归正常运转。</w:t>
            </w:r>
          </w:p>
          <w:p w14:paraId="795765B4">
            <w:pPr>
              <w:pStyle w:val="4"/>
              <w:rPr>
                <w:rFonts w:ascii="仿宋" w:hAnsi="仿宋" w:eastAsia="仿宋" w:cs="仿宋"/>
                <w:color w:val="auto"/>
                <w:lang w:eastAsia="zh-CN"/>
              </w:rPr>
            </w:pPr>
            <w:r>
              <w:rPr>
                <w:rFonts w:ascii="仿宋" w:hAnsi="仿宋" w:eastAsia="仿宋" w:cs="仿宋"/>
                <w:color w:val="auto"/>
                <w:lang w:eastAsia="zh-CN"/>
              </w:rPr>
              <w:t>10.4应急响应处置工作完成后，开展事件回溯复盘工作，全面调查事件发生的根本原因，结合应急处置全过程的台账、数据及痕迹信息，对安全事件的发生原因、传播路径、影响范围及处置效果进行专业、全面的分析，精准完成攻击溯源追踪，梳理事件处置过程中的不足，提出针对性的优化建议及防范措施，避免同类安全事件再次发生。</w:t>
            </w:r>
          </w:p>
          <w:p w14:paraId="290FB12E">
            <w:pPr>
              <w:pStyle w:val="4"/>
              <w:jc w:val="both"/>
              <w:rPr>
                <w:rFonts w:ascii="仿宋" w:hAnsi="仿宋" w:eastAsia="仿宋" w:cs="仿宋"/>
                <w:color w:val="auto"/>
                <w:lang w:eastAsia="zh-CN"/>
              </w:rPr>
            </w:pPr>
            <w:r>
              <w:rPr>
                <w:rFonts w:ascii="仿宋" w:hAnsi="仿宋" w:eastAsia="仿宋" w:cs="仿宋"/>
                <w:color w:val="auto"/>
                <w:lang w:eastAsia="zh-CN"/>
              </w:rPr>
              <w:t>10.5应急响应服务完成后，在3个工作日内，结合应急处置过程、调查分析结果及优化建议，编制并提交《应急响应报告》，报告内容需完整、详实，涵盖事件概况、处置过程、原因分析、溯源结果、恢复情况及后续防范措施等核心内容，为考试院后续安全管理工作提供参考依据。</w:t>
            </w:r>
          </w:p>
        </w:tc>
      </w:tr>
      <w:tr w14:paraId="18064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18F18FDE">
            <w:pPr>
              <w:pStyle w:val="4"/>
              <w:jc w:val="center"/>
              <w:rPr>
                <w:rFonts w:ascii="仿宋" w:hAnsi="仿宋" w:eastAsia="仿宋" w:cs="仿宋"/>
                <w:color w:val="auto"/>
                <w:lang w:eastAsia="zh-CN"/>
              </w:rPr>
            </w:pPr>
            <w:r>
              <w:rPr>
                <w:rFonts w:ascii="仿宋" w:hAnsi="仿宋" w:eastAsia="仿宋" w:cs="仿宋"/>
                <w:color w:val="auto"/>
              </w:rPr>
              <w:t>1</w:t>
            </w:r>
            <w:r>
              <w:rPr>
                <w:rFonts w:ascii="仿宋" w:hAnsi="仿宋" w:eastAsia="仿宋" w:cs="仿宋"/>
                <w:color w:val="auto"/>
                <w:lang w:eastAsia="zh-CN"/>
              </w:rPr>
              <w:t>9</w:t>
            </w:r>
          </w:p>
        </w:tc>
        <w:tc>
          <w:tcPr>
            <w:tcW w:w="737" w:type="dxa"/>
            <w:vAlign w:val="center"/>
          </w:tcPr>
          <w:p w14:paraId="112DED84">
            <w:pPr>
              <w:pStyle w:val="4"/>
              <w:jc w:val="center"/>
              <w:rPr>
                <w:rFonts w:ascii="仿宋" w:hAnsi="仿宋" w:eastAsia="仿宋" w:cs="仿宋"/>
                <w:color w:val="auto"/>
              </w:rPr>
            </w:pPr>
          </w:p>
        </w:tc>
        <w:tc>
          <w:tcPr>
            <w:tcW w:w="7031" w:type="dxa"/>
          </w:tcPr>
          <w:p w14:paraId="22238024">
            <w:pPr>
              <w:pStyle w:val="4"/>
              <w:rPr>
                <w:rFonts w:ascii="仿宋" w:hAnsi="仿宋" w:eastAsia="仿宋" w:cs="仿宋"/>
                <w:color w:val="auto"/>
              </w:rPr>
            </w:pPr>
            <w:r>
              <w:rPr>
                <w:rFonts w:ascii="仿宋" w:hAnsi="仿宋" w:eastAsia="仿宋" w:cs="仿宋"/>
                <w:color w:val="auto"/>
              </w:rPr>
              <w:t>11</w:t>
            </w:r>
            <w:r>
              <w:rPr>
                <w:rFonts w:ascii="仿宋" w:hAnsi="仿宋" w:eastAsia="仿宋" w:cs="仿宋"/>
                <w:color w:val="auto"/>
                <w:lang w:eastAsia="zh-CN"/>
              </w:rPr>
              <w:t>.</w:t>
            </w:r>
            <w:r>
              <w:rPr>
                <w:rFonts w:ascii="仿宋" w:hAnsi="仿宋" w:eastAsia="仿宋" w:cs="仿宋"/>
                <w:color w:val="auto"/>
              </w:rPr>
              <w:t>应急演练服务</w:t>
            </w:r>
          </w:p>
          <w:p w14:paraId="1FB0E0D2">
            <w:pPr>
              <w:pStyle w:val="4"/>
              <w:rPr>
                <w:rFonts w:ascii="仿宋" w:hAnsi="仿宋" w:eastAsia="仿宋" w:cs="仿宋"/>
                <w:color w:val="auto"/>
                <w:lang w:eastAsia="zh-CN"/>
              </w:rPr>
            </w:pPr>
            <w:r>
              <w:rPr>
                <w:rFonts w:ascii="仿宋" w:hAnsi="仿宋" w:eastAsia="仿宋" w:cs="仿宋"/>
                <w:color w:val="auto"/>
                <w:lang w:eastAsia="zh-CN"/>
              </w:rPr>
              <w:t>11.1结合考试院业务特性，提供定制化应急演练服务，聚焦业务突发情况处置，旨在提升技术人员、管理人员及相关岗位人员的协同配合能力、应急响应速度和突发安全事件处置水平，服务期内至少提供1次应急演练服务。</w:t>
            </w:r>
          </w:p>
          <w:p w14:paraId="7EEDFCCB">
            <w:pPr>
              <w:pStyle w:val="4"/>
              <w:rPr>
                <w:rFonts w:hint="default" w:ascii="仿宋" w:hAnsi="仿宋" w:eastAsia="仿宋" w:cs="仿宋"/>
                <w:color w:val="auto"/>
                <w:lang w:eastAsia="zh-CN"/>
              </w:rPr>
            </w:pPr>
            <w:r>
              <w:rPr>
                <w:rFonts w:ascii="仿宋" w:hAnsi="仿宋" w:eastAsia="仿宋" w:cs="仿宋"/>
                <w:color w:val="auto"/>
                <w:lang w:eastAsia="zh-CN"/>
              </w:rPr>
              <w:t>11.2联合考试院相关负责人，成立应急演练专项工作小组，明确小组架构及各成员职责；结合考试院实际业务系统，模拟各类高频、高风险业务突发安全事件场景，包括但不限于系统宕机、数据泄露、网络中断、异常访问攻击、考试流程异常等，确保演练场景的真实性和针对性。</w:t>
            </w:r>
          </w:p>
          <w:p w14:paraId="765B811E">
            <w:pPr>
              <w:pStyle w:val="4"/>
              <w:rPr>
                <w:rFonts w:ascii="仿宋" w:hAnsi="仿宋" w:eastAsia="仿宋" w:cs="仿宋"/>
                <w:color w:val="auto"/>
                <w:lang w:eastAsia="zh-CN"/>
              </w:rPr>
            </w:pPr>
            <w:r>
              <w:rPr>
                <w:rFonts w:ascii="仿宋" w:hAnsi="仿宋" w:eastAsia="仿宋" w:cs="仿宋"/>
                <w:color w:val="auto"/>
                <w:lang w:eastAsia="zh-CN"/>
              </w:rPr>
              <w:t>11.3应急演练工作至少包括制定演练计划</w:t>
            </w:r>
            <w:r>
              <w:rPr>
                <w:rFonts w:hint="eastAsia" w:ascii="仿宋" w:hAnsi="仿宋" w:eastAsia="仿宋" w:cs="仿宋"/>
                <w:color w:val="auto"/>
                <w:lang w:eastAsia="zh-CN"/>
              </w:rPr>
              <w:t>、</w:t>
            </w:r>
            <w:r>
              <w:rPr>
                <w:rFonts w:ascii="仿宋" w:hAnsi="仿宋" w:eastAsia="仿宋" w:cs="仿宋"/>
                <w:color w:val="auto"/>
                <w:lang w:eastAsia="zh-CN"/>
              </w:rPr>
              <w:t>演练方案设计</w:t>
            </w:r>
            <w:r>
              <w:rPr>
                <w:rFonts w:hint="eastAsia" w:ascii="仿宋" w:hAnsi="仿宋" w:eastAsia="仿宋" w:cs="仿宋"/>
                <w:color w:val="auto"/>
                <w:lang w:eastAsia="zh-CN"/>
              </w:rPr>
              <w:t>、</w:t>
            </w:r>
            <w:r>
              <w:rPr>
                <w:rFonts w:ascii="仿宋" w:hAnsi="仿宋" w:eastAsia="仿宋" w:cs="仿宋"/>
                <w:color w:val="auto"/>
                <w:lang w:eastAsia="zh-CN"/>
              </w:rPr>
              <w:t>演练动员与培训</w:t>
            </w:r>
            <w:r>
              <w:rPr>
                <w:rFonts w:hint="eastAsia" w:ascii="仿宋" w:hAnsi="仿宋" w:eastAsia="仿宋" w:cs="仿宋"/>
                <w:color w:val="auto"/>
                <w:lang w:eastAsia="zh-CN"/>
              </w:rPr>
              <w:t>、</w:t>
            </w:r>
            <w:r>
              <w:rPr>
                <w:rFonts w:ascii="仿宋" w:hAnsi="仿宋" w:eastAsia="仿宋" w:cs="仿宋"/>
                <w:color w:val="auto"/>
                <w:lang w:eastAsia="zh-CN"/>
              </w:rPr>
              <w:t>应急演练实施</w:t>
            </w:r>
            <w:r>
              <w:rPr>
                <w:rFonts w:hint="eastAsia" w:ascii="仿宋" w:hAnsi="仿宋" w:eastAsia="仿宋" w:cs="仿宋"/>
                <w:color w:val="auto"/>
                <w:lang w:eastAsia="zh-CN"/>
              </w:rPr>
              <w:t>、</w:t>
            </w:r>
            <w:r>
              <w:rPr>
                <w:rFonts w:ascii="仿宋" w:hAnsi="仿宋" w:eastAsia="仿宋" w:cs="仿宋"/>
                <w:color w:val="auto"/>
                <w:lang w:eastAsia="zh-CN"/>
              </w:rPr>
              <w:t>应急演练评估与总结等。</w:t>
            </w:r>
          </w:p>
          <w:p w14:paraId="6C431225">
            <w:pPr>
              <w:pStyle w:val="4"/>
              <w:rPr>
                <w:rFonts w:ascii="仿宋" w:hAnsi="仿宋" w:eastAsia="仿宋" w:cs="仿宋"/>
                <w:color w:val="auto"/>
                <w:lang w:eastAsia="zh-CN"/>
              </w:rPr>
            </w:pPr>
            <w:r>
              <w:rPr>
                <w:rFonts w:ascii="仿宋" w:hAnsi="仿宋" w:eastAsia="仿宋" w:cs="仿宋"/>
                <w:color w:val="auto"/>
                <w:lang w:eastAsia="zh-CN"/>
              </w:rPr>
              <w:t>11.4开展实战化演练，强化各岗位人员在事件识别、信息上报、协同处置、流程衔接等环节的操作规范性，确保相关人员熟练掌握应急处置流程、职责分工及操作要点，提升应急处置实战能力。</w:t>
            </w:r>
          </w:p>
          <w:p w14:paraId="54295C56">
            <w:pPr>
              <w:pStyle w:val="4"/>
              <w:jc w:val="both"/>
              <w:rPr>
                <w:rFonts w:hint="default" w:ascii="仿宋" w:hAnsi="仿宋" w:eastAsia="仿宋" w:cs="仿宋"/>
                <w:color w:val="auto"/>
                <w:lang w:eastAsia="zh-CN"/>
              </w:rPr>
            </w:pPr>
            <w:r>
              <w:rPr>
                <w:rFonts w:ascii="仿宋" w:hAnsi="仿宋" w:eastAsia="仿宋" w:cs="仿宋"/>
                <w:color w:val="auto"/>
                <w:lang w:eastAsia="zh-CN"/>
              </w:rPr>
              <w:t>11.5演练开始前，结合考试院需求及实际场景，编制并提交《应急演练实施方案》，明确演练目标、演练环境、资源配置、参与人员、演练流程、场景细节、动作规范及注意事项，经考试院确认后启动演练。</w:t>
            </w:r>
          </w:p>
          <w:p w14:paraId="0EEF3BF5">
            <w:pPr>
              <w:pStyle w:val="4"/>
              <w:jc w:val="both"/>
              <w:rPr>
                <w:rFonts w:ascii="仿宋" w:hAnsi="仿宋" w:eastAsia="仿宋" w:cs="仿宋"/>
                <w:color w:val="auto"/>
                <w:lang w:eastAsia="zh-CN"/>
              </w:rPr>
            </w:pPr>
            <w:r>
              <w:rPr>
                <w:rFonts w:ascii="仿宋" w:hAnsi="仿宋" w:eastAsia="仿宋" w:cs="仿宋"/>
                <w:color w:val="auto"/>
                <w:lang w:eastAsia="zh-CN"/>
              </w:rPr>
              <w:t>11.6演练结束后，2个工作日内输出《应急演练总结报告》，全面梳理演练开展情况、各环节处置成效，重点分析演练过程中暴露出的流程漏洞、人员操作不足、资源配置短板等问题，同步提出可落地、可执行的优化改进建议，协助考试院完善应急预案、优化应急处置流程。</w:t>
            </w:r>
          </w:p>
        </w:tc>
      </w:tr>
      <w:tr w14:paraId="3B1A88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4A310C1B">
            <w:pPr>
              <w:pStyle w:val="4"/>
              <w:jc w:val="center"/>
              <w:rPr>
                <w:rFonts w:ascii="仿宋" w:hAnsi="仿宋" w:eastAsia="仿宋" w:cs="仿宋"/>
                <w:color w:val="auto"/>
                <w:lang w:eastAsia="zh-CN"/>
              </w:rPr>
            </w:pPr>
            <w:r>
              <w:rPr>
                <w:rFonts w:ascii="仿宋" w:hAnsi="仿宋" w:eastAsia="仿宋" w:cs="仿宋"/>
                <w:color w:val="auto"/>
                <w:lang w:eastAsia="zh-CN"/>
              </w:rPr>
              <w:t>20</w:t>
            </w:r>
          </w:p>
        </w:tc>
        <w:tc>
          <w:tcPr>
            <w:tcW w:w="737" w:type="dxa"/>
            <w:vAlign w:val="center"/>
          </w:tcPr>
          <w:p w14:paraId="35DFF19A">
            <w:pPr>
              <w:pStyle w:val="4"/>
              <w:jc w:val="center"/>
              <w:rPr>
                <w:rFonts w:ascii="仿宋" w:hAnsi="仿宋" w:eastAsia="仿宋" w:cs="仿宋"/>
                <w:color w:val="auto"/>
              </w:rPr>
            </w:pPr>
          </w:p>
        </w:tc>
        <w:tc>
          <w:tcPr>
            <w:tcW w:w="7031" w:type="dxa"/>
          </w:tcPr>
          <w:p w14:paraId="4BFD1FEA">
            <w:pPr>
              <w:pStyle w:val="4"/>
              <w:rPr>
                <w:rFonts w:ascii="仿宋" w:hAnsi="仿宋" w:eastAsia="仿宋" w:cs="仿宋"/>
                <w:color w:val="auto"/>
              </w:rPr>
            </w:pPr>
            <w:r>
              <w:rPr>
                <w:rFonts w:ascii="仿宋" w:hAnsi="仿宋" w:eastAsia="仿宋" w:cs="仿宋"/>
                <w:color w:val="auto"/>
              </w:rPr>
              <w:t>12</w:t>
            </w:r>
            <w:r>
              <w:rPr>
                <w:rFonts w:ascii="仿宋" w:hAnsi="仿宋" w:eastAsia="仿宋" w:cs="仿宋"/>
                <w:color w:val="auto"/>
                <w:lang w:eastAsia="zh-CN"/>
              </w:rPr>
              <w:t>.</w:t>
            </w:r>
            <w:r>
              <w:rPr>
                <w:rFonts w:ascii="仿宋" w:hAnsi="仿宋" w:eastAsia="仿宋" w:cs="仿宋"/>
                <w:color w:val="auto"/>
              </w:rPr>
              <w:t>安全培训服务</w:t>
            </w:r>
          </w:p>
          <w:p w14:paraId="3CFB01EA">
            <w:pPr>
              <w:pStyle w:val="4"/>
              <w:rPr>
                <w:rFonts w:ascii="仿宋" w:hAnsi="仿宋" w:eastAsia="仿宋" w:cs="仿宋"/>
                <w:color w:val="auto"/>
              </w:rPr>
            </w:pPr>
            <w:r>
              <w:rPr>
                <w:rFonts w:ascii="仿宋" w:hAnsi="仿宋" w:eastAsia="仿宋" w:cs="仿宋"/>
                <w:color w:val="auto"/>
                <w:lang w:eastAsia="zh-CN"/>
              </w:rPr>
              <w:t>12.1</w:t>
            </w:r>
            <w:r>
              <w:rPr>
                <w:rFonts w:ascii="仿宋" w:hAnsi="仿宋" w:eastAsia="仿宋" w:cs="仿宋"/>
                <w:color w:val="auto"/>
              </w:rPr>
              <w:t>提供安全培训服务，为考试院信息化相关技术、管理、运维人员进行集中培训，通过培训使参训人员全面深度掌握国家网络安全相关的法律法规、制度、标准和相关行业要求，了解网络安全细分领域相关情况，掌握应急及安全防范技术措施等。服务期内至少提供</w:t>
            </w:r>
            <w:r>
              <w:rPr>
                <w:rFonts w:ascii="仿宋" w:hAnsi="仿宋" w:eastAsia="仿宋" w:cs="仿宋"/>
                <w:color w:val="auto"/>
                <w:lang w:eastAsia="zh-CN"/>
              </w:rPr>
              <w:t>2</w:t>
            </w:r>
            <w:r>
              <w:rPr>
                <w:rFonts w:ascii="仿宋" w:hAnsi="仿宋" w:eastAsia="仿宋" w:cs="仿宋"/>
                <w:color w:val="auto"/>
              </w:rPr>
              <w:t>次培训服务，由外部高级工程师/教授级别以上的安全专家提供培训。</w:t>
            </w:r>
          </w:p>
          <w:p w14:paraId="44F5D192">
            <w:pPr>
              <w:pStyle w:val="4"/>
              <w:rPr>
                <w:rFonts w:ascii="仿宋" w:hAnsi="仿宋" w:eastAsia="仿宋" w:cs="仿宋"/>
                <w:color w:val="auto"/>
              </w:rPr>
            </w:pPr>
            <w:r>
              <w:rPr>
                <w:rFonts w:ascii="仿宋" w:hAnsi="仿宋" w:eastAsia="仿宋" w:cs="仿宋"/>
                <w:color w:val="auto"/>
                <w:lang w:eastAsia="zh-CN"/>
              </w:rPr>
              <w:t>12.2</w:t>
            </w:r>
            <w:r>
              <w:rPr>
                <w:rFonts w:ascii="仿宋" w:hAnsi="仿宋" w:eastAsia="仿宋" w:cs="仿宋"/>
                <w:color w:val="auto"/>
              </w:rPr>
              <w:t>定制贴合考试院工作实际、针对性强的专属培训课程，完成培训讲义、PPT课件、案例素材、实操手册等相关资料的编制与审核，培训师资可根据考试院实际需求及培训主题进行匹配确认，确保师资专业方向与培训内容高度契合。</w:t>
            </w:r>
          </w:p>
          <w:p w14:paraId="4E2295E9">
            <w:pPr>
              <w:pStyle w:val="4"/>
              <w:rPr>
                <w:rFonts w:ascii="仿宋" w:hAnsi="仿宋" w:eastAsia="仿宋" w:cs="仿宋"/>
                <w:color w:val="auto"/>
                <w:lang w:eastAsia="zh-CN"/>
              </w:rPr>
            </w:pPr>
            <w:r>
              <w:rPr>
                <w:rFonts w:ascii="仿宋" w:hAnsi="仿宋" w:eastAsia="仿宋" w:cs="仿宋"/>
                <w:color w:val="auto"/>
                <w:lang w:eastAsia="zh-CN"/>
              </w:rPr>
              <w:t>12.3</w:t>
            </w:r>
            <w:r>
              <w:rPr>
                <w:rFonts w:ascii="仿宋" w:hAnsi="仿宋" w:eastAsia="仿宋" w:cs="仿宋"/>
                <w:color w:val="auto"/>
              </w:rPr>
              <w:t>培训可选的课程内容包括但不限于安全意识、安全政策及法律法规、安全基础常识、安全风险应对、安全处置响应、安全运维、安全加固、安全产品使用、认证培训等方面。</w:t>
            </w:r>
          </w:p>
          <w:p w14:paraId="65B4E4BC">
            <w:pPr>
              <w:pStyle w:val="4"/>
              <w:rPr>
                <w:rFonts w:ascii="仿宋" w:hAnsi="仿宋" w:eastAsia="仿宋" w:cs="仿宋"/>
                <w:color w:val="auto"/>
                <w:lang w:eastAsia="zh-CN"/>
              </w:rPr>
            </w:pPr>
            <w:r>
              <w:rPr>
                <w:rFonts w:ascii="仿宋" w:hAnsi="仿宋" w:eastAsia="仿宋" w:cs="仿宋"/>
                <w:color w:val="auto"/>
                <w:lang w:eastAsia="zh-CN"/>
              </w:rPr>
              <w:t>12.4服务商提供网络安全相关认证培训服务，提供不少于5人的认证培训服务，认证类型如：注册信息安全专业人员认证（CISP）、网络安全能力认证（CCSC）、信息安全保障人员认证（CISAW）、首席数据官认证（CCRC-CDO）、人工智能安全官（CCRC-AISO）等。</w:t>
            </w:r>
          </w:p>
          <w:p w14:paraId="5B5FC3C1">
            <w:pPr>
              <w:pStyle w:val="4"/>
              <w:jc w:val="both"/>
              <w:rPr>
                <w:rFonts w:ascii="仿宋" w:hAnsi="仿宋" w:eastAsia="仿宋" w:cs="仿宋"/>
                <w:color w:val="auto"/>
                <w:lang w:eastAsia="zh-CN"/>
              </w:rPr>
            </w:pPr>
            <w:r>
              <w:rPr>
                <w:rFonts w:ascii="仿宋" w:hAnsi="仿宋" w:eastAsia="仿宋" w:cs="仿宋"/>
                <w:color w:val="auto"/>
                <w:lang w:eastAsia="zh-CN"/>
              </w:rPr>
              <w:t>12.5</w:t>
            </w:r>
            <w:r>
              <w:rPr>
                <w:rFonts w:ascii="仿宋" w:hAnsi="仿宋" w:eastAsia="仿宋" w:cs="仿宋"/>
                <w:color w:val="auto"/>
              </w:rPr>
              <w:t>培训完成后输出培训相关归档资料，输出《培训签到表</w:t>
            </w:r>
            <w:r>
              <w:rPr>
                <w:rFonts w:hint="eastAsia" w:ascii="仿宋" w:hAnsi="仿宋" w:eastAsia="仿宋" w:cs="仿宋"/>
                <w:color w:val="auto"/>
                <w:lang w:eastAsia="zh-CN"/>
              </w:rPr>
              <w:t>》《</w:t>
            </w:r>
            <w:r>
              <w:rPr>
                <w:rFonts w:ascii="仿宋" w:hAnsi="仿宋" w:eastAsia="仿宋" w:cs="仿宋"/>
                <w:color w:val="auto"/>
              </w:rPr>
              <w:t>培训质量反馈表》，同时可根据需求提供培训照片、培训视频、学员考核成绩等资料</w:t>
            </w:r>
            <w:r>
              <w:rPr>
                <w:rFonts w:hint="eastAsia" w:ascii="仿宋" w:hAnsi="仿宋" w:eastAsia="仿宋" w:cs="仿宋"/>
                <w:color w:val="auto"/>
                <w:lang w:eastAsia="zh-CN"/>
              </w:rPr>
              <w:t>。</w:t>
            </w:r>
          </w:p>
        </w:tc>
      </w:tr>
      <w:tr w14:paraId="3AB343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7147E230">
            <w:pPr>
              <w:pStyle w:val="4"/>
              <w:jc w:val="center"/>
              <w:rPr>
                <w:rFonts w:ascii="仿宋" w:hAnsi="仿宋" w:eastAsia="仿宋" w:cs="仿宋"/>
                <w:color w:val="auto"/>
                <w:lang w:eastAsia="zh-CN"/>
              </w:rPr>
            </w:pPr>
            <w:r>
              <w:rPr>
                <w:rFonts w:ascii="仿宋" w:hAnsi="仿宋" w:eastAsia="仿宋" w:cs="仿宋"/>
                <w:color w:val="auto"/>
                <w:lang w:eastAsia="zh-CN"/>
              </w:rPr>
              <w:t>21</w:t>
            </w:r>
          </w:p>
        </w:tc>
        <w:tc>
          <w:tcPr>
            <w:tcW w:w="737" w:type="dxa"/>
            <w:vAlign w:val="center"/>
          </w:tcPr>
          <w:p w14:paraId="1C6E0CFE">
            <w:pPr>
              <w:pStyle w:val="4"/>
              <w:jc w:val="center"/>
              <w:rPr>
                <w:rFonts w:ascii="仿宋" w:hAnsi="仿宋" w:eastAsia="仿宋" w:cs="仿宋"/>
                <w:color w:val="auto"/>
              </w:rPr>
            </w:pPr>
          </w:p>
        </w:tc>
        <w:tc>
          <w:tcPr>
            <w:tcW w:w="7031" w:type="dxa"/>
          </w:tcPr>
          <w:p w14:paraId="726615F7">
            <w:pPr>
              <w:pStyle w:val="4"/>
              <w:rPr>
                <w:rFonts w:ascii="仿宋" w:hAnsi="仿宋" w:eastAsia="仿宋" w:cs="仿宋"/>
                <w:color w:val="auto"/>
                <w:lang w:eastAsia="zh-CN"/>
              </w:rPr>
            </w:pPr>
            <w:r>
              <w:rPr>
                <w:rFonts w:ascii="仿宋" w:hAnsi="仿宋" w:eastAsia="仿宋" w:cs="仿宋"/>
                <w:color w:val="auto"/>
                <w:lang w:eastAsia="zh-CN"/>
              </w:rPr>
              <w:t>13.安全咨询规划服务</w:t>
            </w:r>
          </w:p>
          <w:p w14:paraId="02FCAC4C">
            <w:pPr>
              <w:pStyle w:val="4"/>
              <w:rPr>
                <w:rFonts w:ascii="仿宋" w:hAnsi="仿宋" w:eastAsia="仿宋" w:cs="仿宋"/>
                <w:color w:val="auto"/>
                <w:lang w:eastAsia="zh-CN"/>
              </w:rPr>
            </w:pPr>
            <w:r>
              <w:rPr>
                <w:rFonts w:ascii="仿宋" w:hAnsi="仿宋" w:eastAsia="仿宋" w:cs="仿宋"/>
                <w:color w:val="auto"/>
                <w:lang w:eastAsia="zh-CN"/>
              </w:rPr>
              <w:t>13.1结合考试院实际工作场景，提供数据安全咨询服务</w:t>
            </w:r>
            <w:r>
              <w:rPr>
                <w:rFonts w:hint="eastAsia" w:ascii="仿宋" w:hAnsi="仿宋" w:eastAsia="仿宋" w:cs="仿宋"/>
                <w:color w:val="auto"/>
                <w:lang w:eastAsia="zh-CN"/>
              </w:rPr>
              <w:t>、</w:t>
            </w:r>
            <w:r>
              <w:rPr>
                <w:rFonts w:ascii="仿宋" w:hAnsi="仿宋" w:eastAsia="仿宋" w:cs="仿宋"/>
                <w:color w:val="auto"/>
                <w:lang w:eastAsia="zh-CN"/>
              </w:rPr>
              <w:t>网络安全咨询服务</w:t>
            </w:r>
            <w:r>
              <w:rPr>
                <w:rFonts w:hint="eastAsia" w:ascii="仿宋" w:hAnsi="仿宋" w:eastAsia="仿宋" w:cs="仿宋"/>
                <w:color w:val="auto"/>
                <w:lang w:eastAsia="zh-CN"/>
              </w:rPr>
              <w:t>、</w:t>
            </w:r>
            <w:r>
              <w:rPr>
                <w:rFonts w:ascii="仿宋" w:hAnsi="仿宋" w:eastAsia="仿宋" w:cs="仿宋"/>
                <w:color w:val="auto"/>
                <w:lang w:eastAsia="zh-CN"/>
              </w:rPr>
              <w:t>安全运营咨询等服务，提供相关安全管理制度、标准规范的撰写等服务，服务期内为考试院提供不限次数的专业安全咨询规划服务。</w:t>
            </w:r>
          </w:p>
          <w:p w14:paraId="5038CB7E">
            <w:pPr>
              <w:pStyle w:val="4"/>
              <w:rPr>
                <w:rFonts w:ascii="仿宋" w:hAnsi="仿宋" w:eastAsia="仿宋" w:cs="仿宋"/>
                <w:color w:val="auto"/>
                <w:lang w:eastAsia="zh-CN"/>
              </w:rPr>
            </w:pPr>
            <w:r>
              <w:rPr>
                <w:rFonts w:ascii="仿宋" w:hAnsi="仿宋" w:eastAsia="仿宋" w:cs="仿宋"/>
                <w:color w:val="auto"/>
                <w:lang w:eastAsia="zh-CN"/>
              </w:rPr>
              <w:t>13.2对考试院安全管理现状进行全面、深入的调研排查与细致分析，通过对考试院当前安全管理痛点、难点及实际需求分析，结合长远安全发展规划，构建贴合实际、覆盖全面的安全制度标准体系，制度体系需至少涵盖网络安全运维管理、安全运行实时监测、日志集中分析与安全审计、安全风险监测与预警响应等核心领域，为考试院安全管理工作提供规范指引。</w:t>
            </w:r>
          </w:p>
          <w:p w14:paraId="2B6DCB53">
            <w:pPr>
              <w:pStyle w:val="4"/>
              <w:rPr>
                <w:rFonts w:hint="default" w:ascii="仿宋" w:hAnsi="仿宋" w:eastAsia="仿宋" w:cs="仿宋"/>
                <w:color w:val="auto"/>
                <w:lang w:eastAsia="zh-CN"/>
              </w:rPr>
            </w:pPr>
            <w:r>
              <w:rPr>
                <w:rFonts w:ascii="仿宋" w:hAnsi="仿宋" w:eastAsia="仿宋" w:cs="仿宋"/>
                <w:color w:val="auto"/>
                <w:lang w:eastAsia="zh-CN"/>
              </w:rPr>
              <w:t>13.3对考试院日常安全管理工作中遇到的各类实际问题，结合当前网络安全发展趋势、国家及行业相关法律法规、标准规范要求，从安全技术应用、安全管理流程、风险防控措施等多维度，为考试院提供不限次数、专业精准的安全分析、技术指导及咨询建议。</w:t>
            </w:r>
          </w:p>
          <w:p w14:paraId="7835798C">
            <w:pPr>
              <w:pStyle w:val="4"/>
              <w:rPr>
                <w:rFonts w:ascii="仿宋" w:hAnsi="仿宋" w:eastAsia="仿宋" w:cs="仿宋"/>
                <w:color w:val="auto"/>
                <w:lang w:eastAsia="zh-CN"/>
              </w:rPr>
            </w:pPr>
            <w:r>
              <w:rPr>
                <w:rFonts w:ascii="仿宋" w:hAnsi="仿宋" w:eastAsia="仿宋" w:cs="仿宋"/>
                <w:color w:val="auto"/>
                <w:lang w:eastAsia="zh-CN"/>
              </w:rPr>
              <w:t>13.4结合考试院实际业务需求进行网络与信息安全蓝图设计，至少包括管理体系框架设计，运营体系框架设计、技术体系框架设计，网络与信息安全差距分析及提升举措等内容。</w:t>
            </w:r>
          </w:p>
          <w:p w14:paraId="47B5A362">
            <w:pPr>
              <w:pStyle w:val="4"/>
              <w:jc w:val="both"/>
              <w:rPr>
                <w:rFonts w:ascii="仿宋" w:hAnsi="仿宋" w:eastAsia="仿宋" w:cs="仿宋"/>
                <w:color w:val="auto"/>
                <w:lang w:eastAsia="zh-CN"/>
              </w:rPr>
            </w:pPr>
            <w:r>
              <w:rPr>
                <w:rFonts w:ascii="仿宋" w:hAnsi="仿宋" w:eastAsia="仿宋" w:cs="仿宋"/>
                <w:color w:val="auto"/>
                <w:lang w:eastAsia="zh-CN"/>
              </w:rPr>
              <w:t>13.5服务产出物：结合咨询过程及制度优化成果，形成相应《咨询建议》《设计方案》等文档，同步输出修订完善后、可直接落地执行的《安全管理制度规范》汇编。</w:t>
            </w:r>
          </w:p>
        </w:tc>
      </w:tr>
      <w:tr w14:paraId="09787A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0763259C">
            <w:pPr>
              <w:pStyle w:val="4"/>
              <w:jc w:val="center"/>
              <w:rPr>
                <w:rFonts w:ascii="仿宋" w:hAnsi="仿宋" w:eastAsia="仿宋" w:cs="仿宋"/>
                <w:color w:val="auto"/>
                <w:lang w:eastAsia="zh-CN"/>
              </w:rPr>
            </w:pPr>
            <w:r>
              <w:rPr>
                <w:rFonts w:ascii="仿宋" w:hAnsi="仿宋" w:eastAsia="仿宋" w:cs="仿宋"/>
                <w:color w:val="auto"/>
                <w:lang w:eastAsia="zh-CN"/>
              </w:rPr>
              <w:t>22</w:t>
            </w:r>
          </w:p>
        </w:tc>
        <w:tc>
          <w:tcPr>
            <w:tcW w:w="737" w:type="dxa"/>
            <w:vAlign w:val="center"/>
          </w:tcPr>
          <w:p w14:paraId="20A58A3E">
            <w:pPr>
              <w:pStyle w:val="4"/>
              <w:jc w:val="center"/>
              <w:rPr>
                <w:rFonts w:ascii="仿宋" w:hAnsi="仿宋" w:eastAsia="仿宋" w:cs="仿宋"/>
                <w:color w:val="auto"/>
              </w:rPr>
            </w:pPr>
          </w:p>
        </w:tc>
        <w:tc>
          <w:tcPr>
            <w:tcW w:w="7031" w:type="dxa"/>
          </w:tcPr>
          <w:p w14:paraId="0462FDA7">
            <w:pPr>
              <w:pStyle w:val="4"/>
              <w:rPr>
                <w:rFonts w:ascii="仿宋" w:hAnsi="仿宋" w:eastAsia="仿宋" w:cs="仿宋"/>
                <w:color w:val="auto"/>
              </w:rPr>
            </w:pPr>
            <w:r>
              <w:rPr>
                <w:rFonts w:ascii="仿宋" w:hAnsi="仿宋" w:eastAsia="仿宋" w:cs="仿宋"/>
                <w:color w:val="auto"/>
              </w:rPr>
              <w:t>14</w:t>
            </w:r>
            <w:r>
              <w:rPr>
                <w:rFonts w:ascii="仿宋" w:hAnsi="仿宋" w:eastAsia="仿宋" w:cs="仿宋"/>
                <w:color w:val="auto"/>
                <w:lang w:eastAsia="zh-CN"/>
              </w:rPr>
              <w:t>.AI</w:t>
            </w:r>
            <w:r>
              <w:rPr>
                <w:rFonts w:ascii="仿宋" w:hAnsi="仿宋" w:eastAsia="仿宋" w:cs="仿宋"/>
                <w:color w:val="auto"/>
              </w:rPr>
              <w:t>数据分类分级服务</w:t>
            </w:r>
          </w:p>
          <w:p w14:paraId="72A69AA6">
            <w:pPr>
              <w:pStyle w:val="4"/>
              <w:rPr>
                <w:rFonts w:hint="default" w:ascii="仿宋" w:hAnsi="仿宋" w:eastAsia="仿宋" w:cs="仿宋"/>
                <w:color w:val="auto"/>
                <w:lang w:eastAsia="zh-CN"/>
              </w:rPr>
            </w:pPr>
            <w:r>
              <w:rPr>
                <w:rFonts w:ascii="仿宋" w:hAnsi="仿宋" w:eastAsia="仿宋" w:cs="仿宋"/>
                <w:color w:val="auto"/>
                <w:lang w:eastAsia="zh-CN"/>
              </w:rPr>
              <w:t>14.1服务期内提供AI分类分级工具，基于行业分类分级标准、框架和AI大模型，</w:t>
            </w:r>
            <w:r>
              <w:rPr>
                <w:rFonts w:ascii="仿宋" w:hAnsi="仿宋" w:eastAsia="仿宋" w:cs="仿宋"/>
                <w:color w:val="auto"/>
              </w:rPr>
              <w:t>对考试院指定的数据资源进行调研、梳理、分类分级和安全评估，提升考试院数据分级管理能力，保障数据安全，严格防范数据泄露、篡改、丢失等安全风险。服务期内至少完成1个指定数据资产的</w:t>
            </w:r>
            <w:r>
              <w:rPr>
                <w:rFonts w:ascii="仿宋" w:hAnsi="仿宋" w:eastAsia="仿宋" w:cs="仿宋"/>
                <w:color w:val="auto"/>
                <w:lang w:eastAsia="zh-CN"/>
              </w:rPr>
              <w:t>AI</w:t>
            </w:r>
            <w:r>
              <w:rPr>
                <w:rFonts w:ascii="仿宋" w:hAnsi="仿宋" w:eastAsia="仿宋" w:cs="仿宋"/>
                <w:color w:val="auto"/>
              </w:rPr>
              <w:t>分类分级工作，至少完成≥3</w:t>
            </w:r>
            <w:r>
              <w:rPr>
                <w:rFonts w:ascii="仿宋" w:hAnsi="仿宋" w:eastAsia="仿宋" w:cs="仿宋"/>
                <w:color w:val="auto"/>
                <w:lang w:eastAsia="zh-CN"/>
              </w:rPr>
              <w:t>W</w:t>
            </w:r>
            <w:r>
              <w:rPr>
                <w:rFonts w:ascii="仿宋" w:hAnsi="仿宋" w:eastAsia="仿宋" w:cs="仿宋"/>
                <w:color w:val="auto"/>
              </w:rPr>
              <w:t>数据字段的分类分级工作，提供数据分类分级所需的系统软件，分类分级处理性能不少于100字段/秒。</w:t>
            </w:r>
          </w:p>
          <w:p w14:paraId="6A5C53BA">
            <w:pPr>
              <w:pStyle w:val="4"/>
              <w:rPr>
                <w:rFonts w:hint="default" w:ascii="仿宋" w:hAnsi="仿宋" w:eastAsia="仿宋" w:cs="仿宋"/>
                <w:color w:val="auto"/>
                <w:lang w:eastAsia="zh-CN"/>
              </w:rPr>
            </w:pPr>
            <w:r>
              <w:rPr>
                <w:rFonts w:ascii="仿宋" w:hAnsi="仿宋" w:eastAsia="仿宋" w:cs="仿宋"/>
                <w:color w:val="auto"/>
                <w:lang w:eastAsia="zh-CN"/>
              </w:rPr>
              <w:t>14.2服务工具通过大模型能力，提升分类识别率与准确率，支持以自然语言方式输入专家经验，以</w:t>
            </w:r>
            <w:r>
              <w:rPr>
                <w:rFonts w:hint="eastAsia" w:ascii="仿宋" w:hAnsi="仿宋" w:eastAsia="仿宋" w:cs="仿宋"/>
                <w:color w:val="auto"/>
                <w:lang w:eastAsia="zh-CN"/>
              </w:rPr>
              <w:t>对</w:t>
            </w:r>
            <w:r>
              <w:rPr>
                <w:rFonts w:ascii="仿宋" w:hAnsi="仿宋" w:eastAsia="仿宋" w:cs="仿宋"/>
                <w:color w:val="auto"/>
                <w:lang w:eastAsia="zh-CN"/>
              </w:rPr>
              <w:t>大模型的识别效果进行调优，并支持对专家经验效果进行验证。</w:t>
            </w:r>
          </w:p>
          <w:p w14:paraId="150A072D">
            <w:pPr>
              <w:pStyle w:val="4"/>
              <w:rPr>
                <w:rFonts w:hint="default" w:ascii="仿宋" w:hAnsi="仿宋" w:eastAsia="仿宋" w:cs="仿宋"/>
                <w:color w:val="auto"/>
                <w:lang w:eastAsia="zh-CN"/>
              </w:rPr>
            </w:pPr>
            <w:r>
              <w:rPr>
                <w:rFonts w:ascii="仿宋" w:hAnsi="仿宋" w:eastAsia="仿宋" w:cs="仿宋"/>
                <w:color w:val="auto"/>
                <w:lang w:eastAsia="zh-CN"/>
              </w:rPr>
              <w:t>14.3分类分级工具支持有监督学习模型的训练，模型算法包括传统集成学习、快速神经网络、深度神经网络、AI大模型等类型。</w:t>
            </w:r>
          </w:p>
          <w:p w14:paraId="694094CE">
            <w:pPr>
              <w:pStyle w:val="4"/>
              <w:rPr>
                <w:rFonts w:ascii="仿宋" w:hAnsi="仿宋" w:eastAsia="仿宋" w:cs="仿宋"/>
                <w:color w:val="auto"/>
                <w:lang w:eastAsia="zh-CN"/>
              </w:rPr>
            </w:pPr>
            <w:r>
              <w:rPr>
                <w:rFonts w:ascii="仿宋" w:hAnsi="仿宋" w:eastAsia="仿宋" w:cs="仿宋"/>
                <w:color w:val="auto"/>
                <w:lang w:eastAsia="zh-CN"/>
              </w:rPr>
              <w:t>14.4服务完成后输出《考试院数据资源清单</w:t>
            </w:r>
            <w:r>
              <w:rPr>
                <w:rFonts w:hint="eastAsia" w:ascii="仿宋" w:hAnsi="仿宋" w:eastAsia="仿宋" w:cs="仿宋"/>
                <w:color w:val="auto"/>
                <w:lang w:eastAsia="zh-CN"/>
              </w:rPr>
              <w:t>》《</w:t>
            </w:r>
            <w:r>
              <w:rPr>
                <w:rFonts w:ascii="仿宋" w:hAnsi="仿宋" w:eastAsia="仿宋" w:cs="仿宋"/>
                <w:color w:val="auto"/>
                <w:lang w:eastAsia="zh-CN"/>
              </w:rPr>
              <w:t>考试院分类分级结果报告》。</w:t>
            </w:r>
          </w:p>
        </w:tc>
      </w:tr>
      <w:tr w14:paraId="54EBCD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67A3E1CF">
            <w:pPr>
              <w:pStyle w:val="4"/>
              <w:jc w:val="center"/>
              <w:rPr>
                <w:rFonts w:ascii="仿宋" w:hAnsi="仿宋" w:eastAsia="仿宋" w:cs="仿宋"/>
                <w:color w:val="auto"/>
                <w:lang w:eastAsia="zh-CN"/>
              </w:rPr>
            </w:pPr>
            <w:r>
              <w:rPr>
                <w:rFonts w:ascii="仿宋" w:hAnsi="仿宋" w:eastAsia="仿宋" w:cs="仿宋"/>
                <w:color w:val="auto"/>
                <w:lang w:eastAsia="zh-CN"/>
              </w:rPr>
              <w:t>23</w:t>
            </w:r>
          </w:p>
        </w:tc>
        <w:tc>
          <w:tcPr>
            <w:tcW w:w="737" w:type="dxa"/>
            <w:vAlign w:val="center"/>
          </w:tcPr>
          <w:p w14:paraId="7A77A0C0">
            <w:pPr>
              <w:pStyle w:val="4"/>
              <w:jc w:val="center"/>
              <w:rPr>
                <w:rFonts w:ascii="仿宋" w:hAnsi="仿宋" w:eastAsia="仿宋" w:cs="仿宋"/>
                <w:color w:val="auto"/>
              </w:rPr>
            </w:pPr>
            <w:r>
              <w:rPr>
                <w:rFonts w:ascii="仿宋" w:hAnsi="仿宋" w:eastAsia="仿宋" w:cs="仿宋"/>
                <w:color w:val="auto"/>
              </w:rPr>
              <w:t>▲</w:t>
            </w:r>
          </w:p>
        </w:tc>
        <w:tc>
          <w:tcPr>
            <w:tcW w:w="7031" w:type="dxa"/>
          </w:tcPr>
          <w:p w14:paraId="36CA5C03">
            <w:pPr>
              <w:pStyle w:val="4"/>
              <w:jc w:val="both"/>
              <w:rPr>
                <w:rFonts w:ascii="仿宋" w:hAnsi="仿宋" w:eastAsia="仿宋" w:cs="仿宋"/>
                <w:color w:val="auto"/>
                <w:lang w:eastAsia="zh-CN"/>
              </w:rPr>
            </w:pPr>
            <w:r>
              <w:rPr>
                <w:rFonts w:ascii="仿宋" w:hAnsi="仿宋" w:eastAsia="仿宋" w:cs="仿宋"/>
                <w:color w:val="auto"/>
                <w:lang w:eastAsia="zh-CN"/>
              </w:rPr>
              <w:t>14.5工具支持AI大模型，自动生成数据分类分级框架，支持</w:t>
            </w:r>
            <w:r>
              <w:rPr>
                <w:rFonts w:hint="eastAsia" w:ascii="仿宋" w:hAnsi="仿宋" w:eastAsia="仿宋" w:cs="仿宋"/>
                <w:color w:val="auto"/>
                <w:lang w:eastAsia="zh-CN"/>
              </w:rPr>
              <w:t>对</w:t>
            </w:r>
            <w:r>
              <w:rPr>
                <w:rFonts w:ascii="仿宋" w:hAnsi="仿宋" w:eastAsia="仿宋" w:cs="仿宋"/>
                <w:color w:val="auto"/>
                <w:lang w:eastAsia="zh-CN"/>
              </w:rPr>
              <w:t>行业、最大类别层级、最高级别、提示词、数据源进行配置。同时支持在生成分类分级框架后</w:t>
            </w:r>
            <w:r>
              <w:rPr>
                <w:rFonts w:hint="eastAsia" w:ascii="仿宋" w:hAnsi="仿宋" w:eastAsia="仿宋" w:cs="仿宋"/>
                <w:color w:val="auto"/>
                <w:lang w:eastAsia="zh-CN"/>
              </w:rPr>
              <w:t>对</w:t>
            </w:r>
            <w:r>
              <w:rPr>
                <w:rFonts w:ascii="仿宋" w:hAnsi="仿宋" w:eastAsia="仿宋" w:cs="仿宋"/>
                <w:color w:val="auto"/>
                <w:lang w:eastAsia="zh-CN"/>
              </w:rPr>
              <w:t>部分节点进行自动化优化，包括：生成类别、生成级别、生成示例、拆分类别。（需提供工具相关功能截图证明并加盖公章）</w:t>
            </w:r>
          </w:p>
        </w:tc>
      </w:tr>
      <w:tr w14:paraId="75C573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28B822DA">
            <w:pPr>
              <w:pStyle w:val="4"/>
              <w:jc w:val="center"/>
              <w:rPr>
                <w:rFonts w:ascii="仿宋" w:hAnsi="仿宋" w:eastAsia="仿宋" w:cs="仿宋"/>
                <w:color w:val="auto"/>
                <w:lang w:eastAsia="zh-CN"/>
              </w:rPr>
            </w:pPr>
            <w:r>
              <w:rPr>
                <w:rFonts w:ascii="仿宋" w:hAnsi="仿宋" w:eastAsia="仿宋" w:cs="仿宋"/>
                <w:color w:val="auto"/>
              </w:rPr>
              <w:t>2</w:t>
            </w:r>
            <w:r>
              <w:rPr>
                <w:rFonts w:ascii="仿宋" w:hAnsi="仿宋" w:eastAsia="仿宋" w:cs="仿宋"/>
                <w:color w:val="auto"/>
                <w:lang w:eastAsia="zh-CN"/>
              </w:rPr>
              <w:t>4</w:t>
            </w:r>
          </w:p>
        </w:tc>
        <w:tc>
          <w:tcPr>
            <w:tcW w:w="737" w:type="dxa"/>
            <w:vAlign w:val="center"/>
          </w:tcPr>
          <w:p w14:paraId="3C1F628F">
            <w:pPr>
              <w:pStyle w:val="4"/>
              <w:jc w:val="center"/>
              <w:rPr>
                <w:rFonts w:ascii="仿宋" w:hAnsi="仿宋" w:eastAsia="仿宋" w:cs="仿宋"/>
                <w:color w:val="auto"/>
              </w:rPr>
            </w:pPr>
            <w:r>
              <w:rPr>
                <w:rFonts w:ascii="仿宋" w:hAnsi="仿宋" w:eastAsia="仿宋" w:cs="仿宋"/>
                <w:color w:val="auto"/>
              </w:rPr>
              <w:t>▲</w:t>
            </w:r>
          </w:p>
        </w:tc>
        <w:tc>
          <w:tcPr>
            <w:tcW w:w="7031" w:type="dxa"/>
          </w:tcPr>
          <w:p w14:paraId="12611E06">
            <w:pPr>
              <w:pStyle w:val="4"/>
              <w:jc w:val="both"/>
              <w:rPr>
                <w:rFonts w:ascii="仿宋" w:hAnsi="仿宋" w:eastAsia="仿宋" w:cs="仿宋"/>
                <w:color w:val="auto"/>
              </w:rPr>
            </w:pPr>
            <w:r>
              <w:rPr>
                <w:rFonts w:ascii="仿宋" w:hAnsi="仿宋" w:eastAsia="仿宋" w:cs="仿宋"/>
                <w:color w:val="auto"/>
                <w:lang w:eastAsia="zh-CN"/>
              </w:rPr>
              <w:t>14.6</w:t>
            </w:r>
            <w:r>
              <w:rPr>
                <w:rFonts w:ascii="仿宋" w:hAnsi="仿宋" w:eastAsia="仿宋" w:cs="仿宋"/>
                <w:color w:val="auto"/>
              </w:rPr>
              <w:t>服务工具通过由中国信息通信研究院检验的数据安全产品进阶能力测评。</w:t>
            </w:r>
            <w:r>
              <w:rPr>
                <w:rFonts w:ascii="仿宋" w:hAnsi="仿宋" w:eastAsia="仿宋" w:cs="仿宋"/>
                <w:color w:val="auto"/>
                <w:lang w:eastAsia="zh-CN"/>
              </w:rPr>
              <w:t>（需提供工具相关证明材料并加盖公章）</w:t>
            </w:r>
          </w:p>
        </w:tc>
      </w:tr>
      <w:tr w14:paraId="0859A5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644166EC">
            <w:pPr>
              <w:pStyle w:val="4"/>
              <w:jc w:val="center"/>
              <w:rPr>
                <w:rFonts w:ascii="仿宋" w:hAnsi="仿宋" w:eastAsia="仿宋" w:cs="仿宋"/>
                <w:color w:val="auto"/>
                <w:lang w:eastAsia="zh-CN"/>
              </w:rPr>
            </w:pPr>
            <w:r>
              <w:rPr>
                <w:rFonts w:ascii="仿宋" w:hAnsi="仿宋" w:eastAsia="仿宋" w:cs="仿宋"/>
                <w:color w:val="auto"/>
              </w:rPr>
              <w:t>2</w:t>
            </w:r>
            <w:r>
              <w:rPr>
                <w:rFonts w:ascii="仿宋" w:hAnsi="仿宋" w:eastAsia="仿宋" w:cs="仿宋"/>
                <w:color w:val="auto"/>
                <w:lang w:eastAsia="zh-CN"/>
              </w:rPr>
              <w:t>5</w:t>
            </w:r>
          </w:p>
        </w:tc>
        <w:tc>
          <w:tcPr>
            <w:tcW w:w="737" w:type="dxa"/>
            <w:vAlign w:val="center"/>
          </w:tcPr>
          <w:p w14:paraId="6D76E21D">
            <w:pPr>
              <w:pStyle w:val="4"/>
              <w:jc w:val="center"/>
              <w:rPr>
                <w:rFonts w:ascii="仿宋" w:hAnsi="仿宋" w:eastAsia="仿宋" w:cs="仿宋"/>
                <w:color w:val="auto"/>
              </w:rPr>
            </w:pPr>
          </w:p>
        </w:tc>
        <w:tc>
          <w:tcPr>
            <w:tcW w:w="7031" w:type="dxa"/>
          </w:tcPr>
          <w:p w14:paraId="671E0A41">
            <w:pPr>
              <w:pStyle w:val="4"/>
              <w:rPr>
                <w:rFonts w:ascii="仿宋" w:hAnsi="仿宋" w:eastAsia="仿宋" w:cs="仿宋"/>
                <w:color w:val="auto"/>
                <w:lang w:eastAsia="zh-CN"/>
              </w:rPr>
            </w:pPr>
            <w:r>
              <w:rPr>
                <w:rFonts w:ascii="仿宋" w:hAnsi="仿宋" w:eastAsia="仿宋" w:cs="仿宋"/>
                <w:color w:val="auto"/>
                <w:lang w:eastAsia="zh-CN"/>
              </w:rPr>
              <w:t>15.数据库审计租赁服务</w:t>
            </w:r>
          </w:p>
          <w:p w14:paraId="3BD25186">
            <w:pPr>
              <w:pStyle w:val="4"/>
              <w:rPr>
                <w:rFonts w:ascii="仿宋" w:hAnsi="仿宋" w:eastAsia="仿宋" w:cs="仿宋"/>
                <w:color w:val="auto"/>
                <w:lang w:eastAsia="zh-CN"/>
              </w:rPr>
            </w:pPr>
            <w:r>
              <w:rPr>
                <w:rFonts w:ascii="仿宋" w:hAnsi="仿宋" w:eastAsia="仿宋" w:cs="仿宋"/>
                <w:color w:val="auto"/>
                <w:lang w:eastAsia="zh-CN"/>
              </w:rPr>
              <w:t>15.1提供数据库审计硬件设备租赁服务，针对考试院现网数据库进行审计，针对采集发现的数据访问行为、数据风险行为等提供安全预警。所提供的数据库安全审计分析设备符合采集区域的数据流量需求，需支持至少70个数据库实例审计，可审计数据库流量≥1Gbps，双向审计数据库流量≥300Mbps，数据存储空间≥2TB。</w:t>
            </w:r>
          </w:p>
          <w:p w14:paraId="2937E7F4">
            <w:pPr>
              <w:pStyle w:val="4"/>
              <w:jc w:val="both"/>
              <w:rPr>
                <w:rFonts w:hint="default" w:ascii="仿宋" w:hAnsi="仿宋" w:eastAsia="仿宋" w:cs="仿宋"/>
                <w:color w:val="auto"/>
                <w:lang w:eastAsia="zh-CN"/>
              </w:rPr>
            </w:pPr>
            <w:r>
              <w:rPr>
                <w:rFonts w:ascii="仿宋" w:hAnsi="仿宋" w:eastAsia="仿宋" w:cs="仿宋"/>
                <w:color w:val="auto"/>
                <w:lang w:eastAsia="zh-CN"/>
              </w:rPr>
              <w:t>15.2工具支持云环境、物理网络环境下的数据库流量检测能力，支持主流关系型、非关系型、国产、大数据等数据库的审计，支持本地数据库工具登录数据库场景下的数据操作行为审计。</w:t>
            </w:r>
          </w:p>
          <w:p w14:paraId="200E32BF">
            <w:pPr>
              <w:pStyle w:val="4"/>
              <w:jc w:val="both"/>
              <w:rPr>
                <w:rFonts w:hint="default" w:ascii="仿宋" w:hAnsi="仿宋" w:eastAsia="仿宋" w:cs="仿宋"/>
                <w:color w:val="auto"/>
                <w:lang w:eastAsia="zh-CN"/>
              </w:rPr>
            </w:pPr>
            <w:r>
              <w:rPr>
                <w:rFonts w:ascii="仿宋" w:hAnsi="仿宋" w:eastAsia="仿宋" w:cs="仿宋"/>
                <w:color w:val="auto"/>
                <w:lang w:eastAsia="zh-CN"/>
              </w:rPr>
              <w:t>15.3工具支持审计记录中敏感数据的脱敏处理，提供敏感数据脱敏规则，并支持脱敏规则自定义；安全审计规则提供SQL注入、账号安全、数据泄露和违规操作等。</w:t>
            </w:r>
          </w:p>
          <w:p w14:paraId="766E4C84">
            <w:pPr>
              <w:pStyle w:val="4"/>
              <w:jc w:val="both"/>
              <w:rPr>
                <w:rFonts w:hint="default" w:ascii="仿宋" w:hAnsi="仿宋" w:eastAsia="仿宋" w:cs="仿宋"/>
                <w:color w:val="auto"/>
                <w:lang w:eastAsia="zh-CN"/>
              </w:rPr>
            </w:pPr>
            <w:r>
              <w:rPr>
                <w:rFonts w:ascii="仿宋" w:hAnsi="仿宋" w:eastAsia="仿宋" w:cs="仿宋"/>
                <w:color w:val="auto"/>
                <w:lang w:eastAsia="zh-CN"/>
              </w:rPr>
              <w:t>15.4工具支持基于日期、时间、报文、审计ID、会话ID、SQL模板ID、资产、数据库账号、客户端IP、服务端IP、客户端端口、服务端端口、客户端MAC、服务端MAC、数据库名/实例名、数据库对象（库、表、字段等）、客户端工具、主机名、操作系统用户名、影响行数、执行时长、执行结果描述、返回结果集、关联IP、关联账号、操作类型、数据库类型、执行状态等条件的审计查询。</w:t>
            </w:r>
          </w:p>
          <w:p w14:paraId="6ED3B80A">
            <w:pPr>
              <w:pStyle w:val="4"/>
              <w:jc w:val="both"/>
              <w:rPr>
                <w:rFonts w:ascii="仿宋" w:hAnsi="仿宋" w:eastAsia="仿宋" w:cs="仿宋"/>
                <w:color w:val="auto"/>
                <w:lang w:eastAsia="zh-CN"/>
              </w:rPr>
            </w:pPr>
            <w:r>
              <w:rPr>
                <w:rFonts w:ascii="仿宋" w:hAnsi="仿宋" w:eastAsia="仿宋" w:cs="仿宋"/>
                <w:color w:val="auto"/>
                <w:lang w:eastAsia="zh-CN"/>
              </w:rPr>
              <w:t>15.5服务期内每季度输出《数据库安全审计分析服务报告》，服务期内不少于4份，针对当季度的数据访问和数据库风险情况进行汇总分析。</w:t>
            </w:r>
          </w:p>
        </w:tc>
      </w:tr>
      <w:tr w14:paraId="5732F9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03BF265B">
            <w:pPr>
              <w:pStyle w:val="4"/>
              <w:jc w:val="center"/>
              <w:rPr>
                <w:rFonts w:ascii="仿宋" w:hAnsi="仿宋" w:eastAsia="仿宋" w:cs="仿宋"/>
                <w:color w:val="auto"/>
                <w:lang w:eastAsia="zh-CN"/>
              </w:rPr>
            </w:pPr>
            <w:r>
              <w:rPr>
                <w:rFonts w:ascii="仿宋" w:hAnsi="仿宋" w:eastAsia="仿宋" w:cs="仿宋"/>
                <w:color w:val="auto"/>
              </w:rPr>
              <w:t>2</w:t>
            </w:r>
            <w:r>
              <w:rPr>
                <w:rFonts w:ascii="仿宋" w:hAnsi="仿宋" w:eastAsia="仿宋" w:cs="仿宋"/>
                <w:color w:val="auto"/>
                <w:lang w:eastAsia="zh-CN"/>
              </w:rPr>
              <w:t>6</w:t>
            </w:r>
          </w:p>
        </w:tc>
        <w:tc>
          <w:tcPr>
            <w:tcW w:w="737" w:type="dxa"/>
            <w:vAlign w:val="center"/>
          </w:tcPr>
          <w:p w14:paraId="72B8092D">
            <w:pPr>
              <w:pStyle w:val="4"/>
              <w:jc w:val="center"/>
              <w:rPr>
                <w:rFonts w:ascii="仿宋" w:hAnsi="仿宋" w:eastAsia="仿宋" w:cs="仿宋"/>
                <w:color w:val="auto"/>
              </w:rPr>
            </w:pPr>
            <w:r>
              <w:rPr>
                <w:rFonts w:ascii="仿宋" w:hAnsi="仿宋" w:eastAsia="仿宋" w:cs="仿宋"/>
                <w:color w:val="auto"/>
              </w:rPr>
              <w:t>▲</w:t>
            </w:r>
          </w:p>
        </w:tc>
        <w:tc>
          <w:tcPr>
            <w:tcW w:w="7031" w:type="dxa"/>
          </w:tcPr>
          <w:p w14:paraId="2D26102B">
            <w:pPr>
              <w:pStyle w:val="4"/>
              <w:rPr>
                <w:rFonts w:ascii="仿宋" w:hAnsi="仿宋" w:eastAsia="仿宋" w:cs="仿宋"/>
                <w:color w:val="auto"/>
                <w:lang w:eastAsia="zh-CN"/>
              </w:rPr>
            </w:pPr>
            <w:r>
              <w:rPr>
                <w:rFonts w:ascii="仿宋" w:hAnsi="仿宋" w:eastAsia="仿宋" w:cs="仿宋"/>
                <w:color w:val="auto"/>
                <w:lang w:eastAsia="zh-CN"/>
              </w:rPr>
              <w:t>15.6支持在审计日志中一键添加过滤规则，支持在告警规则中一键添加信任规则或规则白名单。（需提供工具相关功能截图证明并加盖公章）</w:t>
            </w:r>
          </w:p>
        </w:tc>
      </w:tr>
      <w:tr w14:paraId="376925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20156B5D">
            <w:pPr>
              <w:pStyle w:val="4"/>
              <w:jc w:val="center"/>
              <w:rPr>
                <w:rFonts w:ascii="仿宋" w:hAnsi="仿宋" w:eastAsia="仿宋" w:cs="仿宋"/>
                <w:color w:val="auto"/>
                <w:lang w:eastAsia="zh-CN"/>
              </w:rPr>
            </w:pPr>
            <w:r>
              <w:rPr>
                <w:rFonts w:ascii="仿宋" w:hAnsi="仿宋" w:eastAsia="仿宋" w:cs="仿宋"/>
                <w:color w:val="auto"/>
              </w:rPr>
              <w:t>2</w:t>
            </w:r>
            <w:r>
              <w:rPr>
                <w:rFonts w:ascii="仿宋" w:hAnsi="仿宋" w:eastAsia="仿宋" w:cs="仿宋"/>
                <w:color w:val="auto"/>
                <w:lang w:eastAsia="zh-CN"/>
              </w:rPr>
              <w:t>7</w:t>
            </w:r>
          </w:p>
        </w:tc>
        <w:tc>
          <w:tcPr>
            <w:tcW w:w="737" w:type="dxa"/>
            <w:vAlign w:val="center"/>
          </w:tcPr>
          <w:p w14:paraId="075040CF">
            <w:pPr>
              <w:pStyle w:val="4"/>
              <w:jc w:val="center"/>
              <w:rPr>
                <w:rFonts w:ascii="仿宋" w:hAnsi="仿宋" w:eastAsia="仿宋" w:cs="仿宋"/>
                <w:color w:val="auto"/>
              </w:rPr>
            </w:pPr>
          </w:p>
        </w:tc>
        <w:tc>
          <w:tcPr>
            <w:tcW w:w="7031" w:type="dxa"/>
          </w:tcPr>
          <w:p w14:paraId="487ED3C4">
            <w:pPr>
              <w:pStyle w:val="4"/>
              <w:rPr>
                <w:rFonts w:ascii="仿宋" w:hAnsi="仿宋" w:eastAsia="仿宋" w:cs="仿宋"/>
                <w:color w:val="auto"/>
              </w:rPr>
            </w:pPr>
            <w:r>
              <w:rPr>
                <w:rFonts w:ascii="仿宋" w:hAnsi="仿宋" w:eastAsia="仿宋" w:cs="仿宋"/>
                <w:color w:val="auto"/>
              </w:rPr>
              <w:t>16.安全设备租赁服务（专网）</w:t>
            </w:r>
          </w:p>
          <w:p w14:paraId="4184F89B">
            <w:pPr>
              <w:pStyle w:val="4"/>
              <w:rPr>
                <w:rFonts w:ascii="仿宋" w:hAnsi="仿宋" w:eastAsia="仿宋" w:cs="仿宋"/>
                <w:color w:val="auto"/>
              </w:rPr>
            </w:pPr>
            <w:r>
              <w:rPr>
                <w:rFonts w:ascii="仿宋" w:hAnsi="仿宋" w:eastAsia="仿宋" w:cs="仿宋"/>
                <w:color w:val="auto"/>
                <w:lang w:eastAsia="zh-CN"/>
              </w:rPr>
              <w:t>16.1</w:t>
            </w:r>
            <w:r>
              <w:rPr>
                <w:rFonts w:ascii="仿宋" w:hAnsi="仿宋" w:eastAsia="仿宋" w:cs="仿宋"/>
                <w:color w:val="auto"/>
              </w:rPr>
              <w:t>提供专网安全设备租赁服务，面向考试院专网提供符合要求的运维安全审计设备租赁服务、日志审计设备租赁服务、入侵监测设备租赁服务</w:t>
            </w:r>
            <w:r>
              <w:rPr>
                <w:rFonts w:hint="eastAsia" w:ascii="仿宋" w:hAnsi="仿宋" w:eastAsia="仿宋" w:cs="仿宋"/>
                <w:color w:val="auto"/>
                <w:lang w:eastAsia="zh-CN"/>
              </w:rPr>
              <w:t>等</w:t>
            </w:r>
            <w:r>
              <w:rPr>
                <w:rFonts w:ascii="仿宋" w:hAnsi="仿宋" w:eastAsia="仿宋" w:cs="仿宋"/>
                <w:color w:val="auto"/>
              </w:rPr>
              <w:t>，提供1年期设备租赁服务。</w:t>
            </w:r>
          </w:p>
          <w:p w14:paraId="40D18E36">
            <w:pPr>
              <w:pStyle w:val="4"/>
              <w:rPr>
                <w:rFonts w:ascii="仿宋" w:hAnsi="仿宋" w:eastAsia="仿宋" w:cs="仿宋"/>
                <w:color w:val="auto"/>
              </w:rPr>
            </w:pPr>
            <w:r>
              <w:rPr>
                <w:rFonts w:ascii="仿宋" w:hAnsi="仿宋" w:eastAsia="仿宋" w:cs="仿宋"/>
                <w:color w:val="auto"/>
                <w:lang w:eastAsia="zh-CN"/>
              </w:rPr>
              <w:t>16.2</w:t>
            </w:r>
            <w:r>
              <w:rPr>
                <w:rFonts w:ascii="仿宋" w:hAnsi="仿宋" w:eastAsia="仿宋" w:cs="仿宋"/>
                <w:color w:val="auto"/>
              </w:rPr>
              <w:t>运维安全审计设备在服务期内可运维资产不少于100个</w:t>
            </w:r>
            <w:r>
              <w:rPr>
                <w:rFonts w:hint="eastAsia" w:ascii="仿宋" w:hAnsi="仿宋" w:eastAsia="仿宋" w:cs="仿宋"/>
                <w:color w:val="auto"/>
                <w:lang w:eastAsia="zh-CN"/>
              </w:rPr>
              <w:t>；</w:t>
            </w:r>
            <w:r>
              <w:rPr>
                <w:rFonts w:ascii="仿宋" w:hAnsi="仿宋" w:eastAsia="仿宋" w:cs="仿宋"/>
                <w:color w:val="auto"/>
              </w:rPr>
              <w:t>日志审计设备在服务期内可采集日志源资产不少于80个，日志采集能力≥5000EPS</w:t>
            </w:r>
            <w:r>
              <w:rPr>
                <w:rFonts w:hint="eastAsia" w:ascii="仿宋" w:hAnsi="仿宋" w:eastAsia="仿宋" w:cs="仿宋"/>
                <w:color w:val="auto"/>
                <w:lang w:eastAsia="zh-CN"/>
              </w:rPr>
              <w:t>；</w:t>
            </w:r>
            <w:r>
              <w:rPr>
                <w:rFonts w:ascii="仿宋" w:hAnsi="仿宋" w:eastAsia="仿宋" w:cs="仿宋"/>
                <w:color w:val="auto"/>
              </w:rPr>
              <w:t>入侵监测设备可采集应用层流量能力不少于1Gbps。</w:t>
            </w:r>
          </w:p>
        </w:tc>
      </w:tr>
      <w:tr w14:paraId="7558FC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43637348">
            <w:pPr>
              <w:pStyle w:val="4"/>
              <w:jc w:val="center"/>
              <w:rPr>
                <w:rFonts w:ascii="仿宋" w:hAnsi="仿宋" w:eastAsia="仿宋" w:cs="仿宋"/>
                <w:color w:val="auto"/>
                <w:lang w:eastAsia="zh-CN"/>
              </w:rPr>
            </w:pPr>
            <w:r>
              <w:rPr>
                <w:rFonts w:ascii="仿宋" w:hAnsi="仿宋" w:eastAsia="仿宋" w:cs="仿宋"/>
                <w:color w:val="auto"/>
              </w:rPr>
              <w:t>2</w:t>
            </w:r>
            <w:r>
              <w:rPr>
                <w:rFonts w:ascii="仿宋" w:hAnsi="仿宋" w:eastAsia="仿宋" w:cs="仿宋"/>
                <w:color w:val="auto"/>
                <w:lang w:eastAsia="zh-CN"/>
              </w:rPr>
              <w:t>8</w:t>
            </w:r>
          </w:p>
        </w:tc>
        <w:tc>
          <w:tcPr>
            <w:tcW w:w="737" w:type="dxa"/>
            <w:vAlign w:val="center"/>
          </w:tcPr>
          <w:p w14:paraId="7ECE1EB4">
            <w:pPr>
              <w:pStyle w:val="4"/>
              <w:jc w:val="center"/>
              <w:rPr>
                <w:rFonts w:ascii="仿宋" w:hAnsi="仿宋" w:eastAsia="仿宋" w:cs="仿宋"/>
                <w:color w:val="auto"/>
              </w:rPr>
            </w:pPr>
          </w:p>
        </w:tc>
        <w:tc>
          <w:tcPr>
            <w:tcW w:w="7031" w:type="dxa"/>
          </w:tcPr>
          <w:p w14:paraId="47F2B63E">
            <w:pPr>
              <w:pStyle w:val="4"/>
              <w:jc w:val="both"/>
              <w:rPr>
                <w:rFonts w:hint="default" w:ascii="仿宋" w:hAnsi="仿宋" w:eastAsia="仿宋" w:cs="仿宋"/>
                <w:color w:val="auto"/>
                <w:lang w:eastAsia="zh-CN"/>
              </w:rPr>
            </w:pPr>
            <w:r>
              <w:rPr>
                <w:rFonts w:ascii="仿宋" w:hAnsi="仿宋" w:eastAsia="仿宋" w:cs="仿宋"/>
                <w:color w:val="auto"/>
                <w:lang w:eastAsia="zh-CN"/>
              </w:rPr>
              <w:t>16.3</w:t>
            </w:r>
            <w:r>
              <w:rPr>
                <w:rFonts w:ascii="仿宋" w:hAnsi="仿宋" w:eastAsia="仿宋" w:cs="仿宋"/>
                <w:color w:val="auto"/>
              </w:rPr>
              <w:t>运维安全审计：具备身份认证、账户管理、控制权限、运维审计等功能，支持多种字符终端协议、文件传输协议、图形终端协议、远程应用协议的安全监控与历史查询，提供专网运维安全管理能力，方便事前管控、事中监控和事后溯源。</w:t>
            </w:r>
          </w:p>
          <w:p w14:paraId="36057FAB">
            <w:pPr>
              <w:pStyle w:val="4"/>
              <w:jc w:val="both"/>
              <w:rPr>
                <w:rFonts w:ascii="仿宋" w:hAnsi="仿宋" w:eastAsia="仿宋" w:cs="仿宋"/>
                <w:color w:val="auto"/>
                <w:lang w:eastAsia="zh-CN"/>
              </w:rPr>
            </w:pPr>
            <w:r>
              <w:rPr>
                <w:rFonts w:ascii="仿宋" w:hAnsi="仿宋" w:eastAsia="仿宋" w:cs="仿宋"/>
                <w:color w:val="auto"/>
                <w:lang w:eastAsia="zh-CN"/>
              </w:rPr>
              <w:t>16.4支持对重要命令进行审核，运维人员执行命令后，需等到管理员审批通过后才可执行成功；支持动态对象授权，提供基于属性策略的动态授权能力；支持主机命令控制，数据库命令控制</w:t>
            </w:r>
            <w:r>
              <w:rPr>
                <w:rFonts w:hint="eastAsia" w:ascii="仿宋" w:hAnsi="仿宋" w:eastAsia="仿宋" w:cs="仿宋"/>
                <w:color w:val="auto"/>
                <w:lang w:eastAsia="zh-CN"/>
              </w:rPr>
              <w:t>；支</w:t>
            </w:r>
            <w:r>
              <w:rPr>
                <w:rFonts w:ascii="仿宋" w:hAnsi="仿宋" w:eastAsia="仿宋" w:cs="仿宋"/>
                <w:color w:val="auto"/>
                <w:lang w:eastAsia="zh-CN"/>
              </w:rPr>
              <w:t>持对运维操作会话的在线监控、实时阻断。</w:t>
            </w:r>
          </w:p>
        </w:tc>
      </w:tr>
      <w:tr w14:paraId="0CA931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15F08070">
            <w:pPr>
              <w:pStyle w:val="4"/>
              <w:jc w:val="center"/>
              <w:rPr>
                <w:rFonts w:ascii="仿宋" w:hAnsi="仿宋" w:eastAsia="仿宋" w:cs="仿宋"/>
                <w:color w:val="auto"/>
                <w:lang w:eastAsia="zh-CN"/>
              </w:rPr>
            </w:pPr>
            <w:r>
              <w:rPr>
                <w:rFonts w:ascii="仿宋" w:hAnsi="仿宋" w:eastAsia="仿宋" w:cs="仿宋"/>
                <w:color w:val="auto"/>
              </w:rPr>
              <w:t>2</w:t>
            </w:r>
            <w:r>
              <w:rPr>
                <w:rFonts w:ascii="仿宋" w:hAnsi="仿宋" w:eastAsia="仿宋" w:cs="仿宋"/>
                <w:color w:val="auto"/>
                <w:lang w:eastAsia="zh-CN"/>
              </w:rPr>
              <w:t>9</w:t>
            </w:r>
          </w:p>
        </w:tc>
        <w:tc>
          <w:tcPr>
            <w:tcW w:w="737" w:type="dxa"/>
            <w:vAlign w:val="center"/>
          </w:tcPr>
          <w:p w14:paraId="0F43E2E5">
            <w:pPr>
              <w:pStyle w:val="4"/>
              <w:jc w:val="center"/>
              <w:rPr>
                <w:rFonts w:ascii="仿宋" w:hAnsi="仿宋" w:eastAsia="仿宋" w:cs="仿宋"/>
                <w:color w:val="auto"/>
              </w:rPr>
            </w:pPr>
          </w:p>
        </w:tc>
        <w:tc>
          <w:tcPr>
            <w:tcW w:w="7031" w:type="dxa"/>
          </w:tcPr>
          <w:p w14:paraId="7983A400">
            <w:pPr>
              <w:pStyle w:val="4"/>
              <w:rPr>
                <w:rFonts w:hint="default" w:ascii="仿宋" w:hAnsi="仿宋" w:eastAsia="仿宋" w:cs="仿宋"/>
                <w:color w:val="auto"/>
                <w:lang w:eastAsia="zh-CN"/>
              </w:rPr>
            </w:pPr>
            <w:r>
              <w:rPr>
                <w:rFonts w:ascii="仿宋" w:hAnsi="仿宋" w:eastAsia="仿宋" w:cs="仿宋"/>
                <w:color w:val="auto"/>
                <w:lang w:eastAsia="zh-CN"/>
              </w:rPr>
              <w:t>16.5</w:t>
            </w:r>
            <w:r>
              <w:rPr>
                <w:rFonts w:ascii="仿宋" w:hAnsi="仿宋" w:eastAsia="仿宋" w:cs="仿宋"/>
                <w:color w:val="auto"/>
              </w:rPr>
              <w:t>日志审计：日志转发与存储支持数字签名与加密，数字签名支持SM3和SHA256，加密模式支持AES和SM4，日志接收支持解密，支持SSL加密模式访问。</w:t>
            </w:r>
          </w:p>
          <w:p w14:paraId="1279E41D">
            <w:pPr>
              <w:pStyle w:val="4"/>
              <w:rPr>
                <w:rFonts w:ascii="仿宋" w:hAnsi="仿宋" w:eastAsia="仿宋" w:cs="仿宋"/>
                <w:color w:val="auto"/>
                <w:lang w:eastAsia="zh-CN"/>
              </w:rPr>
            </w:pPr>
            <w:r>
              <w:rPr>
                <w:rFonts w:ascii="仿宋" w:hAnsi="仿宋" w:eastAsia="仿宋" w:cs="仿宋"/>
                <w:color w:val="auto"/>
                <w:lang w:eastAsia="zh-CN"/>
              </w:rPr>
              <w:t>16.5提供不少于5000</w:t>
            </w:r>
            <w:r>
              <w:rPr>
                <w:rFonts w:hint="eastAsia" w:ascii="仿宋" w:hAnsi="仿宋" w:eastAsia="仿宋" w:cs="仿宋"/>
                <w:color w:val="auto"/>
                <w:lang w:val="en-US" w:eastAsia="zh-CN"/>
              </w:rPr>
              <w:t>个</w:t>
            </w:r>
            <w:r>
              <w:rPr>
                <w:rFonts w:ascii="仿宋" w:hAnsi="仿宋" w:eastAsia="仿宋" w:cs="仿宋"/>
                <w:color w:val="auto"/>
                <w:lang w:eastAsia="zh-CN"/>
              </w:rPr>
              <w:t>解析规则，对多源异构的设备类型日志进行解析（标准化、归一化），解析维度不少于200多种，解析规则可以根据考试院要求定制扩展；对日志样例可进行划词辅助解析，一键生成正则表达式；支持基于跨设备的多事件关联分析，支持通过资产、安全知识库、弱点库三个维度分析事件是否存在威胁，并形成关联事件。</w:t>
            </w:r>
          </w:p>
        </w:tc>
      </w:tr>
      <w:tr w14:paraId="5B2C8B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307F61EA">
            <w:pPr>
              <w:pStyle w:val="4"/>
              <w:jc w:val="center"/>
              <w:rPr>
                <w:rFonts w:ascii="仿宋" w:hAnsi="仿宋" w:eastAsia="仿宋" w:cs="仿宋"/>
                <w:color w:val="auto"/>
                <w:lang w:eastAsia="zh-CN"/>
              </w:rPr>
            </w:pPr>
            <w:r>
              <w:rPr>
                <w:rFonts w:ascii="仿宋" w:hAnsi="仿宋" w:eastAsia="仿宋" w:cs="仿宋"/>
                <w:color w:val="auto"/>
                <w:lang w:eastAsia="zh-CN"/>
              </w:rPr>
              <w:t>30</w:t>
            </w:r>
          </w:p>
        </w:tc>
        <w:tc>
          <w:tcPr>
            <w:tcW w:w="737" w:type="dxa"/>
            <w:vAlign w:val="center"/>
          </w:tcPr>
          <w:p w14:paraId="668B39B1">
            <w:pPr>
              <w:pStyle w:val="4"/>
              <w:jc w:val="center"/>
              <w:rPr>
                <w:rFonts w:ascii="仿宋" w:hAnsi="仿宋" w:eastAsia="仿宋" w:cs="仿宋"/>
                <w:color w:val="auto"/>
              </w:rPr>
            </w:pPr>
            <w:r>
              <w:rPr>
                <w:rFonts w:ascii="仿宋" w:hAnsi="仿宋" w:eastAsia="仿宋" w:cs="仿宋"/>
                <w:color w:val="auto"/>
              </w:rPr>
              <w:t>▲</w:t>
            </w:r>
          </w:p>
        </w:tc>
        <w:tc>
          <w:tcPr>
            <w:tcW w:w="7031" w:type="dxa"/>
          </w:tcPr>
          <w:p w14:paraId="1A9B3CEE">
            <w:pPr>
              <w:pStyle w:val="4"/>
              <w:rPr>
                <w:rFonts w:ascii="仿宋" w:hAnsi="仿宋" w:eastAsia="仿宋" w:cs="仿宋"/>
                <w:color w:val="auto"/>
              </w:rPr>
            </w:pPr>
            <w:r>
              <w:rPr>
                <w:rFonts w:ascii="仿宋" w:hAnsi="仿宋" w:eastAsia="仿宋" w:cs="仿宋"/>
                <w:color w:val="auto"/>
                <w:lang w:eastAsia="zh-CN"/>
              </w:rPr>
              <w:t>16.6具备安全评估模型，评估模型基于设备故障、认证登录、攻击威胁、可用性、系统脆弱性等纬度加权平均计算总体安全指数，安全评估模型可以显示总体评分、历史评分趋势，安全评估模型各项指标可钻取具体的评分扣分事件。（需提供工具相关功能截图证明并加盖公章）</w:t>
            </w:r>
          </w:p>
        </w:tc>
      </w:tr>
      <w:tr w14:paraId="29944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33C66F89">
            <w:pPr>
              <w:pStyle w:val="4"/>
              <w:jc w:val="center"/>
              <w:rPr>
                <w:rFonts w:ascii="仿宋" w:hAnsi="仿宋" w:eastAsia="仿宋" w:cs="仿宋"/>
                <w:color w:val="auto"/>
                <w:lang w:eastAsia="zh-CN"/>
              </w:rPr>
            </w:pPr>
            <w:r>
              <w:rPr>
                <w:rFonts w:ascii="仿宋" w:hAnsi="仿宋" w:eastAsia="仿宋" w:cs="仿宋"/>
                <w:color w:val="auto"/>
                <w:lang w:eastAsia="zh-CN"/>
              </w:rPr>
              <w:t>31</w:t>
            </w:r>
          </w:p>
        </w:tc>
        <w:tc>
          <w:tcPr>
            <w:tcW w:w="737" w:type="dxa"/>
            <w:vAlign w:val="center"/>
          </w:tcPr>
          <w:p w14:paraId="54765C74">
            <w:pPr>
              <w:pStyle w:val="4"/>
              <w:jc w:val="center"/>
              <w:rPr>
                <w:rFonts w:ascii="仿宋" w:hAnsi="仿宋" w:eastAsia="仿宋" w:cs="仿宋"/>
                <w:color w:val="auto"/>
              </w:rPr>
            </w:pPr>
          </w:p>
        </w:tc>
        <w:tc>
          <w:tcPr>
            <w:tcW w:w="7031" w:type="dxa"/>
          </w:tcPr>
          <w:p w14:paraId="64E3D624">
            <w:pPr>
              <w:pStyle w:val="4"/>
              <w:rPr>
                <w:rFonts w:ascii="仿宋" w:hAnsi="仿宋" w:eastAsia="仿宋" w:cs="仿宋"/>
                <w:color w:val="auto"/>
                <w:lang w:eastAsia="zh-CN"/>
              </w:rPr>
            </w:pPr>
            <w:r>
              <w:rPr>
                <w:rFonts w:hint="eastAsia" w:ascii="仿宋" w:hAnsi="仿宋" w:eastAsia="仿宋" w:cs="仿宋"/>
                <w:color w:val="auto"/>
                <w:lang w:val="en-US" w:eastAsia="zh-CN"/>
              </w:rPr>
              <w:t>16.7</w:t>
            </w:r>
            <w:r>
              <w:rPr>
                <w:rFonts w:ascii="仿宋" w:hAnsi="仿宋" w:eastAsia="仿宋" w:cs="仿宋"/>
                <w:color w:val="auto"/>
              </w:rPr>
              <w:t>入侵检测：</w:t>
            </w:r>
            <w:r>
              <w:rPr>
                <w:rFonts w:ascii="仿宋" w:hAnsi="仿宋" w:eastAsia="仿宋" w:cs="仿宋"/>
                <w:color w:val="auto"/>
                <w:lang w:eastAsia="zh-CN"/>
              </w:rPr>
              <w:t>支持HTTPS、SMTPS、POP3S、IMAPS协议解析，无需提供私钥证书，通过在服务器部署Agent，以密钥截取及代理流量转发解析TLS1.3协议、DH密钥算法的加密流量；支持一键切换运营模式和专业模式，满足不同场景的研判需求，如日常安全监测预警和重保时期专项监测；场景分析提供攻击者视角分析</w:t>
            </w:r>
            <w:r>
              <w:rPr>
                <w:rFonts w:hint="eastAsia" w:ascii="仿宋" w:hAnsi="仿宋" w:eastAsia="仿宋" w:cs="仿宋"/>
                <w:color w:val="auto"/>
                <w:lang w:eastAsia="zh-CN"/>
              </w:rPr>
              <w:t>、</w:t>
            </w:r>
            <w:r>
              <w:rPr>
                <w:rFonts w:ascii="仿宋" w:hAnsi="仿宋" w:eastAsia="仿宋" w:cs="仿宋"/>
                <w:bCs/>
                <w:color w:val="auto"/>
                <w:lang w:eastAsia="zh-CN"/>
              </w:rPr>
              <w:t>受害者视角分析</w:t>
            </w:r>
            <w:r>
              <w:rPr>
                <w:rFonts w:hint="eastAsia" w:ascii="仿宋" w:hAnsi="仿宋" w:eastAsia="仿宋" w:cs="仿宋"/>
                <w:bCs/>
                <w:color w:val="auto"/>
                <w:lang w:eastAsia="zh-CN"/>
              </w:rPr>
              <w:t>、</w:t>
            </w:r>
            <w:r>
              <w:rPr>
                <w:rFonts w:ascii="仿宋" w:hAnsi="仿宋" w:eastAsia="仿宋" w:cs="仿宋"/>
                <w:bCs/>
                <w:color w:val="auto"/>
                <w:lang w:eastAsia="zh-CN"/>
              </w:rPr>
              <w:t>脆弱性分析</w:t>
            </w:r>
            <w:r>
              <w:rPr>
                <w:rFonts w:hint="eastAsia" w:ascii="仿宋" w:hAnsi="仿宋" w:eastAsia="仿宋" w:cs="仿宋"/>
                <w:bCs/>
                <w:color w:val="auto"/>
                <w:lang w:eastAsia="zh-CN"/>
              </w:rPr>
              <w:t>、</w:t>
            </w:r>
            <w:r>
              <w:rPr>
                <w:rFonts w:ascii="仿宋" w:hAnsi="仿宋" w:eastAsia="仿宋" w:cs="仿宋"/>
                <w:bCs/>
                <w:color w:val="auto"/>
                <w:lang w:eastAsia="zh-CN"/>
              </w:rPr>
              <w:t>挖矿场景分析</w:t>
            </w:r>
            <w:r>
              <w:rPr>
                <w:rFonts w:hint="eastAsia" w:ascii="仿宋" w:hAnsi="仿宋" w:eastAsia="仿宋" w:cs="仿宋"/>
                <w:bCs/>
                <w:color w:val="auto"/>
                <w:lang w:eastAsia="zh-CN"/>
              </w:rPr>
              <w:t>、</w:t>
            </w:r>
            <w:r>
              <w:rPr>
                <w:rFonts w:ascii="仿宋" w:hAnsi="仿宋" w:eastAsia="仿宋" w:cs="仿宋"/>
                <w:bCs/>
                <w:color w:val="auto"/>
                <w:lang w:eastAsia="zh-CN"/>
              </w:rPr>
              <w:t>勒索场景分析</w:t>
            </w:r>
            <w:r>
              <w:rPr>
                <w:rFonts w:hint="eastAsia" w:ascii="仿宋" w:hAnsi="仿宋" w:eastAsia="仿宋" w:cs="仿宋"/>
                <w:bCs/>
                <w:color w:val="auto"/>
                <w:lang w:eastAsia="zh-CN"/>
              </w:rPr>
              <w:t>、</w:t>
            </w:r>
            <w:r>
              <w:rPr>
                <w:rFonts w:ascii="仿宋" w:hAnsi="仿宋" w:eastAsia="仿宋" w:cs="仿宋"/>
                <w:bCs/>
                <w:color w:val="auto"/>
                <w:lang w:eastAsia="zh-CN"/>
              </w:rPr>
              <w:t>主机威胁分析</w:t>
            </w:r>
            <w:r>
              <w:rPr>
                <w:rFonts w:hint="eastAsia" w:ascii="仿宋" w:hAnsi="仿宋" w:eastAsia="仿宋" w:cs="仿宋"/>
                <w:bCs/>
                <w:color w:val="auto"/>
                <w:lang w:eastAsia="zh-CN"/>
              </w:rPr>
              <w:t>、</w:t>
            </w:r>
            <w:r>
              <w:rPr>
                <w:rFonts w:ascii="仿宋" w:hAnsi="仿宋" w:eastAsia="仿宋" w:cs="仿宋"/>
                <w:bCs/>
                <w:color w:val="auto"/>
                <w:lang w:eastAsia="zh-CN"/>
              </w:rPr>
              <w:t>失陷主机分析</w:t>
            </w:r>
            <w:r>
              <w:rPr>
                <w:rFonts w:hint="eastAsia" w:ascii="仿宋" w:hAnsi="仿宋" w:eastAsia="仿宋" w:cs="仿宋"/>
                <w:bCs/>
                <w:color w:val="auto"/>
                <w:lang w:eastAsia="zh-CN"/>
              </w:rPr>
              <w:t>、</w:t>
            </w:r>
            <w:r>
              <w:rPr>
                <w:rFonts w:ascii="仿宋" w:hAnsi="仿宋" w:eastAsia="仿宋" w:cs="仿宋"/>
                <w:bCs/>
                <w:color w:val="auto"/>
                <w:lang w:eastAsia="zh-CN"/>
              </w:rPr>
              <w:t>情报事件分析</w:t>
            </w:r>
            <w:r>
              <w:rPr>
                <w:rFonts w:hint="eastAsia" w:ascii="仿宋" w:hAnsi="仿宋" w:eastAsia="仿宋" w:cs="仿宋"/>
                <w:bCs/>
                <w:color w:val="auto"/>
                <w:lang w:eastAsia="zh-CN"/>
              </w:rPr>
              <w:t>、</w:t>
            </w:r>
            <w:r>
              <w:rPr>
                <w:rFonts w:ascii="仿宋" w:hAnsi="仿宋" w:eastAsia="仿宋" w:cs="仿宋"/>
                <w:bCs/>
                <w:color w:val="auto"/>
                <w:lang w:eastAsia="zh-CN"/>
              </w:rPr>
              <w:t>域名行为分析</w:t>
            </w:r>
            <w:r>
              <w:rPr>
                <w:rFonts w:hint="eastAsia" w:ascii="仿宋" w:hAnsi="仿宋" w:eastAsia="仿宋" w:cs="仿宋"/>
                <w:bCs/>
                <w:color w:val="auto"/>
                <w:lang w:eastAsia="zh-CN"/>
              </w:rPr>
              <w:t>、</w:t>
            </w:r>
            <w:r>
              <w:rPr>
                <w:rFonts w:ascii="仿宋" w:hAnsi="仿宋" w:eastAsia="仿宋" w:cs="仿宋"/>
                <w:bCs/>
                <w:color w:val="auto"/>
                <w:lang w:eastAsia="zh-CN"/>
              </w:rPr>
              <w:t>钓鱼邮件分析</w:t>
            </w:r>
            <w:r>
              <w:rPr>
                <w:rFonts w:hint="eastAsia" w:ascii="仿宋" w:hAnsi="仿宋" w:eastAsia="仿宋" w:cs="仿宋"/>
                <w:bCs/>
                <w:color w:val="auto"/>
                <w:lang w:eastAsia="zh-CN"/>
              </w:rPr>
              <w:t>、</w:t>
            </w:r>
            <w:r>
              <w:rPr>
                <w:rFonts w:ascii="仿宋" w:hAnsi="仿宋" w:eastAsia="仿宋" w:cs="仿宋"/>
                <w:bCs/>
                <w:color w:val="auto"/>
                <w:lang w:eastAsia="zh-CN"/>
              </w:rPr>
              <w:t>加密流量专项分析</w:t>
            </w:r>
            <w:r>
              <w:rPr>
                <w:rFonts w:hint="eastAsia" w:ascii="仿宋" w:hAnsi="仿宋" w:eastAsia="仿宋" w:cs="仿宋"/>
                <w:bCs/>
                <w:color w:val="auto"/>
                <w:lang w:eastAsia="zh-CN"/>
              </w:rPr>
              <w:t>、</w:t>
            </w:r>
            <w:r>
              <w:rPr>
                <w:rFonts w:ascii="仿宋" w:hAnsi="仿宋" w:eastAsia="仿宋" w:cs="仿宋"/>
                <w:bCs/>
                <w:color w:val="auto"/>
                <w:lang w:eastAsia="zh-CN"/>
              </w:rPr>
              <w:t>加密隧道分析</w:t>
            </w:r>
            <w:r>
              <w:rPr>
                <w:rFonts w:hint="eastAsia" w:ascii="仿宋" w:hAnsi="仿宋" w:eastAsia="仿宋" w:cs="仿宋"/>
                <w:bCs/>
                <w:color w:val="auto"/>
                <w:lang w:eastAsia="zh-CN"/>
              </w:rPr>
              <w:t>、</w:t>
            </w:r>
            <w:r>
              <w:rPr>
                <w:rFonts w:ascii="仿宋" w:hAnsi="仿宋" w:eastAsia="仿宋" w:cs="仿宋"/>
                <w:bCs/>
                <w:color w:val="auto"/>
                <w:lang w:eastAsia="zh-CN"/>
              </w:rPr>
              <w:t>文件威胁分析</w:t>
            </w:r>
            <w:r>
              <w:rPr>
                <w:rFonts w:hint="eastAsia" w:ascii="仿宋" w:hAnsi="仿宋" w:eastAsia="仿宋" w:cs="仿宋"/>
                <w:bCs/>
                <w:color w:val="auto"/>
                <w:lang w:eastAsia="zh-CN"/>
              </w:rPr>
              <w:t>、</w:t>
            </w:r>
            <w:r>
              <w:rPr>
                <w:rFonts w:ascii="仿宋" w:hAnsi="仿宋" w:eastAsia="仿宋" w:cs="仿宋"/>
                <w:bCs/>
                <w:color w:val="auto"/>
                <w:lang w:eastAsia="zh-CN"/>
              </w:rPr>
              <w:t>沙箱报告分析</w:t>
            </w:r>
            <w:r>
              <w:rPr>
                <w:rFonts w:hint="eastAsia" w:ascii="仿宋" w:hAnsi="仿宋" w:eastAsia="仿宋" w:cs="仿宋"/>
                <w:bCs/>
                <w:color w:val="auto"/>
                <w:lang w:eastAsia="zh-CN"/>
              </w:rPr>
              <w:t>、</w:t>
            </w:r>
            <w:r>
              <w:rPr>
                <w:rFonts w:ascii="仿宋" w:hAnsi="仿宋" w:eastAsia="仿宋" w:cs="仿宋"/>
                <w:bCs/>
                <w:color w:val="auto"/>
                <w:lang w:eastAsia="zh-CN"/>
              </w:rPr>
              <w:t>敏感信息分析和情报在线分析等；对产生的告警事件提供7*24小时在线分析研判服务。</w:t>
            </w:r>
          </w:p>
        </w:tc>
      </w:tr>
      <w:tr w14:paraId="5136B6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4DCEE0B5">
            <w:pPr>
              <w:pStyle w:val="4"/>
              <w:jc w:val="center"/>
              <w:rPr>
                <w:rFonts w:ascii="仿宋" w:hAnsi="仿宋" w:eastAsia="仿宋" w:cs="仿宋"/>
                <w:color w:val="auto"/>
                <w:lang w:eastAsia="zh-CN"/>
              </w:rPr>
            </w:pPr>
            <w:r>
              <w:rPr>
                <w:rFonts w:ascii="仿宋" w:hAnsi="仿宋" w:eastAsia="仿宋" w:cs="仿宋"/>
                <w:color w:val="auto"/>
                <w:lang w:eastAsia="zh-CN"/>
              </w:rPr>
              <w:t>32</w:t>
            </w:r>
          </w:p>
        </w:tc>
        <w:tc>
          <w:tcPr>
            <w:tcW w:w="737" w:type="dxa"/>
            <w:vAlign w:val="center"/>
          </w:tcPr>
          <w:p w14:paraId="0F46FBAE">
            <w:pPr>
              <w:pStyle w:val="4"/>
              <w:jc w:val="center"/>
              <w:rPr>
                <w:rFonts w:ascii="仿宋" w:hAnsi="仿宋" w:eastAsia="仿宋" w:cs="仿宋"/>
                <w:color w:val="auto"/>
              </w:rPr>
            </w:pPr>
            <w:r>
              <w:rPr>
                <w:rFonts w:ascii="仿宋" w:hAnsi="仿宋" w:eastAsia="仿宋" w:cs="仿宋"/>
                <w:color w:val="auto"/>
              </w:rPr>
              <w:t>▲</w:t>
            </w:r>
          </w:p>
        </w:tc>
        <w:tc>
          <w:tcPr>
            <w:tcW w:w="7031" w:type="dxa"/>
          </w:tcPr>
          <w:p w14:paraId="599149CB">
            <w:pPr>
              <w:pStyle w:val="4"/>
              <w:rPr>
                <w:rFonts w:ascii="仿宋" w:hAnsi="仿宋" w:eastAsia="仿宋" w:cs="仿宋"/>
                <w:color w:val="auto"/>
                <w:lang w:eastAsia="zh-CN"/>
              </w:rPr>
            </w:pPr>
            <w:r>
              <w:rPr>
                <w:rFonts w:hint="eastAsia" w:ascii="仿宋" w:hAnsi="仿宋" w:eastAsia="仿宋" w:cs="仿宋"/>
                <w:color w:val="auto"/>
                <w:lang w:val="en-US" w:eastAsia="zh-CN"/>
              </w:rPr>
              <w:t>16.8</w:t>
            </w:r>
            <w:r>
              <w:rPr>
                <w:rFonts w:ascii="仿宋" w:hAnsi="仿宋" w:eastAsia="仿宋" w:cs="仿宋"/>
                <w:color w:val="auto"/>
                <w:lang w:eastAsia="zh-CN"/>
              </w:rPr>
              <w:t>租赁设备具有AI引擎挖掘真实事件能力，具备99%高精度事件聚合能力，有助于提高考试院威胁事件处置效率。（需提供工具相关功能截图证明并加盖公章）</w:t>
            </w:r>
          </w:p>
        </w:tc>
      </w:tr>
      <w:tr w14:paraId="1250B6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44E7D856">
            <w:pPr>
              <w:pStyle w:val="4"/>
              <w:jc w:val="center"/>
              <w:rPr>
                <w:rFonts w:ascii="仿宋" w:hAnsi="仿宋" w:eastAsia="仿宋" w:cs="仿宋"/>
                <w:color w:val="auto"/>
                <w:lang w:eastAsia="zh-CN"/>
              </w:rPr>
            </w:pPr>
            <w:r>
              <w:rPr>
                <w:rFonts w:ascii="仿宋" w:hAnsi="仿宋" w:eastAsia="仿宋" w:cs="仿宋"/>
                <w:color w:val="auto"/>
                <w:lang w:eastAsia="zh-CN"/>
              </w:rPr>
              <w:t>33</w:t>
            </w:r>
          </w:p>
        </w:tc>
        <w:tc>
          <w:tcPr>
            <w:tcW w:w="737" w:type="dxa"/>
            <w:vAlign w:val="center"/>
          </w:tcPr>
          <w:p w14:paraId="579D9A3A">
            <w:pPr>
              <w:pStyle w:val="4"/>
              <w:jc w:val="center"/>
              <w:rPr>
                <w:rFonts w:ascii="仿宋" w:hAnsi="仿宋" w:eastAsia="仿宋" w:cs="仿宋"/>
                <w:color w:val="auto"/>
              </w:rPr>
            </w:pPr>
          </w:p>
        </w:tc>
        <w:tc>
          <w:tcPr>
            <w:tcW w:w="7031" w:type="dxa"/>
          </w:tcPr>
          <w:p w14:paraId="38C8E6B4">
            <w:pPr>
              <w:pStyle w:val="4"/>
              <w:rPr>
                <w:rFonts w:ascii="仿宋" w:hAnsi="仿宋" w:eastAsia="仿宋" w:cs="仿宋"/>
                <w:color w:val="auto"/>
              </w:rPr>
            </w:pPr>
            <w:r>
              <w:rPr>
                <w:rFonts w:ascii="仿宋" w:hAnsi="仿宋" w:eastAsia="仿宋" w:cs="仿宋"/>
                <w:color w:val="auto"/>
              </w:rPr>
              <w:t>17</w:t>
            </w:r>
            <w:r>
              <w:rPr>
                <w:rFonts w:ascii="仿宋" w:hAnsi="仿宋" w:eastAsia="仿宋" w:cs="仿宋"/>
                <w:color w:val="auto"/>
                <w:lang w:eastAsia="zh-CN"/>
              </w:rPr>
              <w:t>.</w:t>
            </w:r>
            <w:r>
              <w:rPr>
                <w:rFonts w:ascii="仿宋" w:hAnsi="仿宋" w:eastAsia="仿宋" w:cs="仿宋"/>
                <w:color w:val="auto"/>
              </w:rPr>
              <w:t>“三高一弱”专项检查服务</w:t>
            </w:r>
          </w:p>
          <w:p w14:paraId="60F5EE0A">
            <w:pPr>
              <w:pStyle w:val="4"/>
              <w:rPr>
                <w:rFonts w:hint="default" w:ascii="仿宋" w:hAnsi="仿宋" w:eastAsia="仿宋" w:cs="仿宋"/>
                <w:color w:val="auto"/>
                <w:lang w:eastAsia="zh-CN"/>
              </w:rPr>
            </w:pPr>
            <w:r>
              <w:rPr>
                <w:rFonts w:ascii="仿宋" w:hAnsi="仿宋" w:eastAsia="仿宋" w:cs="仿宋"/>
                <w:color w:val="auto"/>
                <w:lang w:eastAsia="zh-CN"/>
              </w:rPr>
              <w:t>17.1</w:t>
            </w:r>
            <w:r>
              <w:rPr>
                <w:rFonts w:ascii="仿宋" w:hAnsi="仿宋" w:eastAsia="仿宋" w:cs="仿宋"/>
                <w:color w:val="auto"/>
              </w:rPr>
              <w:t>针对“三高一弱”规则和问题清单，开展常态化高危漏洞、高危端口、高危行为、弱口令风险隐患排查整治，内容包括</w:t>
            </w:r>
            <w:r>
              <w:rPr>
                <w:rFonts w:hint="eastAsia" w:ascii="仿宋" w:hAnsi="仿宋" w:eastAsia="仿宋" w:cs="仿宋"/>
                <w:color w:val="auto"/>
                <w:lang w:eastAsia="zh-CN"/>
              </w:rPr>
              <w:t>但不</w:t>
            </w:r>
            <w:r>
              <w:rPr>
                <w:rFonts w:ascii="仿宋" w:hAnsi="仿宋" w:eastAsia="仿宋" w:cs="仿宋"/>
                <w:color w:val="auto"/>
              </w:rPr>
              <w:t>限于：主机、web应用、中间件、应用组件、数据库、操作系统、网络及安全设备等各信息系统，并提供加固意见和修复建议，服务期内提供每季度不少于1次“三高一弱”检查服务。</w:t>
            </w:r>
          </w:p>
          <w:p w14:paraId="6712594C">
            <w:pPr>
              <w:pStyle w:val="4"/>
              <w:rPr>
                <w:rFonts w:ascii="仿宋" w:hAnsi="仿宋" w:eastAsia="仿宋" w:cs="仿宋"/>
                <w:color w:val="auto"/>
              </w:rPr>
            </w:pPr>
            <w:r>
              <w:rPr>
                <w:rFonts w:ascii="仿宋" w:hAnsi="仿宋" w:eastAsia="仿宋" w:cs="仿宋"/>
                <w:color w:val="auto"/>
                <w:lang w:eastAsia="zh-CN"/>
              </w:rPr>
              <w:t>17.2</w:t>
            </w:r>
            <w:r>
              <w:rPr>
                <w:rFonts w:ascii="仿宋" w:hAnsi="仿宋" w:eastAsia="仿宋" w:cs="仿宋"/>
                <w:color w:val="auto"/>
              </w:rPr>
              <w:t>高危端口检查：对考试院网络内部开放端口情况进行检查，研判分析端口及承载的服务是否存在高危风险，识别脆弱性与威胁较高的接口及设备，并提供加固意见和修复建议，防范此类设备被恶意控制成为攻击载体引发安全风险事件。</w:t>
            </w:r>
          </w:p>
          <w:p w14:paraId="5851D945">
            <w:pPr>
              <w:pStyle w:val="4"/>
              <w:rPr>
                <w:rFonts w:ascii="仿宋" w:hAnsi="仿宋" w:eastAsia="仿宋" w:cs="仿宋"/>
                <w:color w:val="auto"/>
              </w:rPr>
            </w:pPr>
            <w:r>
              <w:rPr>
                <w:rFonts w:ascii="仿宋" w:hAnsi="仿宋" w:eastAsia="仿宋" w:cs="仿宋"/>
                <w:color w:val="auto"/>
                <w:lang w:eastAsia="zh-CN"/>
              </w:rPr>
              <w:t>17.3</w:t>
            </w:r>
            <w:r>
              <w:rPr>
                <w:rFonts w:ascii="仿宋" w:hAnsi="仿宋" w:eastAsia="仿宋" w:cs="仿宋"/>
                <w:color w:val="auto"/>
              </w:rPr>
              <w:t>高危行为检查：对考试院可能存在的违规接入与外联行为、高危攻击行为、高危（可疑）样本等进行检测，通过技术手段有效识别非授权设备接入、高危攻击风险行为等，并提供加固意见和修复建议，防范网络资源违规使用、遭受攻击或破坏、数据泄露及非法入侵等风险。</w:t>
            </w:r>
          </w:p>
          <w:p w14:paraId="126F4FE0">
            <w:pPr>
              <w:pStyle w:val="4"/>
              <w:rPr>
                <w:rFonts w:ascii="仿宋" w:hAnsi="仿宋" w:eastAsia="仿宋" w:cs="仿宋"/>
                <w:color w:val="auto"/>
              </w:rPr>
            </w:pPr>
            <w:r>
              <w:rPr>
                <w:rFonts w:ascii="仿宋" w:hAnsi="仿宋" w:eastAsia="仿宋" w:cs="仿宋"/>
                <w:color w:val="auto"/>
                <w:lang w:eastAsia="zh-CN"/>
              </w:rPr>
              <w:t>17.4</w:t>
            </w:r>
            <w:r>
              <w:rPr>
                <w:rFonts w:ascii="仿宋" w:hAnsi="仿宋" w:eastAsia="仿宋" w:cs="仿宋"/>
                <w:color w:val="auto"/>
              </w:rPr>
              <w:t>高危漏洞检查：对考试院业务系统、操作系统、数据库、中间件等支撑组件进行漏洞扫描和验证，识别当前存在的各种漏洞，对高危漏洞提供加固意见和修复建议，提升业务及支撑系统的安全性。</w:t>
            </w:r>
          </w:p>
          <w:p w14:paraId="217F5AC3">
            <w:pPr>
              <w:pStyle w:val="4"/>
              <w:rPr>
                <w:rFonts w:ascii="仿宋" w:hAnsi="仿宋" w:eastAsia="仿宋" w:cs="仿宋"/>
                <w:color w:val="auto"/>
              </w:rPr>
            </w:pPr>
            <w:r>
              <w:rPr>
                <w:rFonts w:ascii="仿宋" w:hAnsi="仿宋" w:eastAsia="仿宋" w:cs="仿宋"/>
                <w:color w:val="auto"/>
                <w:lang w:eastAsia="zh-CN"/>
              </w:rPr>
              <w:t>17.5</w:t>
            </w:r>
            <w:r>
              <w:rPr>
                <w:rFonts w:ascii="仿宋" w:hAnsi="仿宋" w:eastAsia="仿宋" w:cs="仿宋"/>
                <w:color w:val="auto"/>
              </w:rPr>
              <w:t>弱口令检查：检查考试院在应用用户登录、访问鉴权、系统后台、数据库、服务接口等</w:t>
            </w:r>
            <w:r>
              <w:rPr>
                <w:rFonts w:hint="eastAsia" w:ascii="仿宋" w:hAnsi="仿宋" w:eastAsia="仿宋" w:cs="仿宋"/>
                <w:color w:val="auto"/>
                <w:lang w:eastAsia="zh-CN"/>
              </w:rPr>
              <w:t>方面</w:t>
            </w:r>
            <w:r>
              <w:rPr>
                <w:rFonts w:ascii="仿宋" w:hAnsi="仿宋" w:eastAsia="仿宋" w:cs="仿宋"/>
                <w:color w:val="auto"/>
              </w:rPr>
              <w:t>存在的弱口令，大幅降低弱口令造成的安全风险。</w:t>
            </w:r>
          </w:p>
          <w:p w14:paraId="2BBB7F5E">
            <w:pPr>
              <w:pStyle w:val="4"/>
              <w:rPr>
                <w:rFonts w:ascii="仿宋" w:hAnsi="仿宋" w:eastAsia="仿宋" w:cs="仿宋"/>
                <w:color w:val="auto"/>
                <w:lang w:eastAsia="zh-CN"/>
              </w:rPr>
            </w:pPr>
            <w:r>
              <w:rPr>
                <w:rFonts w:ascii="仿宋" w:hAnsi="仿宋" w:eastAsia="仿宋" w:cs="仿宋"/>
                <w:color w:val="auto"/>
                <w:lang w:eastAsia="zh-CN"/>
              </w:rPr>
              <w:t>17.6</w:t>
            </w:r>
            <w:r>
              <w:rPr>
                <w:rFonts w:ascii="仿宋" w:hAnsi="仿宋" w:eastAsia="仿宋" w:cs="仿宋"/>
                <w:color w:val="auto"/>
              </w:rPr>
              <w:t>服务实施完成后输出《“三高一弱”风险隐患排查报告》。</w:t>
            </w:r>
          </w:p>
        </w:tc>
      </w:tr>
      <w:tr w14:paraId="4D1073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510F7BD7">
            <w:pPr>
              <w:pStyle w:val="4"/>
              <w:jc w:val="center"/>
              <w:rPr>
                <w:rFonts w:ascii="仿宋" w:hAnsi="仿宋" w:eastAsia="仿宋" w:cs="仿宋"/>
                <w:color w:val="auto"/>
              </w:rPr>
            </w:pPr>
            <w:r>
              <w:rPr>
                <w:rFonts w:ascii="仿宋" w:hAnsi="仿宋" w:eastAsia="仿宋" w:cs="仿宋"/>
                <w:color w:val="auto"/>
                <w:lang w:eastAsia="zh-CN"/>
              </w:rPr>
              <w:t>34</w:t>
            </w:r>
          </w:p>
        </w:tc>
        <w:tc>
          <w:tcPr>
            <w:tcW w:w="737" w:type="dxa"/>
            <w:vAlign w:val="center"/>
          </w:tcPr>
          <w:p w14:paraId="787C6C58">
            <w:pPr>
              <w:pStyle w:val="4"/>
              <w:jc w:val="center"/>
              <w:rPr>
                <w:rFonts w:ascii="仿宋" w:hAnsi="仿宋" w:eastAsia="仿宋" w:cs="仿宋"/>
                <w:color w:val="auto"/>
              </w:rPr>
            </w:pPr>
          </w:p>
        </w:tc>
        <w:tc>
          <w:tcPr>
            <w:tcW w:w="7031" w:type="dxa"/>
          </w:tcPr>
          <w:p w14:paraId="7032465D">
            <w:pPr>
              <w:pStyle w:val="4"/>
              <w:rPr>
                <w:rFonts w:ascii="仿宋" w:hAnsi="仿宋" w:eastAsia="仿宋" w:cs="仿宋"/>
                <w:color w:val="auto"/>
                <w:lang w:eastAsia="zh-CN"/>
              </w:rPr>
            </w:pPr>
            <w:r>
              <w:rPr>
                <w:rFonts w:ascii="仿宋" w:hAnsi="仿宋" w:eastAsia="仿宋" w:cs="仿宋"/>
                <w:color w:val="auto"/>
                <w:lang w:eastAsia="zh-CN"/>
              </w:rPr>
              <w:t>18.API与应用梳理服务</w:t>
            </w:r>
          </w:p>
          <w:p w14:paraId="275EFB1A">
            <w:pPr>
              <w:pStyle w:val="4"/>
              <w:rPr>
                <w:rFonts w:hint="default" w:ascii="仿宋" w:hAnsi="仿宋" w:eastAsia="仿宋" w:cs="仿宋"/>
                <w:color w:val="auto"/>
                <w:lang w:eastAsia="zh-CN"/>
              </w:rPr>
            </w:pPr>
            <w:r>
              <w:rPr>
                <w:rFonts w:ascii="仿宋" w:hAnsi="仿宋" w:eastAsia="仿宋" w:cs="仿宋"/>
                <w:color w:val="auto"/>
                <w:lang w:eastAsia="zh-CN"/>
              </w:rPr>
              <w:t>18.1提供服务工具，识别梳理考试院API以及业务系统，检测API接口存在的脆弱性，对各种违规使用数据行为进行监控告警，防止发生敏感数据因API自身脆弱性造成的数据泄漏事件发生</w:t>
            </w:r>
            <w:r>
              <w:rPr>
                <w:rFonts w:ascii="仿宋" w:hAnsi="仿宋" w:eastAsia="仿宋" w:cs="仿宋"/>
                <w:color w:val="auto"/>
              </w:rPr>
              <w:t>，服务期内提供不少于</w:t>
            </w:r>
            <w:r>
              <w:rPr>
                <w:rFonts w:ascii="仿宋" w:hAnsi="仿宋" w:eastAsia="仿宋" w:cs="仿宋"/>
                <w:color w:val="auto"/>
                <w:lang w:eastAsia="zh-CN"/>
              </w:rPr>
              <w:t>2</w:t>
            </w:r>
            <w:r>
              <w:rPr>
                <w:rFonts w:ascii="仿宋" w:hAnsi="仿宋" w:eastAsia="仿宋" w:cs="仿宋"/>
                <w:color w:val="auto"/>
              </w:rPr>
              <w:t>次</w:t>
            </w:r>
            <w:r>
              <w:rPr>
                <w:rFonts w:ascii="仿宋" w:hAnsi="仿宋" w:eastAsia="仿宋" w:cs="仿宋"/>
                <w:color w:val="auto"/>
                <w:lang w:eastAsia="zh-CN"/>
              </w:rPr>
              <w:t>API与应用梳理服务，每次服务周期不</w:t>
            </w:r>
            <w:r>
              <w:rPr>
                <w:rFonts w:hint="eastAsia" w:ascii="仿宋" w:hAnsi="仿宋" w:eastAsia="仿宋" w:cs="仿宋"/>
                <w:color w:val="auto"/>
                <w:lang w:eastAsia="zh-CN"/>
              </w:rPr>
              <w:t>低于</w:t>
            </w:r>
            <w:r>
              <w:rPr>
                <w:rFonts w:ascii="仿宋" w:hAnsi="仿宋" w:eastAsia="仿宋" w:cs="仿宋"/>
                <w:color w:val="auto"/>
                <w:lang w:eastAsia="zh-CN"/>
              </w:rPr>
              <w:t>一个月</w:t>
            </w:r>
            <w:r>
              <w:rPr>
                <w:rFonts w:ascii="仿宋" w:hAnsi="仿宋" w:eastAsia="仿宋" w:cs="仿宋"/>
                <w:color w:val="auto"/>
              </w:rPr>
              <w:t>。</w:t>
            </w:r>
          </w:p>
          <w:p w14:paraId="6B88C5AF">
            <w:pPr>
              <w:pStyle w:val="4"/>
              <w:rPr>
                <w:rFonts w:hint="default" w:ascii="仿宋" w:hAnsi="仿宋" w:eastAsia="仿宋" w:cs="仿宋"/>
                <w:color w:val="auto"/>
                <w:lang w:eastAsia="zh-CN"/>
              </w:rPr>
            </w:pPr>
            <w:r>
              <w:rPr>
                <w:rFonts w:ascii="仿宋" w:hAnsi="仿宋" w:eastAsia="仿宋" w:cs="仿宋"/>
                <w:color w:val="auto"/>
                <w:lang w:eastAsia="zh-CN"/>
              </w:rPr>
              <w:t>18.2通过流量解析技术还原API操作日志，识别、提取API日志中的敏感数据和操作账号，关联账号身份和组织架构信息，追踪敏感数据的来源和去向，以及与敏感数据相关的用户和组织，识别潜在的安全威胁。</w:t>
            </w:r>
          </w:p>
          <w:p w14:paraId="7EB8A73D">
            <w:pPr>
              <w:pStyle w:val="4"/>
              <w:rPr>
                <w:rFonts w:hint="default" w:ascii="仿宋" w:hAnsi="仿宋" w:eastAsia="仿宋" w:cs="仿宋"/>
                <w:color w:val="auto"/>
                <w:lang w:eastAsia="zh-CN"/>
              </w:rPr>
            </w:pPr>
            <w:r>
              <w:rPr>
                <w:rFonts w:ascii="仿宋" w:hAnsi="仿宋" w:eastAsia="仿宋" w:cs="仿宋"/>
                <w:color w:val="auto"/>
                <w:lang w:eastAsia="zh-CN"/>
              </w:rPr>
              <w:t>18.3基于已经还原的API日志进行分析和梳理，全面掌握API暴露面，实时监控API上线、活跃、失活等活动，助力考试院进行API资产管理和规划，及时发现API资产的利用率低下、已弃用API未及时下线、暴露面过大等风险问题，进一步优化API资产的管理和利用。</w:t>
            </w:r>
          </w:p>
          <w:p w14:paraId="5739B088">
            <w:pPr>
              <w:pStyle w:val="4"/>
              <w:rPr>
                <w:rFonts w:hint="default" w:ascii="仿宋" w:hAnsi="仿宋" w:eastAsia="仿宋" w:cs="仿宋"/>
                <w:color w:val="auto"/>
                <w:lang w:eastAsia="zh-CN"/>
              </w:rPr>
            </w:pPr>
            <w:r>
              <w:rPr>
                <w:rFonts w:ascii="仿宋" w:hAnsi="仿宋" w:eastAsia="仿宋" w:cs="仿宋"/>
                <w:color w:val="auto"/>
                <w:lang w:eastAsia="zh-CN"/>
              </w:rPr>
              <w:t>18.4提供API安全风险统计分析服务，持续、实时、全面地评估业务系统API是否存在脆弱性风险，覆盖OWASP API Security TOP 10问题，包括但不限于鉴权认证类风险、数据暴露风险、数据脱敏风险等，脆弱性风险策略包括：接口未鉴权、接口伪脱敏、敏感接口参数可遍历、源代码泄露等。 产品内置丰富的风险详情，包含：风险基本信息、历史记录、API影响面评估、可被利用方式、修复建议等。</w:t>
            </w:r>
          </w:p>
          <w:p w14:paraId="7EE25E1E">
            <w:pPr>
              <w:pStyle w:val="4"/>
              <w:rPr>
                <w:rFonts w:hint="default" w:ascii="仿宋" w:hAnsi="仿宋" w:eastAsia="仿宋" w:cs="仿宋"/>
                <w:color w:val="auto"/>
                <w:lang w:eastAsia="zh-CN"/>
              </w:rPr>
            </w:pPr>
            <w:r>
              <w:rPr>
                <w:rFonts w:ascii="仿宋" w:hAnsi="仿宋" w:eastAsia="仿宋" w:cs="仿宋"/>
                <w:color w:val="auto"/>
                <w:lang w:eastAsia="zh-CN"/>
              </w:rPr>
              <w:t>18.5提供以IP、账号、IP+API、账号+API、数据等维度进行行为监测，实时预警短时间内大量获取敏感数据、访问频次异常、异常时间获取敏感数据、数据违规出境、违规跨域访问等异常调用API行为。针对高敏感API进行重点监测，自动绘制API风险链路关系，研判可疑的数据泄露路径。</w:t>
            </w:r>
          </w:p>
          <w:p w14:paraId="38272E32">
            <w:pPr>
              <w:pStyle w:val="4"/>
              <w:rPr>
                <w:rFonts w:ascii="仿宋" w:hAnsi="仿宋" w:eastAsia="仿宋" w:cs="仿宋"/>
                <w:color w:val="auto"/>
                <w:lang w:eastAsia="zh-CN"/>
              </w:rPr>
            </w:pPr>
            <w:r>
              <w:rPr>
                <w:rFonts w:ascii="仿宋" w:hAnsi="仿宋" w:eastAsia="仿宋" w:cs="仿宋"/>
                <w:color w:val="auto"/>
                <w:lang w:eastAsia="zh-CN"/>
              </w:rPr>
              <w:t>18.6单次服务完成后，3个工作日内输出《应用综合分析报表》《API数据安全运营报表》《API资产综合分析报表》《API数据资产治理专项报表》以及特定场景下的安全评估报表等。</w:t>
            </w:r>
          </w:p>
        </w:tc>
      </w:tr>
      <w:tr w14:paraId="49FB97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1ACF586B">
            <w:pPr>
              <w:pStyle w:val="4"/>
              <w:jc w:val="center"/>
              <w:rPr>
                <w:rFonts w:ascii="仿宋" w:hAnsi="仿宋" w:eastAsia="仿宋" w:cs="仿宋"/>
                <w:color w:val="auto"/>
              </w:rPr>
            </w:pPr>
            <w:r>
              <w:rPr>
                <w:rFonts w:ascii="仿宋" w:hAnsi="仿宋" w:eastAsia="仿宋" w:cs="仿宋"/>
                <w:color w:val="auto"/>
                <w:lang w:eastAsia="zh-CN"/>
              </w:rPr>
              <w:t>35</w:t>
            </w:r>
          </w:p>
        </w:tc>
        <w:tc>
          <w:tcPr>
            <w:tcW w:w="737" w:type="dxa"/>
            <w:vAlign w:val="center"/>
          </w:tcPr>
          <w:p w14:paraId="6C752CD6">
            <w:pPr>
              <w:pStyle w:val="4"/>
              <w:jc w:val="center"/>
              <w:rPr>
                <w:rFonts w:ascii="仿宋" w:hAnsi="仿宋" w:eastAsia="仿宋" w:cs="仿宋"/>
                <w:color w:val="auto"/>
              </w:rPr>
            </w:pPr>
            <w:r>
              <w:rPr>
                <w:rFonts w:ascii="仿宋" w:hAnsi="仿宋" w:eastAsia="仿宋" w:cs="仿宋"/>
                <w:color w:val="auto"/>
              </w:rPr>
              <w:t>▲</w:t>
            </w:r>
          </w:p>
        </w:tc>
        <w:tc>
          <w:tcPr>
            <w:tcW w:w="7031" w:type="dxa"/>
          </w:tcPr>
          <w:p w14:paraId="0AEE82F3">
            <w:pPr>
              <w:pStyle w:val="4"/>
              <w:rPr>
                <w:rFonts w:ascii="仿宋" w:hAnsi="仿宋" w:eastAsia="仿宋" w:cs="仿宋"/>
                <w:color w:val="auto"/>
                <w:lang w:eastAsia="zh-CN"/>
              </w:rPr>
            </w:pPr>
            <w:r>
              <w:rPr>
                <w:rFonts w:ascii="仿宋" w:hAnsi="仿宋" w:eastAsia="仿宋" w:cs="仿宋"/>
                <w:color w:val="auto"/>
                <w:lang w:eastAsia="zh-CN"/>
              </w:rPr>
              <w:t>18.7对于数据维度的风险，提供丰富的审计详情信息和分析维度，可根据风险日志自动绘制API风险链路关系；当监测到流量中有风险行为时自动预警，历史风险日志自动合并，提高运营效率，同一主体触发相同的风险会自动累计风险触发次数和数据量。（需提供工具相关功能截图证明并加盖公章）</w:t>
            </w:r>
          </w:p>
        </w:tc>
      </w:tr>
      <w:tr w14:paraId="4F2E51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1CA14828">
            <w:pPr>
              <w:pStyle w:val="4"/>
              <w:jc w:val="center"/>
              <w:rPr>
                <w:rFonts w:ascii="仿宋" w:hAnsi="仿宋" w:eastAsia="仿宋" w:cs="仿宋"/>
                <w:color w:val="auto"/>
              </w:rPr>
            </w:pPr>
            <w:r>
              <w:rPr>
                <w:rFonts w:ascii="仿宋" w:hAnsi="仿宋" w:eastAsia="仿宋" w:cs="仿宋"/>
                <w:color w:val="auto"/>
                <w:lang w:eastAsia="zh-CN"/>
              </w:rPr>
              <w:t>36</w:t>
            </w:r>
          </w:p>
        </w:tc>
        <w:tc>
          <w:tcPr>
            <w:tcW w:w="737" w:type="dxa"/>
            <w:vAlign w:val="center"/>
          </w:tcPr>
          <w:p w14:paraId="26D8917F">
            <w:pPr>
              <w:pStyle w:val="4"/>
              <w:jc w:val="center"/>
              <w:rPr>
                <w:rFonts w:ascii="仿宋" w:hAnsi="仿宋" w:eastAsia="仿宋" w:cs="仿宋"/>
                <w:color w:val="auto"/>
                <w:lang w:eastAsia="zh-CN"/>
              </w:rPr>
            </w:pPr>
          </w:p>
        </w:tc>
        <w:tc>
          <w:tcPr>
            <w:tcW w:w="7031" w:type="dxa"/>
          </w:tcPr>
          <w:p w14:paraId="5C6268C1">
            <w:pPr>
              <w:pStyle w:val="4"/>
              <w:numPr>
                <w:ilvl w:val="0"/>
                <w:numId w:val="1"/>
              </w:numPr>
              <w:rPr>
                <w:rFonts w:ascii="仿宋" w:hAnsi="仿宋" w:eastAsia="仿宋" w:cs="仿宋"/>
                <w:color w:val="auto"/>
              </w:rPr>
            </w:pPr>
            <w:r>
              <w:rPr>
                <w:rFonts w:ascii="仿宋" w:hAnsi="仿宋" w:eastAsia="仿宋" w:cs="仿宋"/>
                <w:color w:val="auto"/>
              </w:rPr>
              <w:t>压力测试服务</w:t>
            </w:r>
          </w:p>
          <w:p w14:paraId="1D582CAD">
            <w:pPr>
              <w:pStyle w:val="4"/>
              <w:rPr>
                <w:rFonts w:ascii="仿宋" w:hAnsi="仿宋" w:eastAsia="仿宋" w:cs="仿宋"/>
                <w:color w:val="auto"/>
              </w:rPr>
            </w:pPr>
            <w:r>
              <w:rPr>
                <w:rFonts w:ascii="仿宋" w:hAnsi="仿宋" w:eastAsia="仿宋" w:cs="仿宋"/>
                <w:color w:val="auto"/>
                <w:lang w:eastAsia="zh-CN"/>
              </w:rPr>
              <w:t>19.1</w:t>
            </w:r>
            <w:r>
              <w:rPr>
                <w:rFonts w:ascii="仿宋" w:hAnsi="仿宋" w:eastAsia="仿宋" w:cs="仿宋"/>
                <w:color w:val="auto"/>
              </w:rPr>
              <w:t>要求针对考试院</w:t>
            </w:r>
            <w:r>
              <w:rPr>
                <w:rFonts w:hint="eastAsia" w:ascii="仿宋" w:hAnsi="仿宋" w:eastAsia="仿宋" w:cs="仿宋"/>
                <w:color w:val="auto"/>
                <w:lang w:eastAsia="zh-CN"/>
              </w:rPr>
              <w:t>，包含</w:t>
            </w:r>
            <w:r>
              <w:rPr>
                <w:rFonts w:ascii="仿宋" w:hAnsi="仿宋" w:eastAsia="仿宋" w:cs="仿宋"/>
                <w:color w:val="auto"/>
              </w:rPr>
              <w:t>但不限于Web端、移动端（APP/小程序）及后台接口层等进行一次压力测试。</w:t>
            </w:r>
          </w:p>
          <w:p w14:paraId="0600C315">
            <w:pPr>
              <w:pStyle w:val="4"/>
              <w:rPr>
                <w:rFonts w:ascii="仿宋" w:hAnsi="仿宋" w:eastAsia="仿宋" w:cs="仿宋"/>
                <w:color w:val="auto"/>
              </w:rPr>
            </w:pPr>
            <w:r>
              <w:rPr>
                <w:rFonts w:ascii="仿宋" w:hAnsi="仿宋" w:eastAsia="仿宋" w:cs="仿宋"/>
                <w:color w:val="auto"/>
                <w:lang w:eastAsia="zh-CN"/>
              </w:rPr>
              <w:t>19.2</w:t>
            </w:r>
            <w:r>
              <w:rPr>
                <w:rFonts w:ascii="仿宋" w:hAnsi="仿宋" w:eastAsia="仿宋" w:cs="仿宋"/>
                <w:color w:val="auto"/>
              </w:rPr>
              <w:t>峰值并发场景测试：需能模拟高考报名截止前24小时（并发用户≥10万）、成绩查询首日（每秒查询请求≥9000次）的高负载场景。</w:t>
            </w:r>
          </w:p>
          <w:p w14:paraId="33F75D82">
            <w:pPr>
              <w:pStyle w:val="4"/>
              <w:rPr>
                <w:rFonts w:ascii="仿宋" w:hAnsi="仿宋" w:eastAsia="仿宋" w:cs="仿宋"/>
                <w:color w:val="auto"/>
              </w:rPr>
            </w:pPr>
            <w:r>
              <w:rPr>
                <w:rFonts w:ascii="仿宋" w:hAnsi="仿宋" w:eastAsia="仿宋" w:cs="仿宋"/>
                <w:color w:val="auto"/>
                <w:lang w:eastAsia="zh-CN"/>
              </w:rPr>
              <w:t>19.3</w:t>
            </w:r>
            <w:r>
              <w:rPr>
                <w:rFonts w:ascii="仿宋" w:hAnsi="仿宋" w:eastAsia="仿宋" w:cs="仿宋"/>
                <w:color w:val="auto"/>
              </w:rPr>
              <w:t>数据量压力场景测试：需能模拟考生数据量≥50万条、历史成绩数据≥200万条时的系统响应能力。</w:t>
            </w:r>
          </w:p>
          <w:p w14:paraId="28F28CCA">
            <w:pPr>
              <w:pStyle w:val="4"/>
              <w:rPr>
                <w:rFonts w:ascii="仿宋" w:hAnsi="仿宋" w:eastAsia="仿宋" w:cs="仿宋"/>
                <w:color w:val="auto"/>
              </w:rPr>
            </w:pPr>
            <w:r>
              <w:rPr>
                <w:rFonts w:ascii="仿宋" w:hAnsi="仿宋" w:eastAsia="仿宋" w:cs="仿宋"/>
                <w:color w:val="auto"/>
                <w:lang w:eastAsia="zh-CN"/>
              </w:rPr>
              <w:t>19.4</w:t>
            </w:r>
            <w:r>
              <w:rPr>
                <w:rFonts w:ascii="仿宋" w:hAnsi="仿宋" w:eastAsia="仿宋" w:cs="仿宋"/>
                <w:color w:val="auto"/>
              </w:rPr>
              <w:t>混合业务场景压力测试：需能同时模拟报名、审核、缴费、查询等多业务并发操作（业务比例按考试院历史数据配置）。</w:t>
            </w:r>
          </w:p>
          <w:p w14:paraId="6EC676CA">
            <w:pPr>
              <w:pStyle w:val="4"/>
              <w:rPr>
                <w:rFonts w:ascii="仿宋" w:hAnsi="仿宋" w:eastAsia="仿宋" w:cs="仿宋"/>
                <w:color w:val="auto"/>
                <w:lang w:eastAsia="zh-CN"/>
              </w:rPr>
            </w:pPr>
            <w:r>
              <w:rPr>
                <w:rFonts w:ascii="仿宋" w:hAnsi="仿宋" w:eastAsia="仿宋" w:cs="仿宋"/>
                <w:color w:val="auto"/>
                <w:lang w:eastAsia="zh-CN"/>
              </w:rPr>
              <w:t>19.5</w:t>
            </w:r>
            <w:r>
              <w:rPr>
                <w:rFonts w:ascii="仿宋" w:hAnsi="仿宋" w:eastAsia="仿宋" w:cs="仿宋"/>
                <w:color w:val="auto"/>
              </w:rPr>
              <w:t>服务期内需提供相关详细测试方案、详细测试用例（覆盖关键、复杂业务场景，避免简单页面压测）、压力测试报告（含测试数据、性能瓶颈分析、优化建议等）。</w:t>
            </w:r>
          </w:p>
        </w:tc>
      </w:tr>
      <w:tr w14:paraId="004583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7843A253">
            <w:pPr>
              <w:pStyle w:val="4"/>
              <w:jc w:val="center"/>
              <w:rPr>
                <w:rFonts w:ascii="仿宋" w:hAnsi="仿宋" w:eastAsia="仿宋" w:cs="仿宋"/>
                <w:color w:val="auto"/>
              </w:rPr>
            </w:pPr>
            <w:r>
              <w:rPr>
                <w:rFonts w:ascii="仿宋" w:hAnsi="仿宋" w:eastAsia="仿宋" w:cs="仿宋"/>
                <w:color w:val="auto"/>
                <w:lang w:eastAsia="zh-CN"/>
              </w:rPr>
              <w:t>37</w:t>
            </w:r>
          </w:p>
        </w:tc>
        <w:tc>
          <w:tcPr>
            <w:tcW w:w="737" w:type="dxa"/>
            <w:vAlign w:val="center"/>
          </w:tcPr>
          <w:p w14:paraId="4895C256">
            <w:pPr>
              <w:pStyle w:val="4"/>
              <w:jc w:val="center"/>
              <w:rPr>
                <w:rFonts w:ascii="仿宋" w:hAnsi="仿宋" w:eastAsia="仿宋" w:cs="仿宋"/>
                <w:color w:val="auto"/>
                <w:lang w:eastAsia="zh-CN"/>
              </w:rPr>
            </w:pPr>
            <w:r>
              <w:rPr>
                <w:rFonts w:ascii="仿宋" w:hAnsi="仿宋" w:eastAsia="仿宋" w:cs="仿宋"/>
                <w:color w:val="auto"/>
              </w:rPr>
              <w:t>▲</w:t>
            </w:r>
          </w:p>
        </w:tc>
        <w:tc>
          <w:tcPr>
            <w:tcW w:w="7031" w:type="dxa"/>
          </w:tcPr>
          <w:p w14:paraId="439CC42D">
            <w:pPr>
              <w:pStyle w:val="4"/>
              <w:jc w:val="both"/>
              <w:rPr>
                <w:rFonts w:ascii="仿宋" w:hAnsi="仿宋" w:eastAsia="仿宋" w:cs="仿宋"/>
                <w:color w:val="auto"/>
                <w:lang w:eastAsia="zh-CN"/>
              </w:rPr>
            </w:pPr>
            <w:r>
              <w:rPr>
                <w:rFonts w:hint="eastAsia" w:ascii="仿宋" w:hAnsi="仿宋" w:eastAsia="仿宋" w:cs="仿宋"/>
                <w:color w:val="auto"/>
                <w:lang w:val="en-US" w:eastAsia="zh-CN"/>
              </w:rPr>
              <w:t>19.6</w:t>
            </w:r>
            <w:r>
              <w:rPr>
                <w:rFonts w:ascii="仿宋" w:hAnsi="仿宋" w:eastAsia="仿宋" w:cs="仿宋"/>
                <w:color w:val="auto"/>
                <w:lang w:eastAsia="zh-CN"/>
              </w:rPr>
              <w:t>服务商需具备有效的CMA和CNAS资质，且需具有中国网络安全审查认证和市场监管大数据中心（CCRC）颁发的《信息安全风险评估》服务资质。（提供相关能力证明材料并加盖公章）</w:t>
            </w:r>
          </w:p>
        </w:tc>
      </w:tr>
      <w:tr w14:paraId="41B8A4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3B543FF3">
            <w:pPr>
              <w:pStyle w:val="4"/>
              <w:jc w:val="center"/>
              <w:rPr>
                <w:rFonts w:ascii="仿宋" w:hAnsi="仿宋" w:eastAsia="仿宋" w:cs="仿宋"/>
                <w:color w:val="auto"/>
              </w:rPr>
            </w:pPr>
            <w:r>
              <w:rPr>
                <w:rFonts w:ascii="仿宋" w:hAnsi="仿宋" w:eastAsia="仿宋" w:cs="仿宋"/>
                <w:color w:val="auto"/>
                <w:lang w:eastAsia="zh-CN"/>
              </w:rPr>
              <w:t>38</w:t>
            </w:r>
          </w:p>
        </w:tc>
        <w:tc>
          <w:tcPr>
            <w:tcW w:w="737" w:type="dxa"/>
            <w:vAlign w:val="center"/>
          </w:tcPr>
          <w:p w14:paraId="7060FF78">
            <w:pPr>
              <w:pStyle w:val="4"/>
              <w:jc w:val="center"/>
              <w:rPr>
                <w:rFonts w:ascii="仿宋" w:hAnsi="仿宋" w:eastAsia="仿宋" w:cs="仿宋"/>
                <w:color w:val="auto"/>
                <w:lang w:eastAsia="zh-CN"/>
              </w:rPr>
            </w:pPr>
          </w:p>
        </w:tc>
        <w:tc>
          <w:tcPr>
            <w:tcW w:w="7031" w:type="dxa"/>
          </w:tcPr>
          <w:p w14:paraId="6D2BFF31">
            <w:pPr>
              <w:pStyle w:val="4"/>
              <w:numPr>
                <w:ilvl w:val="0"/>
                <w:numId w:val="1"/>
              </w:numPr>
              <w:rPr>
                <w:rFonts w:hint="default" w:ascii="仿宋" w:hAnsi="仿宋" w:eastAsia="仿宋" w:cs="仿宋"/>
                <w:color w:val="auto"/>
                <w:lang w:eastAsia="zh-CN"/>
              </w:rPr>
            </w:pPr>
            <w:r>
              <w:rPr>
                <w:rFonts w:ascii="仿宋" w:hAnsi="仿宋" w:eastAsia="仿宋" w:cs="仿宋"/>
                <w:color w:val="auto"/>
              </w:rPr>
              <w:t>安全策略运营服务</w:t>
            </w:r>
          </w:p>
          <w:p w14:paraId="674B2BFA">
            <w:pPr>
              <w:pStyle w:val="4"/>
              <w:rPr>
                <w:rFonts w:ascii="仿宋" w:hAnsi="仿宋" w:eastAsia="仿宋" w:cs="仿宋"/>
                <w:color w:val="auto"/>
                <w:lang w:eastAsia="zh-CN"/>
              </w:rPr>
            </w:pPr>
            <w:r>
              <w:rPr>
                <w:rFonts w:ascii="仿宋" w:hAnsi="仿宋" w:eastAsia="仿宋" w:cs="仿宋"/>
                <w:color w:val="auto"/>
                <w:lang w:eastAsia="zh-CN"/>
              </w:rPr>
              <w:t>20.1对平台及安全设备的策略运营</w:t>
            </w:r>
            <w:r>
              <w:rPr>
                <w:rFonts w:hint="eastAsia" w:ascii="仿宋" w:hAnsi="仿宋" w:eastAsia="仿宋" w:cs="仿宋"/>
                <w:color w:val="auto"/>
                <w:lang w:eastAsia="zh-CN"/>
              </w:rPr>
              <w:t>，包</w:t>
            </w:r>
            <w:r>
              <w:rPr>
                <w:rFonts w:ascii="仿宋" w:hAnsi="仿宋" w:eastAsia="仿宋" w:cs="仿宋"/>
                <w:color w:val="auto"/>
                <w:lang w:eastAsia="zh-CN"/>
              </w:rPr>
              <w:t>含不同时期（日常、重保等）安全管理、数据汇总分析、用户需求等的策略确认、调整优化，对主机策略检查、调优，视情况调整监测细粒度、强度等策略；对平台视情况调整分析强度、颗粒度、预警等级、覆盖对象等。根据服务成果，整合现有数据，对主机与平台进行优化，与运营服务内容、成果深度融合。</w:t>
            </w:r>
          </w:p>
          <w:p w14:paraId="4B920EBC">
            <w:pPr>
              <w:pStyle w:val="4"/>
              <w:jc w:val="both"/>
              <w:rPr>
                <w:rFonts w:ascii="仿宋" w:hAnsi="仿宋" w:eastAsia="仿宋" w:cs="仿宋"/>
                <w:color w:val="auto"/>
                <w:lang w:eastAsia="zh-CN"/>
              </w:rPr>
            </w:pPr>
            <w:r>
              <w:rPr>
                <w:rFonts w:ascii="仿宋" w:hAnsi="仿宋" w:eastAsia="仿宋" w:cs="仿宋"/>
                <w:color w:val="auto"/>
                <w:lang w:eastAsia="zh-CN"/>
              </w:rPr>
              <w:t>20.2服务期内需建立策略调整动态台账，服务实施完成后最终形成一份统一、准确的《安全策略报告》，包含策略运营概述、策略分析情况、策略优化设计、优化结果等。</w:t>
            </w:r>
          </w:p>
        </w:tc>
      </w:tr>
      <w:tr w14:paraId="044CC9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6" w:type="dxa"/>
            <w:vAlign w:val="center"/>
          </w:tcPr>
          <w:p w14:paraId="339A0BBE">
            <w:pPr>
              <w:pStyle w:val="4"/>
              <w:jc w:val="center"/>
              <w:rPr>
                <w:rFonts w:ascii="仿宋" w:hAnsi="仿宋" w:eastAsia="仿宋" w:cs="仿宋"/>
                <w:color w:val="auto"/>
              </w:rPr>
            </w:pPr>
            <w:r>
              <w:rPr>
                <w:rFonts w:ascii="仿宋" w:hAnsi="仿宋" w:eastAsia="仿宋" w:cs="仿宋"/>
                <w:color w:val="auto"/>
                <w:lang w:eastAsia="zh-CN"/>
              </w:rPr>
              <w:t>39</w:t>
            </w:r>
          </w:p>
        </w:tc>
        <w:tc>
          <w:tcPr>
            <w:tcW w:w="737" w:type="dxa"/>
            <w:vAlign w:val="center"/>
          </w:tcPr>
          <w:p w14:paraId="1299E37D">
            <w:pPr>
              <w:pStyle w:val="4"/>
              <w:jc w:val="center"/>
              <w:rPr>
                <w:rFonts w:ascii="仿宋" w:hAnsi="仿宋" w:eastAsia="仿宋" w:cs="仿宋"/>
                <w:color w:val="auto"/>
                <w:lang w:eastAsia="zh-CN"/>
              </w:rPr>
            </w:pPr>
          </w:p>
        </w:tc>
        <w:tc>
          <w:tcPr>
            <w:tcW w:w="7031" w:type="dxa"/>
          </w:tcPr>
          <w:p w14:paraId="50BF1DB7">
            <w:pPr>
              <w:pStyle w:val="4"/>
              <w:numPr>
                <w:ilvl w:val="0"/>
                <w:numId w:val="1"/>
              </w:numPr>
              <w:rPr>
                <w:rFonts w:hint="default" w:ascii="仿宋" w:hAnsi="仿宋" w:eastAsia="仿宋" w:cs="仿宋"/>
                <w:color w:val="auto"/>
                <w:lang w:eastAsia="zh-CN"/>
              </w:rPr>
            </w:pPr>
            <w:r>
              <w:rPr>
                <w:rFonts w:ascii="仿宋" w:hAnsi="仿宋" w:eastAsia="仿宋" w:cs="仿宋"/>
                <w:color w:val="auto"/>
              </w:rPr>
              <w:t>脆弱性闭环服务</w:t>
            </w:r>
          </w:p>
          <w:p w14:paraId="62A1E441">
            <w:pPr>
              <w:pStyle w:val="4"/>
              <w:rPr>
                <w:rFonts w:hint="default" w:ascii="仿宋" w:hAnsi="仿宋" w:eastAsia="仿宋" w:cs="仿宋"/>
                <w:color w:val="auto"/>
                <w:lang w:eastAsia="zh-CN"/>
              </w:rPr>
            </w:pPr>
            <w:r>
              <w:rPr>
                <w:rFonts w:ascii="仿宋" w:hAnsi="仿宋" w:eastAsia="仿宋" w:cs="仿宋"/>
                <w:color w:val="auto"/>
                <w:lang w:eastAsia="zh-CN"/>
              </w:rPr>
              <w:t>21.1对考试院相关安全设备及服务资产的脆弱性进行按需采集，并提供专业的管理分析服务。采集范围依据脆弱性的分类主要包括应用脆弱性、系统脆弱性、配置脆弱性、物理脆弱性、管理脆弱性等。脆弱性的采集主要可以通过漏洞扫描、三高一</w:t>
            </w:r>
            <w:r>
              <w:rPr>
                <w:rFonts w:hint="eastAsia" w:ascii="仿宋" w:hAnsi="仿宋" w:eastAsia="仿宋" w:cs="仿宋"/>
                <w:color w:val="auto"/>
                <w:lang w:val="en-US" w:eastAsia="zh-CN"/>
              </w:rPr>
              <w:t>弱</w:t>
            </w:r>
            <w:r>
              <w:rPr>
                <w:rFonts w:ascii="仿宋" w:hAnsi="仿宋" w:eastAsia="仿宋" w:cs="仿宋"/>
                <w:color w:val="auto"/>
                <w:lang w:eastAsia="zh-CN"/>
              </w:rPr>
              <w:t>检查、调研访谈、监测发现等方式进行，可基于</w:t>
            </w:r>
            <w:r>
              <w:rPr>
                <w:rFonts w:hint="eastAsia" w:ascii="仿宋" w:hAnsi="仿宋" w:eastAsia="仿宋" w:cs="仿宋"/>
                <w:color w:val="auto"/>
                <w:lang w:eastAsia="zh-CN"/>
              </w:rPr>
              <w:t>其他</w:t>
            </w:r>
            <w:r>
              <w:rPr>
                <w:rFonts w:ascii="仿宋" w:hAnsi="仿宋" w:eastAsia="仿宋" w:cs="仿宋"/>
                <w:color w:val="auto"/>
                <w:lang w:eastAsia="zh-CN"/>
              </w:rPr>
              <w:t>服务结果评估后得出。</w:t>
            </w:r>
          </w:p>
          <w:p w14:paraId="75CFFABE">
            <w:pPr>
              <w:pStyle w:val="4"/>
              <w:rPr>
                <w:rFonts w:ascii="仿宋" w:hAnsi="仿宋" w:eastAsia="仿宋" w:cs="仿宋"/>
                <w:color w:val="auto"/>
                <w:lang w:eastAsia="zh-CN"/>
              </w:rPr>
            </w:pPr>
            <w:r>
              <w:rPr>
                <w:rFonts w:ascii="仿宋" w:hAnsi="仿宋" w:eastAsia="仿宋" w:cs="仿宋"/>
                <w:color w:val="auto"/>
                <w:lang w:eastAsia="zh-CN"/>
              </w:rPr>
              <w:t>21.2服务内容包括但不限于：和考试院进行沟通确认，明确监测的资产范围，采集考试院专项分析需求后，服务人员进场开展监测工作，利用现有平台及工具对网内的脆弱性风险进行实时监测；实时对监测到的脆弱性风险进行验证，对确定的安全风险录入脆弱性风险记录单，经审核同意后提醒进行处置；对处置完成的脆弱性风险进行二次验证，确保风险完成修复，完成风险闭环，按照要求定期完成报告汇总。</w:t>
            </w:r>
          </w:p>
          <w:p w14:paraId="20C9BC8D">
            <w:pPr>
              <w:pStyle w:val="4"/>
              <w:rPr>
                <w:rFonts w:ascii="仿宋" w:hAnsi="仿宋" w:eastAsia="仿宋" w:cs="仿宋"/>
                <w:color w:val="auto"/>
                <w:lang w:eastAsia="zh-CN"/>
              </w:rPr>
            </w:pPr>
            <w:r>
              <w:rPr>
                <w:rFonts w:ascii="仿宋" w:hAnsi="仿宋" w:eastAsia="仿宋" w:cs="仿宋"/>
                <w:color w:val="auto"/>
                <w:lang w:eastAsia="zh-CN"/>
              </w:rPr>
              <w:t>21.3服务期内建立《脆弱性风险记录清单》，包含风险资产名称、风险资产IP、风险时间、风险资产归属、风险等级、风险类型、风险处置状态、风险闭环状态等内容，后续内容可根据考试院要求进行调整。</w:t>
            </w:r>
          </w:p>
          <w:p w14:paraId="18C28714">
            <w:pPr>
              <w:pStyle w:val="4"/>
              <w:jc w:val="both"/>
              <w:rPr>
                <w:rFonts w:ascii="仿宋" w:hAnsi="仿宋" w:eastAsia="仿宋" w:cs="仿宋"/>
                <w:color w:val="auto"/>
              </w:rPr>
            </w:pPr>
            <w:r>
              <w:rPr>
                <w:rFonts w:ascii="仿宋" w:hAnsi="仿宋" w:eastAsia="仿宋" w:cs="仿宋"/>
                <w:color w:val="auto"/>
                <w:lang w:eastAsia="zh-CN"/>
              </w:rPr>
              <w:t>21.4服务实施完成后最终形成《脆弱性采集及闭环管理服务漏洞总结报告》，包含全年统计的脆弱性风险分布、数量统计、风险处置比例、风险资产TOP等内容全年服务汇总报告，年终对全年的脆弱性风险监测处置情况统计汇总后输出报告。</w:t>
            </w:r>
          </w:p>
        </w:tc>
      </w:tr>
    </w:tbl>
    <w:p w14:paraId="016606AC">
      <w:pPr>
        <w:jc w:val="center"/>
        <w:rPr>
          <w:rFonts w:hint="eastAsia"/>
          <w:b/>
          <w:bCs/>
          <w:sz w:val="32"/>
          <w:szCs w:val="32"/>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F61589"/>
    <w:multiLevelType w:val="singleLevel"/>
    <w:tmpl w:val="F6F61589"/>
    <w:lvl w:ilvl="0" w:tentative="0">
      <w:start w:val="19"/>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1C2AEA"/>
    <w:rsid w:val="431C2A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2026-06-04T10:18:00Z</dcterms:created>
  <dc:creator>123</dc:creator>
  <cp:lastModifiedBy>123</cp:lastModifiedBy>
  <dcterms:modified xsi:type="dcterms:W3CDTF">2026-06-04T10:19:15Z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34635B09609C40129A827408DBD1A876_11</vt:lpwstr>
  </property>
  <property fmtid="{D5CDD505-2E9C-101B-9397-08002B2CF9AE}" pid="4" name="KSOTemplateDocerSaveRecord">
    <vt:lpwstr>eyJoZGlkIjoiOTEzYTE1NjhmYmI0MDkxYmE1ZjVkMjkwNjA2M2Q0ZDUiLCJ1c2VySWQiOiI0NTE5NDQwNTQifQ==</vt:lpwstr>
  </property>
</Properties>
</file>