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版本号：YSY2026-CG-01720260625001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镇巴县观音初级中学校舍改造项目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YSY2026-CG-017</w:t>
      </w:r>
      <w:r>
        <w:br/>
      </w:r>
      <w:r>
        <w:br/>
      </w:r>
      <w:r>
        <w:br/>
      </w:r>
    </w:p>
    <w:p>
      <w:pPr>
        <w:pStyle w:val="null3"/>
        <w:jc w:val="center"/>
        <w:outlineLvl w:val="2"/>
      </w:pPr>
      <w:r>
        <w:rPr>
          <w:rFonts w:ascii="仿宋_GB2312" w:hAnsi="仿宋_GB2312" w:cs="仿宋_GB2312" w:eastAsia="仿宋_GB2312"/>
          <w:sz w:val="28"/>
          <w:b/>
        </w:rPr>
        <w:t>镇巴县观音四年制综合初级中学</w:t>
      </w:r>
    </w:p>
    <w:p>
      <w:pPr>
        <w:pStyle w:val="null3"/>
        <w:jc w:val="center"/>
        <w:outlineLvl w:val="2"/>
      </w:pPr>
      <w:r>
        <w:rPr>
          <w:rFonts w:ascii="仿宋_GB2312" w:hAnsi="仿宋_GB2312" w:cs="仿宋_GB2312" w:eastAsia="仿宋_GB2312"/>
          <w:sz w:val="28"/>
          <w:b/>
        </w:rPr>
        <w:t>陕西亿胜元项目管理有限公司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陕西亿胜元项目管理有限公司</w:t>
      </w:r>
      <w:r>
        <w:rPr>
          <w:rFonts w:ascii="仿宋_GB2312" w:hAnsi="仿宋_GB2312" w:cs="仿宋_GB2312" w:eastAsia="仿宋_GB2312"/>
        </w:rPr>
        <w:t>（以下简称“代理机构”）受</w:t>
      </w:r>
      <w:r>
        <w:rPr>
          <w:rFonts w:ascii="仿宋_GB2312" w:hAnsi="仿宋_GB2312" w:cs="仿宋_GB2312" w:eastAsia="仿宋_GB2312"/>
        </w:rPr>
        <w:t>镇巴县观音四年制综合初级中学</w:t>
      </w:r>
      <w:r>
        <w:rPr>
          <w:rFonts w:ascii="仿宋_GB2312" w:hAnsi="仿宋_GB2312" w:cs="仿宋_GB2312" w:eastAsia="仿宋_GB2312"/>
        </w:rPr>
        <w:t>委托，拟对</w:t>
      </w:r>
      <w:r>
        <w:rPr>
          <w:rFonts w:ascii="仿宋_GB2312" w:hAnsi="仿宋_GB2312" w:cs="仿宋_GB2312" w:eastAsia="仿宋_GB2312"/>
        </w:rPr>
        <w:t>镇巴县观音初级中学校舍改造项目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YSY2026-CG-017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镇巴县观音初级中学校舍改造项目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观音初级中学校舍改造项目，改造内容为：改造校教学楼、宿舍楼，总改建面积7408.08m2，其中:教学楼改建3137.49m，宿舍楼改建2825.51m2，运动场改建1445.08m2。附属用房屋面防水改建695m2，配套建设室外钢结构楼梯等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采购包1（镇巴县观音初级中学校舍改造项目）：属于专门面向中小企业采购。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3、供应商资质：供应商具有行政主管部门核发的建筑工程施工总承包三级及以上资质，且具有有效的安全生产许可证。</w:t>
      </w:r>
    </w:p>
    <w:p>
      <w:pPr>
        <w:pStyle w:val="null3"/>
      </w:pPr>
      <w:r>
        <w:rPr>
          <w:rFonts w:ascii="仿宋_GB2312" w:hAnsi="仿宋_GB2312" w:cs="仿宋_GB2312" w:eastAsia="仿宋_GB2312"/>
        </w:rPr>
        <w:t>4、拟派项目负责人资格要求：拟派项目经理须具备建筑工程专业二级及以上注册建造师资格和安全生产考核合格B证，且无在建项目。</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6、非联合体投标声明及无关联关系：本项目不接受联合体磋商；单位负责人为同一人或者存在控股、管理关系的不同单位，不得参加同一项目的响应。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镇巴县观音四年制综合初级中学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镇巴县观音镇小南海社区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镇巴县观音四年制综合初级中学经办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15929507629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陕西亿胜元项目管理有限公司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陕西省汉中市汉台区东一环与风景路交汇处中饮办公中心C区-8F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0916-2102199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采购包1：3,243,508.68元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开户名称：陕西亿胜元项目管理有限公司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银行账号：102513126064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本项目由采购人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镇巴县观音四年制综合初级中学</w:t>
      </w:r>
      <w:r>
        <w:rPr>
          <w:rFonts w:ascii="仿宋_GB2312" w:hAnsi="仿宋_GB2312" w:cs="仿宋_GB2312" w:eastAsia="仿宋_GB2312"/>
        </w:rPr>
        <w:t>和</w:t>
      </w:r>
      <w:r>
        <w:rPr>
          <w:rFonts w:ascii="仿宋_GB2312" w:hAnsi="仿宋_GB2312" w:cs="仿宋_GB2312" w:eastAsia="仿宋_GB2312"/>
        </w:rPr>
        <w:t>陕西亿胜元项目管理有限公司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镇巴县观音四年制综合初级中学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陕西亿胜元项目管理有限公司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镇巴县观音四年制综合初级中学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陕西亿胜元项目管理有限公司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联系人：龚工</w:t>
      </w:r>
    </w:p>
    <w:p>
      <w:pPr>
        <w:pStyle w:val="null3"/>
      </w:pPr>
      <w:r>
        <w:rPr>
          <w:rFonts w:ascii="仿宋_GB2312" w:hAnsi="仿宋_GB2312" w:cs="仿宋_GB2312" w:eastAsia="仿宋_GB2312"/>
        </w:rPr>
        <w:t>联系电话：0916-2102199</w:t>
      </w:r>
    </w:p>
    <w:p>
      <w:pPr>
        <w:pStyle w:val="null3"/>
      </w:pPr>
      <w:r>
        <w:rPr>
          <w:rFonts w:ascii="仿宋_GB2312" w:hAnsi="仿宋_GB2312" w:cs="仿宋_GB2312" w:eastAsia="仿宋_GB2312"/>
        </w:rPr>
        <w:t>地址：汉中市汉台区东一环与风景路交汇处中饮办公中心C区-8F</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3,243,508.68</w:t>
      </w:r>
    </w:p>
    <w:p>
      <w:pPr>
        <w:pStyle w:val="null3"/>
      </w:pPr>
      <w:r>
        <w:rPr>
          <w:rFonts w:ascii="仿宋_GB2312" w:hAnsi="仿宋_GB2312" w:cs="仿宋_GB2312" w:eastAsia="仿宋_GB2312"/>
        </w:rPr>
        <w:t>采购包最高限价（元）: 3,243,508.68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镇巴县观音初级中学校舍改造项目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3,243,508.68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标的名称：镇巴县观音初级中学校舍改造项目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ind w:firstLine="560"/>
            </w:pPr>
            <w:r>
              <w:rPr>
                <w:rFonts w:ascii="仿宋_GB2312" w:hAnsi="仿宋_GB2312" w:cs="仿宋_GB2312" w:eastAsia="仿宋_GB2312"/>
                <w:sz w:val="21"/>
                <w:b/>
              </w:rPr>
              <w:t>镇巴县观音初级中学校舍改造项目，改造内容为：改造校教学楼、宿舍楼，总改建面积7408.08m2，其中:教学楼改建3137.49m，宿舍楼改建2825.51m2，运动场改建1445.08m2。附属用房屋面防水改建695m2，配套建设室外钢结构楼梯等附属设施。</w:t>
            </w:r>
          </w:p>
          <w:p>
            <w:pPr>
              <w:pStyle w:val="null3"/>
            </w:pPr>
            <w:r>
              <w:rPr>
                <w:rFonts w:ascii="仿宋_GB2312" w:hAnsi="仿宋_GB2312" w:cs="仿宋_GB2312" w:eastAsia="仿宋_GB2312"/>
                <w:sz w:val="21"/>
                <w:b/>
              </w:rPr>
              <w:t>二、编制范围：</w:t>
            </w:r>
          </w:p>
          <w:p>
            <w:pPr>
              <w:pStyle w:val="null3"/>
              <w:ind w:firstLine="700"/>
            </w:pPr>
            <w:r>
              <w:rPr>
                <w:rFonts w:ascii="仿宋_GB2312" w:hAnsi="仿宋_GB2312" w:cs="仿宋_GB2312" w:eastAsia="仿宋_GB2312"/>
                <w:sz w:val="21"/>
                <w:b/>
              </w:rPr>
              <w:t>此次招标范围，详见工程量清单。</w:t>
            </w:r>
          </w:p>
          <w:p>
            <w:pPr>
              <w:pStyle w:val="null3"/>
            </w:pPr>
            <w:r>
              <w:rPr>
                <w:rFonts w:ascii="仿宋_GB2312" w:hAnsi="仿宋_GB2312" w:cs="仿宋_GB2312" w:eastAsia="仿宋_GB2312"/>
                <w:sz w:val="21"/>
                <w:b/>
              </w:rPr>
              <w:t>三、编制依据：</w:t>
            </w:r>
          </w:p>
          <w:p>
            <w:pPr>
              <w:pStyle w:val="null3"/>
              <w:ind w:firstLine="560"/>
            </w:pPr>
            <w:r>
              <w:rPr>
                <w:rFonts w:ascii="仿宋_GB2312" w:hAnsi="仿宋_GB2312" w:cs="仿宋_GB2312" w:eastAsia="仿宋_GB2312"/>
                <w:sz w:val="21"/>
                <w:b/>
              </w:rPr>
              <w:t>1、镇巴县观音初级中学校舍改造项目施工图纸;</w:t>
            </w:r>
          </w:p>
          <w:p>
            <w:pPr>
              <w:pStyle w:val="null3"/>
              <w:ind w:firstLine="560"/>
            </w:pPr>
            <w:r>
              <w:rPr>
                <w:rFonts w:ascii="仿宋_GB2312" w:hAnsi="仿宋_GB2312" w:cs="仿宋_GB2312" w:eastAsia="仿宋_GB2312"/>
                <w:sz w:val="21"/>
                <w:b/>
              </w:rPr>
              <w:t>2、建设工程文件及相关资料;</w:t>
            </w:r>
          </w:p>
          <w:p>
            <w:pPr>
              <w:pStyle w:val="null3"/>
              <w:ind w:firstLine="560"/>
            </w:pPr>
            <w:r>
              <w:rPr>
                <w:rFonts w:ascii="仿宋_GB2312" w:hAnsi="仿宋_GB2312" w:cs="仿宋_GB2312" w:eastAsia="仿宋_GB2312"/>
                <w:sz w:val="21"/>
                <w:b/>
              </w:rPr>
              <w:t>3、与建设项目相关的标准、规范等技术资料;</w:t>
            </w:r>
          </w:p>
          <w:p>
            <w:pPr>
              <w:pStyle w:val="null3"/>
              <w:ind w:firstLine="560"/>
            </w:pPr>
            <w:r>
              <w:rPr>
                <w:rFonts w:ascii="仿宋_GB2312" w:hAnsi="仿宋_GB2312" w:cs="仿宋_GB2312" w:eastAsia="仿宋_GB2312"/>
                <w:sz w:val="21"/>
                <w:b/>
              </w:rPr>
              <w:t>4、《陕西省建设工程工程量清单计价计算标准(2025)》;</w:t>
            </w:r>
          </w:p>
          <w:p>
            <w:pPr>
              <w:pStyle w:val="null3"/>
              <w:ind w:firstLine="560"/>
            </w:pPr>
            <w:r>
              <w:rPr>
                <w:rFonts w:ascii="仿宋_GB2312" w:hAnsi="仿宋_GB2312" w:cs="仿宋_GB2312" w:eastAsia="仿宋_GB2312"/>
                <w:sz w:val="21"/>
                <w:b/>
              </w:rPr>
              <w:t>5、《陕西省房屋建筑与装饰工程基价表(2025)》;</w:t>
            </w:r>
          </w:p>
          <w:p>
            <w:pPr>
              <w:pStyle w:val="null3"/>
              <w:ind w:firstLine="560"/>
            </w:pPr>
            <w:r>
              <w:rPr>
                <w:rFonts w:ascii="仿宋_GB2312" w:hAnsi="仿宋_GB2312" w:cs="仿宋_GB2312" w:eastAsia="仿宋_GB2312"/>
                <w:sz w:val="21"/>
                <w:b/>
              </w:rPr>
              <w:t>6、《陕西省基价表说明(2025)》;</w:t>
            </w:r>
          </w:p>
          <w:p>
            <w:pPr>
              <w:pStyle w:val="null3"/>
              <w:ind w:firstLine="560"/>
            </w:pPr>
            <w:r>
              <w:rPr>
                <w:rFonts w:ascii="仿宋_GB2312" w:hAnsi="仿宋_GB2312" w:cs="仿宋_GB2312" w:eastAsia="仿宋_GB2312"/>
                <w:sz w:val="21"/>
                <w:b/>
              </w:rPr>
              <w:t>7、陕建管发〔2025〕10号，《陕西省住房和城乡建设厅关于印发 2025 陕西省建设工程费用规则等计价依据的通知》</w:t>
            </w:r>
          </w:p>
          <w:p>
            <w:pPr>
              <w:pStyle w:val="null3"/>
              <w:ind w:firstLine="560"/>
            </w:pPr>
            <w:r>
              <w:rPr>
                <w:rFonts w:ascii="仿宋_GB2312" w:hAnsi="仿宋_GB2312" w:cs="仿宋_GB2312" w:eastAsia="仿宋_GB2312"/>
                <w:sz w:val="21"/>
                <w:b/>
              </w:rPr>
              <w:t>8、《2026年4月汉中建设工程造价信息》镇巴县信息价。</w:t>
            </w:r>
          </w:p>
          <w:p>
            <w:pPr>
              <w:pStyle w:val="null3"/>
            </w:pPr>
            <w:r>
              <w:rPr>
                <w:rFonts w:ascii="仿宋_GB2312" w:hAnsi="仿宋_GB2312" w:cs="仿宋_GB2312" w:eastAsia="仿宋_GB2312"/>
                <w:sz w:val="21"/>
                <w:b/>
              </w:rPr>
              <w:t>四、编制说明:</w:t>
            </w:r>
          </w:p>
          <w:p>
            <w:pPr>
              <w:pStyle w:val="null3"/>
              <w:ind w:firstLine="560"/>
            </w:pPr>
            <w:r>
              <w:rPr>
                <w:rFonts w:ascii="仿宋_GB2312" w:hAnsi="仿宋_GB2312" w:cs="仿宋_GB2312" w:eastAsia="仿宋_GB2312"/>
                <w:sz w:val="21"/>
                <w:b/>
              </w:rPr>
              <w:t>1、本次预算计取暂列金118000.00元/项，列入其他项目费。</w:t>
            </w:r>
          </w:p>
          <w:p>
            <w:pPr>
              <w:pStyle w:val="null3"/>
            </w:pPr>
            <w:r>
              <w:rPr>
                <w:rFonts w:ascii="仿宋_GB2312" w:hAnsi="仿宋_GB2312" w:cs="仿宋_GB2312" w:eastAsia="仿宋_GB2312"/>
                <w:sz w:val="21"/>
                <w:b/>
              </w:rPr>
              <w:t>五、编制其它说明:</w:t>
            </w:r>
          </w:p>
          <w:p>
            <w:pPr>
              <w:pStyle w:val="null3"/>
              <w:ind w:firstLine="561"/>
            </w:pPr>
            <w:r>
              <w:rPr>
                <w:rFonts w:ascii="仿宋_GB2312" w:hAnsi="仿宋_GB2312" w:cs="仿宋_GB2312" w:eastAsia="仿宋_GB2312"/>
                <w:sz w:val="21"/>
                <w:b/>
              </w:rPr>
              <w:t>1、混凝土按现场搅拌计入，砂浆按现场搅拌计入;</w:t>
            </w:r>
          </w:p>
          <w:p>
            <w:pPr>
              <w:pStyle w:val="null3"/>
              <w:ind w:firstLine="560"/>
            </w:pPr>
            <w:r>
              <w:rPr>
                <w:rFonts w:ascii="仿宋_GB2312" w:hAnsi="仿宋_GB2312" w:cs="仿宋_GB2312" w:eastAsia="仿宋_GB2312"/>
                <w:sz w:val="21"/>
                <w:b/>
              </w:rPr>
              <w:t>2、土方外运运距暂按5km计入;</w:t>
            </w:r>
          </w:p>
          <w:p>
            <w:pPr>
              <w:pStyle w:val="null3"/>
              <w:ind w:firstLine="561"/>
            </w:pPr>
            <w:r>
              <w:rPr>
                <w:rFonts w:ascii="仿宋_GB2312" w:hAnsi="仿宋_GB2312" w:cs="仿宋_GB2312" w:eastAsia="仿宋_GB2312"/>
                <w:sz w:val="21"/>
                <w:b/>
              </w:rPr>
              <w:t>3、餐厅楼拆除卫生间，图纸设计不详，暂定综合单价1200元/间，施工时签证处理，竣工结算时据实调整；</w:t>
            </w:r>
          </w:p>
          <w:p>
            <w:pPr>
              <w:pStyle w:val="null3"/>
              <w:ind w:firstLine="561"/>
            </w:pPr>
            <w:r>
              <w:rPr>
                <w:rFonts w:ascii="仿宋_GB2312" w:hAnsi="仿宋_GB2312" w:cs="仿宋_GB2312" w:eastAsia="仿宋_GB2312"/>
                <w:sz w:val="21"/>
                <w:b/>
              </w:rPr>
              <w:t>5、拆除原有电气及给排水，暂定综合单价2000元/项，施工时签证处理，竣工结算时据实调整；</w:t>
            </w:r>
          </w:p>
          <w:p>
            <w:pPr>
              <w:pStyle w:val="null3"/>
              <w:ind w:firstLine="561"/>
            </w:pPr>
            <w:r>
              <w:rPr>
                <w:rFonts w:ascii="仿宋_GB2312" w:hAnsi="仿宋_GB2312" w:cs="仿宋_GB2312" w:eastAsia="仿宋_GB2312"/>
                <w:sz w:val="21"/>
                <w:b/>
              </w:rPr>
              <w:t>6、餐厅楼排水沟，图纸设计不详，暂定综合单价200元/m，施工时签证处理，竣工结算时据实调整；</w:t>
            </w:r>
          </w:p>
          <w:p>
            <w:pPr>
              <w:pStyle w:val="null3"/>
              <w:ind w:firstLine="561"/>
            </w:pPr>
            <w:r>
              <w:rPr>
                <w:rFonts w:ascii="仿宋_GB2312" w:hAnsi="仿宋_GB2312" w:cs="仿宋_GB2312" w:eastAsia="仿宋_GB2312"/>
                <w:sz w:val="21"/>
                <w:b/>
              </w:rPr>
              <w:t>7、屋面卷材防水干铺350g沥青卷材隔离层一层与25厚1:3水泥砂浆找平层，本次预算不计，施工时按清单描述不施工；</w:t>
            </w:r>
          </w:p>
          <w:p>
            <w:pPr>
              <w:pStyle w:val="null3"/>
            </w:pPr>
            <w:r>
              <w:rPr>
                <w:rFonts w:ascii="仿宋_GB2312" w:hAnsi="仿宋_GB2312" w:cs="仿宋_GB2312" w:eastAsia="仿宋_GB2312"/>
                <w:sz w:val="21"/>
                <w:b/>
              </w:rPr>
              <w:t>六、计价软件广联达计价软件GCCP7.0</w:t>
            </w:r>
          </w:p>
          <w:p>
            <w:pPr>
              <w:pStyle w:val="null3"/>
              <w:jc w:val="both"/>
            </w:pPr>
            <w:r>
              <w:rPr>
                <w:rFonts w:ascii="仿宋_GB2312" w:hAnsi="仿宋_GB2312" w:cs="仿宋_GB2312" w:eastAsia="仿宋_GB2312"/>
                <w:sz w:val="21"/>
                <w:b/>
              </w:rPr>
              <w:t>七、工程量清单（另附）</w:t>
            </w:r>
          </w:p>
          <w:p>
            <w:pPr>
              <w:pStyle w:val="null3"/>
            </w:pPr>
            <w:r>
              <w:rPr>
                <w:rFonts w:ascii="仿宋_GB2312" w:hAnsi="仿宋_GB2312" w:cs="仿宋_GB2312" w:eastAsia="仿宋_GB2312"/>
                <w:sz w:val="21"/>
                <w:b/>
              </w:rPr>
              <w:t>八、图纸（另附）</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工期：50日历天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拟派项目经理须具备建筑工程专业二级及以上注册建造师资格和安全生产考核合格B证，且无在建项目。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已标价工程量清单 中小企业声明函 施工承诺.docx 供应商认为需要提供的其他内容.docx 施工组织设计.docx 供应商承诺书.docx 响应文件封面 项目组成人员配备表.docx 供应商应提交的相关资格证明材料.docx 残疾人福利性单位声明函 报价函 标的清单 供应商类似项目业绩一览表 项目经理简历表.docx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2.针对性：上述内容针对性明确得1分；针对性较明确得0.5分；缺乏针对性得0分。此项不提供不得分。 3.可实施性：上述内容可实施性合理得1分；可实施性较合理得0.5分；缺乏可实施性，每项内容得0分。此项不提供不得分。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2.针对性：上述内容针对性明确得1分；针对性较明确得0.5分；缺乏针对性得0分。此项不提供不得分。 3.可实施性：上述内容可实施性合理得1分；可实施性较合理得0.5分；缺乏可实施性得0分。此项不提供不得分。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一、评审内容：供应商具有类似项目业绩。 二、赋分标准：供应商自2023年3月至今完成的类似项目业绩，每提供一个合格业绩得2.5分，满分5分。未提供此项内容不得分。 注：业绩以中标（成交）通知书和合同（协议书)为准，响应文件内附复印件。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一、评审内容：供应商针对本项目特点提供切实可行的施工安全承诺、文明施工承诺、施工质量保证承诺、工期保证承诺，保证按时按质按量完成本项目。 二、赋分标准：每提供一项承诺得1.5分，满分6分。未提供此项内容不得分。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一、评审内容：项目经理具备建筑工程相关专业技术职称； 二、赋分标准：中级及以上技术职称得3分，其他不得分。响应文件内附职称证复印件。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一、评审内容：项目经理具有类似项目业绩。 二、赋分标准：项目经理自2023年3月至今完成的类似项目业绩，每提供一个合格业绩得2分，满分2分。未提供此项内容不得分。 注：业绩以中标（成交）通知书和合同（协议书)为准，响应文件内附复印件。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一、评审内容：所配备技术负责人、质量员、安全员、材料员、施工员、资料员，具备相关专业技术职称或岗位证书或技术资格证书。 二、赋分标准：全部满足得 6 分，每缺少一人或相应人员无证书证件扣 1 分，扣完为止。响应文件内附相应人员证书证件复印件。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项目组成人员配备表.docx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满足磋商文件要求且磋商报价最低的投标报价为磋商基准价，其价格分为满分。其他投标供应商的价格分统一按照下列公式计算：磋商报价得分=（磋商基准价/磋商报价）×30%×100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详见附件：项目组成人员配备表.docx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