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版本号：ZCSP-白水县-2026-00068-01320260524001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2026年衔接资金项目设计服务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ZCSP-白水县-2026-00068-013</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2026年衔接资金项目设计服务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ZCSP-白水县-2026-00068-013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2026年衔接资金项目设计服务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1.项⽬名称：2026年衔接资⾦项⽬设计服务 2.采购内容及分包情况：2026年衔接资⾦项⽬全过程设计服务，含⽅案设计、施⼯图设计、施⼯配合、竣⼯验收配合等。共划分1个合同包。 3.合同履⾏期限：⾃合同签订之⽇起⾄2026年财政衔接资⾦项⽬全部竣⼯验收、审计完成⽌。供应商接到采购⼈单个项⽬设计任务后45⽇历天内，完成全部设计⼯作并提交符合审查要求的最终成果。 4.项⽬实施地点：⽩⽔县。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采购包1（2026年衔接资金项目设计服务）：属于专门面向中小企业采购。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签字或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2、营业执照等主体资格证明文件：供应商提供有效存续的企业营业执照（含2024或2025年度报告）。</w:t>
      </w:r>
    </w:p>
    <w:p>
      <w:pPr>
        <w:pStyle w:val="null3"/>
      </w:pPr>
      <w:r>
        <w:rPr>
          <w:rFonts w:ascii="仿宋_GB2312" w:hAnsi="仿宋_GB2312" w:cs="仿宋_GB2312" w:eastAsia="仿宋_GB2312"/>
        </w:rPr>
        <w:t>3、供应商资格：供应商具备工程设计综合资质甲级，或同时具备①工程设计市政行业乙级及以上或工程设计市政行业(燃气工程、轨道交通工程除外)乙级及以上资质或工程设计市政行业道路工程、排水工程专业丙级及以上资质②工程设计建筑行业乙级及以上或工程设计建筑行业（建筑工程）丙级及以上资质。</w:t>
      </w:r>
    </w:p>
    <w:p>
      <w:pPr>
        <w:pStyle w:val="null3"/>
      </w:pPr>
      <w:r>
        <w:rPr>
          <w:rFonts w:ascii="仿宋_GB2312" w:hAnsi="仿宋_GB2312" w:cs="仿宋_GB2312" w:eastAsia="仿宋_GB2312"/>
        </w:rPr>
        <w:t>4、项目负责人：拟派项目负责人具备二级注册结构师或一级注册结构工程师或二级及以上注册建筑师或注册公用设备工程师（给水排水），并出具项目负责人在供应商单位近3个月内任意一个月缴纳的养老保险证明（退休返聘人员提供退休证及劳动合同）。</w:t>
      </w:r>
    </w:p>
    <w:p>
      <w:pPr>
        <w:pStyle w:val="null3"/>
      </w:pPr>
      <w:r>
        <w:rPr>
          <w:rFonts w:ascii="仿宋_GB2312" w:hAnsi="仿宋_GB2312" w:cs="仿宋_GB2312" w:eastAsia="仿宋_GB2312"/>
        </w:rPr>
        <w:t>5、财务状况报告：供应商提供2024年度经审计的财务报告（包括“四表一注”，即资产负债表、利润表、现金流量表、所有者权益变动表及其附注，成立时间至提交响应文件截止时间不足一年的可提供成立后任意时段的资产负债表），或其提交响应文件截止时间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6、社保缴纳证明：供应商提供2025年10月1日至响应文件递交截止之日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7、税收缴纳证明：供应商提供2025年10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8、信用记录：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9、控股管理关系：供应商提供直接控股和管理关系清单。若与其他供应商存在单位负责人为同一人或者存在直接控股、管理关系的，则响应无效。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10、书面声明：供应商提供书面声明，包括声明具有履行合同所必需的设备和专业技术能力；未为本项目提供整体设计、规范编制或者项目管理、监理、检测等服务。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11、本合同包不接受联合体磋商、不允许分包：供应商提供《非联合体磋商不分包声明》。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董王平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0913-6155527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13259083638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开户名称：鸿民国际工程（集团）有限公司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银行账号：103311740136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人与采购代理机构依据“财库[2018]2号-财政部关于印发《政府采购代理机构管理暂行办法》的通知”第十五条规定，约定代理服务费由成交单位支付。成交单位在领取成交通知书前一次性付清。参照国家计委关于《招标代理服务收费管理暂行办法》（计价格〔2002〕1980号）、《国家发展改革委关于降低部分建设项目收费标准规范收费行为等有关问题的通知》（发改价格〔2011〕534号），以成交价为基数，按标准的100%收取。成交单位的代理服务费交纳信息：开户名称：鸿民国际工程（集团）有限公司渭南分公司 开户银行：中国建设银行股份有限公司渭南朝阳大街支行 账号：61050164500800000631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采购需求、合同、国家及行业规范、图审意见、财政衔接资金项目管理规定。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联系电话：13259083638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1.项目名称：2026年衔接资金项目设计服务 2.采购内容及分包情况：2026年衔接资金项目全过程设计服务，含方案设计、施工图设计、施工配合、竣工验收配合等。共划分1个合同包。 3.合同履行期限：自合同签订之日起至2026年财政衔接资金项目全部竣工验收、审计完成止。供应商接到采购人单个项目设计任务后45日历天内，完成全部设计工作并提交符合审查要求的最终成果。 4.项目实施地点：白水县。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970,000.00</w:t>
      </w:r>
    </w:p>
    <w:p>
      <w:pPr>
        <w:pStyle w:val="null3"/>
      </w:pPr>
      <w:r>
        <w:rPr>
          <w:rFonts w:ascii="仿宋_GB2312" w:hAnsi="仿宋_GB2312" w:cs="仿宋_GB2312" w:eastAsia="仿宋_GB2312"/>
        </w:rPr>
        <w:t>采购包最高限价（元）: 970,000.00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2026年衔接资金项目设计服务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标的名称：2026年衔接资金项目设计服务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rPr>
              <w:t>一、需执行的国家相关标准、行业标准、地方标准或者其他标准、规范标准</w:t>
            </w:r>
          </w:p>
          <w:p>
            <w:pPr>
              <w:pStyle w:val="null3"/>
            </w:pPr>
            <w:r>
              <w:rPr>
                <w:rFonts w:ascii="仿宋_GB2312" w:hAnsi="仿宋_GB2312" w:cs="仿宋_GB2312" w:eastAsia="仿宋_GB2312"/>
              </w:rPr>
              <w:t>本项目设计服务须满足最新版国家、行业、地方及相关规范，满足财政衔接资金项目管理、设计审查、竣工验收相关规定，以及白水县关于乡村建设、工程设计的相关要求。</w:t>
            </w:r>
          </w:p>
          <w:p>
            <w:pPr>
              <w:pStyle w:val="null3"/>
            </w:pPr>
            <w:r>
              <w:rPr>
                <w:rFonts w:ascii="仿宋_GB2312" w:hAnsi="仿宋_GB2312" w:cs="仿宋_GB2312" w:eastAsia="仿宋_GB2312"/>
              </w:rPr>
              <w:t>二、具体服务内容</w:t>
            </w:r>
          </w:p>
          <w:p>
            <w:pPr>
              <w:pStyle w:val="null3"/>
            </w:pPr>
            <w:r>
              <w:rPr>
                <w:rFonts w:ascii="仿宋_GB2312" w:hAnsi="仿宋_GB2312" w:cs="仿宋_GB2312" w:eastAsia="仿宋_GB2312"/>
              </w:rPr>
              <w:t>1.前期配合：现场踏勘、现状调查、与镇村及相关部门对接、资料收集、方案论证。</w:t>
            </w:r>
          </w:p>
          <w:p>
            <w:pPr>
              <w:pStyle w:val="null3"/>
            </w:pPr>
            <w:r>
              <w:rPr>
                <w:rFonts w:ascii="仿宋_GB2312" w:hAnsi="仿宋_GB2312" w:cs="仿宋_GB2312" w:eastAsia="仿宋_GB2312"/>
              </w:rPr>
              <w:t>2.设计服务：完成各子项目方案设计、施工图设计。</w:t>
            </w:r>
          </w:p>
          <w:p>
            <w:pPr>
              <w:pStyle w:val="null3"/>
            </w:pPr>
            <w:r>
              <w:rPr>
                <w:rFonts w:ascii="仿宋_GB2312" w:hAnsi="仿宋_GB2312" w:cs="仿宋_GB2312" w:eastAsia="仿宋_GB2312"/>
              </w:rPr>
              <w:t>3.图纸审查：配合完成图纸审查、答疑、修改完善，直至通过审查。</w:t>
            </w:r>
          </w:p>
          <w:p>
            <w:pPr>
              <w:pStyle w:val="null3"/>
            </w:pPr>
            <w:r>
              <w:rPr>
                <w:rFonts w:ascii="仿宋_GB2312" w:hAnsi="仿宋_GB2312" w:cs="仿宋_GB2312" w:eastAsia="仿宋_GB2312"/>
              </w:rPr>
              <w:t>4.施工阶段服务：设计技术交底、现场技术指导、解决施工技术问题；设计变更、现场签证技术审核；隐蔽工程验收、分部分项验收、竣工验收参与。</w:t>
            </w:r>
          </w:p>
          <w:p>
            <w:pPr>
              <w:pStyle w:val="null3"/>
            </w:pPr>
            <w:r>
              <w:rPr>
                <w:rFonts w:ascii="仿宋_GB2312" w:hAnsi="仿宋_GB2312" w:cs="仿宋_GB2312" w:eastAsia="仿宋_GB2312"/>
              </w:rPr>
              <w:t>5.后期服务：配合竣工结算、审计、资料归档、项目绩效评价。</w:t>
            </w:r>
          </w:p>
          <w:p>
            <w:pPr>
              <w:pStyle w:val="null3"/>
            </w:pPr>
            <w:r>
              <w:rPr>
                <w:rFonts w:ascii="仿宋_GB2312" w:hAnsi="仿宋_GB2312" w:cs="仿宋_GB2312" w:eastAsia="仿宋_GB2312"/>
              </w:rPr>
              <w:t>6.完成采购人交办的与本项目设计相关的其他工作。</w:t>
            </w:r>
          </w:p>
          <w:p>
            <w:pPr>
              <w:pStyle w:val="null3"/>
            </w:pPr>
            <w:r>
              <w:rPr>
                <w:rFonts w:ascii="仿宋_GB2312" w:hAnsi="仿宋_GB2312" w:cs="仿宋_GB2312" w:eastAsia="仿宋_GB2312"/>
              </w:rPr>
              <w:t>三、成果文件要求</w:t>
            </w:r>
          </w:p>
          <w:p>
            <w:pPr>
              <w:pStyle w:val="null3"/>
            </w:pPr>
            <w:r>
              <w:rPr>
                <w:rFonts w:ascii="仿宋_GB2312" w:hAnsi="仿宋_GB2312" w:cs="仿宋_GB2312" w:eastAsia="仿宋_GB2312"/>
              </w:rPr>
              <w:t>1.设计成果：设计说明书、总平面图、平面/纵断/横断面图、结构图、给排水图、照明图、绿化及环境提升图等全套施工图。</w:t>
            </w:r>
          </w:p>
          <w:p>
            <w:pPr>
              <w:pStyle w:val="null3"/>
            </w:pPr>
            <w:r>
              <w:rPr>
                <w:rFonts w:ascii="仿宋_GB2312" w:hAnsi="仿宋_GB2312" w:cs="仿宋_GB2312" w:eastAsia="仿宋_GB2312"/>
              </w:rPr>
              <w:t>2.成果形式：纸质版满足采购人使用要求，电子版为CAD原版、PDF版。</w:t>
            </w:r>
          </w:p>
          <w:p>
            <w:pPr>
              <w:pStyle w:val="null3"/>
            </w:pPr>
            <w:r>
              <w:rPr>
                <w:rFonts w:ascii="仿宋_GB2312" w:hAnsi="仿宋_GB2312" w:cs="仿宋_GB2312" w:eastAsia="仿宋_GB2312"/>
              </w:rPr>
              <w:t>3.成果须满足：审查通过、施工可用、审计合规、衔接资金项目管理要求。</w:t>
            </w:r>
          </w:p>
          <w:p>
            <w:pPr>
              <w:pStyle w:val="null3"/>
            </w:pPr>
            <w:r>
              <w:rPr>
                <w:rFonts w:ascii="仿宋_GB2312" w:hAnsi="仿宋_GB2312" w:cs="仿宋_GB2312" w:eastAsia="仿宋_GB2312"/>
              </w:rPr>
              <w:t>四、服务标准、期限、效率等要求</w:t>
            </w:r>
          </w:p>
          <w:p>
            <w:pPr>
              <w:pStyle w:val="null3"/>
            </w:pPr>
            <w:r>
              <w:rPr>
                <w:rFonts w:ascii="仿宋_GB2312" w:hAnsi="仿宋_GB2312" w:cs="仿宋_GB2312" w:eastAsia="仿宋_GB2312"/>
              </w:rPr>
              <w:t>1.服务标准：设计成果符合国家规范、行业标准、地方规定及财政衔接资金项目管理要求，确保通过图审、满足施工、通过验收、通过审计。</w:t>
            </w:r>
          </w:p>
          <w:p>
            <w:pPr>
              <w:pStyle w:val="null3"/>
            </w:pPr>
            <w:r>
              <w:rPr>
                <w:rFonts w:ascii="仿宋_GB2312" w:hAnsi="仿宋_GB2312" w:cs="仿宋_GB2312" w:eastAsia="仿宋_GB2312"/>
              </w:rPr>
              <w:t>2.服务期限：按合同约定，自合同签订至项目全部竣工验收、审计完成。</w:t>
            </w:r>
          </w:p>
          <w:p>
            <w:pPr>
              <w:pStyle w:val="null3"/>
            </w:pPr>
            <w:r>
              <w:rPr>
                <w:rFonts w:ascii="仿宋_GB2312" w:hAnsi="仿宋_GB2312" w:cs="仿宋_GB2312" w:eastAsia="仿宋_GB2312"/>
              </w:rPr>
              <w:t>3.服务效率：供应商须提交详细工作计划；采购人提出的技术咨询、问题反馈，24小时内响应，一般问题48小时内解决，重大问题及时到场处理。</w:t>
            </w:r>
          </w:p>
          <w:p>
            <w:pPr>
              <w:pStyle w:val="null3"/>
            </w:pPr>
            <w:r>
              <w:rPr>
                <w:rFonts w:ascii="仿宋_GB2312" w:hAnsi="仿宋_GB2312" w:cs="仿宋_GB2312" w:eastAsia="仿宋_GB2312"/>
              </w:rPr>
              <w:t>4.保密要求：供应商对项目资料、数据、方案等负有保密义务，未经采购人书面同意不得向第三方泄露，保密期限长期。</w:t>
            </w:r>
          </w:p>
          <w:p>
            <w:pPr>
              <w:pStyle w:val="null3"/>
            </w:pPr>
            <w:r>
              <w:rPr>
                <w:rFonts w:ascii="仿宋_GB2312" w:hAnsi="仿宋_GB2312" w:cs="仿宋_GB2312" w:eastAsia="仿宋_GB2312"/>
              </w:rPr>
              <w:t>5.成果质量保证：因设计错误、漏项、深度不足造成返工、损失的，由供应商承担相应责任。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具备二级注册结构师或一级注册结构工程师或二级及以上注册建筑师或注册公用设备工程师（给水排水），并出具项目负责人在供应商单位近3个月内任意一个月缴纳的养老保险证明（退休返聘人员提供退休证及劳动合同）。 （2）服务团队要求：供应商应组建一个专业配置齐全、经验丰富的项目组，成员具备工程类中级及以上职称或相应国家注册执业资格（二级注册结构师或一级注册结构工程师或二级及以上注册建筑师或注册公用设备工程师（给水排水））。</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供应商承诺配备满足设计服务要求的相关设施设备。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成交供应商应保证采购人在使用所涉技术方案或其任何一部分技术资料时，免受第三方提出侵犯其专利权、商标权或工业设计权等知识产权的起诉。如果发生诉讼，所有费用和责任由成交供应商承担。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自合同签订之日起至2026年财政衔接资金项目全部竣工验收、审计完成止。供应商接到采购人单个项目设计任务后45日历天内，完成全部设计工作并提交符合审查要求的最终成果。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1.验收依据：采购需求、合同、国家及行业规范、图审意见、财政衔接资金项目管理规定。 2.验收内容： （1）设计成果完整、规范、深度满足施工与审计要求； （2）图纸通过相关部门审查； （3）服务内容全部完成，配合到位； （4）资料齐全、符合归档要求。 3.验收方式：采购人组织验收，出具验收意见书；不合格的，供应商须无偿修改完善直至合格。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进度款，全部设计服务完成、成果交付并验收合格后，采购人按批复建安工程费×中标费率计算的最终设计费，扣除已支付预付款后，达到付款条件起30个工作日内，支付合同总金额的60.0%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完全理解并接受第八章“拟签订采购合同文本”。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完全理解并接受第八章“拟签订采购合同文本”。（2）本项目设计费预算金额97万元为暂估价，成交价为暂定合同价。本次以预估建安工程费4500万元作为测算基数，设计费报价费率最高限价2.15%。最终设计费按照项目批复建安工程费乘以中标成交费率据实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了企业声明函原件，企业类型为中型企业或小型企业或微型企业或监狱企业或残疾人福利性企业。本合同包所属行业：其他未列明行业。从业人员300人以下的为中小微型企业。其中，从业人员100人及以上的为中型企业；从业人员10人及以上的为小型企业；从业人员10人以下的为微型企业。特别说明：从业人员、营业收入、资产总额填报上一年度数据，上一年度数据是指提供2024年度的数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签字或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供应商提供有效存续的企业营业执照（含2024或2025年度报告）。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具备工程设计综合资质甲级，或同时具备①工程设计市政行业乙级及以上或工程设计市政行业(燃气工程、轨道交通工程除外)乙级及以上资质或工程设计市政行业道路工程、排水工程专业丙级及以上资质②工程设计建筑行业乙级及以上或工程设计建筑行业（建筑工程）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备二级注册结构师或一级注册结构工程师或二级及以上注册建筑师或注册公用设备工程师（给水排水），并出具项目负责人在供应商单位近3个月内任意一个月缴纳的养老保险证明（退休返聘人员提供退休证及劳动合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经审计的财务报告（包括“四表一注”，即资产负债表、利润表、现金流量表、所有者权益变动表及其附注，成立时间至提交响应文件截止时间不足一年的可提供成立后任意时段的资产负债表），或其提交响应文件截止时间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供应商提供2025年10月1日至响应文件递交截止之日任意一个月的社会保障资金缴存单据或社保机构开具的社会保险参保缴费情况证明。依法不需要缴纳社会保障资金的供应商应提供相关证明文件。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10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本合同包不接受联合体磋商、不允许分包</w:t>
            </w:r>
          </w:p>
        </w:tc>
        <w:tc>
          <w:tcPr>
            <w:tcW w:type="dxa" w:w="3322"/>
          </w:tcPr>
          <w:p>
            <w:pPr>
              <w:pStyle w:val="null3"/>
            </w:pPr>
            <w:r>
              <w:rPr>
                <w:rFonts w:ascii="仿宋_GB2312" w:hAnsi="仿宋_GB2312" w:cs="仿宋_GB2312" w:eastAsia="仿宋_GB2312"/>
              </w:rPr>
              <w:t>供应商提供《非联合体磋商不分包声明》。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供应商提交的相关说明和证明材料，应当加盖供应商（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设计费用清单.docx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磋商文件签字盖章</w:t>
            </w:r>
          </w:p>
        </w:tc>
        <w:tc>
          <w:tcPr>
            <w:tcW w:type="dxa" w:w="3322"/>
          </w:tcPr>
          <w:p>
            <w:pPr>
              <w:pStyle w:val="null3"/>
            </w:pPr>
            <w:r>
              <w:rPr>
                <w:rFonts w:ascii="仿宋_GB2312" w:hAnsi="仿宋_GB2312" w:cs="仿宋_GB2312" w:eastAsia="仿宋_GB2312"/>
              </w:rPr>
              <w:t>响应文件签字盖章满足磋商文件的要求</w:t>
            </w:r>
          </w:p>
        </w:tc>
        <w:tc>
          <w:tcPr>
            <w:tcW w:type="dxa" w:w="1661"/>
          </w:tcPr>
          <w:p>
            <w:pPr>
              <w:pStyle w:val="null3"/>
            </w:pPr>
            <w:r>
              <w:rPr>
                <w:rFonts w:ascii="仿宋_GB2312" w:hAnsi="仿宋_GB2312" w:cs="仿宋_GB2312" w:eastAsia="仿宋_GB2312"/>
              </w:rPr>
              <w:t>响应文件封面 设计费用清单.docx 中小企业声明函 项目设计负责人简历表.docx 标的清单 拟委任的主要人员汇总表.docx 报价表 服务内容及服务邀请应答表.docx 商务应答表.docx 响应函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供应商首次磋商报价未出现选择性报价，首次磋商报价未超出采购预算及最高限价</w:t>
            </w:r>
          </w:p>
        </w:tc>
        <w:tc>
          <w:tcPr>
            <w:tcW w:type="dxa" w:w="1661"/>
          </w:tcPr>
          <w:p>
            <w:pPr>
              <w:pStyle w:val="null3"/>
            </w:pPr>
            <w:r>
              <w:rPr>
                <w:rFonts w:ascii="仿宋_GB2312" w:hAnsi="仿宋_GB2312" w:cs="仿宋_GB2312" w:eastAsia="仿宋_GB2312"/>
              </w:rPr>
              <w:t>设计费用清单.docx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服务内容及服务邀请应答表.docx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磋商内容未出现漏项，要求相符，未出现重大负偏差</w:t>
            </w:r>
          </w:p>
        </w:tc>
        <w:tc>
          <w:tcPr>
            <w:tcW w:type="dxa" w:w="1661"/>
          </w:tcPr>
          <w:p>
            <w:pPr>
              <w:pStyle w:val="null3"/>
            </w:pPr>
            <w:r>
              <w:rPr>
                <w:rFonts w:ascii="仿宋_GB2312" w:hAnsi="仿宋_GB2312" w:cs="仿宋_GB2312" w:eastAsia="仿宋_GB2312"/>
              </w:rPr>
              <w:t>设计费用清单.docx 中小企业声明函 近年类似项目业绩.docx 项目设计负责人简历表.docx 报价表 商务应答表.docx 承诺函.docx 资格证明文件.docx 响应文件封面 标的清单 拟委任的主要人员汇总表.docx 服务内容及服务邀请应答表.docx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满足竞争性磋商文件中实质性要求。</w:t>
            </w:r>
          </w:p>
        </w:tc>
        <w:tc>
          <w:tcPr>
            <w:tcW w:type="dxa" w:w="1661"/>
          </w:tcPr>
          <w:p>
            <w:pPr>
              <w:pStyle w:val="null3"/>
            </w:pPr>
            <w:r>
              <w:rPr>
                <w:rFonts w:ascii="仿宋_GB2312" w:hAnsi="仿宋_GB2312" w:cs="仿宋_GB2312" w:eastAsia="仿宋_GB2312"/>
              </w:rPr>
              <w:t>响应文件封面 设计费用清单.docx 中小企业声明函 项目设计负责人简历表.docx 标的清单 拟委任的主要人员汇总表.docx 报价表 服务内容及服务邀请应答表.docx 商务应答表.docx 响应函 承诺函.docx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2022年1月1日至响应文件递交截止之日，承揽过类似项目设计业绩。每提供1项符合要求的业绩得3分，本项最高得9分。 评审依据：须提供加盖供应商公章的合同关键页（包含项目名称、合同金额、签订时间、双方签章）复印件。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近年类似项目业绩.docx</w:t>
            </w:r>
          </w:p>
        </w:tc>
      </w:tr>
      <w:tr>
        <w:tc>
          <w:tcPr>
            <w:tcW w:type="dxa" w:w="831"/>
            <w:vMerge/>
          </w:tcPr>
          <w:p/>
        </w:tc>
        <w:tc>
          <w:tcPr>
            <w:tcW w:type="dxa" w:w="1661"/>
          </w:tcPr>
          <w:p>
            <w:pPr>
              <w:pStyle w:val="null3"/>
            </w:pPr>
            <w:r>
              <w:rPr>
                <w:rFonts w:ascii="仿宋_GB2312" w:hAnsi="仿宋_GB2312" w:cs="仿宋_GB2312" w:eastAsia="仿宋_GB2312"/>
              </w:rPr>
              <w:t>项目设计负责人业绩</w:t>
            </w:r>
          </w:p>
        </w:tc>
        <w:tc>
          <w:tcPr>
            <w:tcW w:type="dxa" w:w="2492"/>
          </w:tcPr>
          <w:p>
            <w:pPr>
              <w:pStyle w:val="null3"/>
            </w:pPr>
            <w:r>
              <w:rPr>
                <w:rFonts w:ascii="仿宋_GB2312" w:hAnsi="仿宋_GB2312" w:cs="仿宋_GB2312" w:eastAsia="仿宋_GB2312"/>
              </w:rPr>
              <w:t>拟派项目设计负责人自2022年1月1日以来，作为项目设计负责人或技术负责人，完成过类似项目设计业绩。每提供1项符合要求的业绩得2分，本项最高得4分。 评审依据：须提供加盖供应商公章的合同复印件以及能证明其担任角色的相关证明材料（合同人员名单页或业主证明或项目成果署名页等），无法体现项目设计负责人姓名的，业绩不予认可。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项目设计负责人简历表.docx</w:t>
            </w:r>
          </w:p>
        </w:tc>
      </w:tr>
      <w:tr>
        <w:tc>
          <w:tcPr>
            <w:tcW w:type="dxa" w:w="831"/>
            <w:vMerge/>
          </w:tcPr>
          <w:p/>
        </w:tc>
        <w:tc>
          <w:tcPr>
            <w:tcW w:type="dxa" w:w="1661"/>
          </w:tcPr>
          <w:p>
            <w:pPr>
              <w:pStyle w:val="null3"/>
            </w:pPr>
            <w:r>
              <w:rPr>
                <w:rFonts w:ascii="仿宋_GB2312" w:hAnsi="仿宋_GB2312" w:cs="仿宋_GB2312" w:eastAsia="仿宋_GB2312"/>
              </w:rPr>
              <w:t>其他主要人员资历</w:t>
            </w:r>
          </w:p>
        </w:tc>
        <w:tc>
          <w:tcPr>
            <w:tcW w:type="dxa" w:w="2492"/>
          </w:tcPr>
          <w:p>
            <w:pPr>
              <w:pStyle w:val="null3"/>
            </w:pPr>
            <w:r>
              <w:rPr>
                <w:rFonts w:ascii="仿宋_GB2312" w:hAnsi="仿宋_GB2312" w:cs="仿宋_GB2312" w:eastAsia="仿宋_GB2312"/>
              </w:rPr>
              <w:t>项目团队（除负责人外）需配备相应专业设计人员。 每有一名成员具备工程类中级及以上职称或相应国家注册执业资格（二级注册结构师或一级注册结构工程师或二级及以上注册建筑师或注册公用设备工程师（给水排水））得2分，此项满分12分。 评审依据：须提供加盖供应商公章的人员职称证书或执业资格证书。</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拟委任的主要人员汇总表.docx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根据供应商针对本项目的质量保障措施，各部分内容全面详细、阐述条理清晰详尽、符合磋商文件要求。内容包含①质量问题分析；②保障措施；③达到目标。评审标准:上述每项内容无缺陷得5分，满分为15分。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1.质量保障措施.docx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根据供应商针对本项目的进度计划及保障措施，各部分内容全面详细、阐述条理清晰详尽、符合磋商文件要求。内容包含①进度计划；②保障措施。评审标准:上述每项内容无缺陷得5分，满分为10分。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2.进度计划及保障措施.docx</w:t>
            </w:r>
          </w:p>
        </w:tc>
      </w:tr>
      <w:tr>
        <w:tc>
          <w:tcPr>
            <w:tcW w:type="dxa" w:w="831"/>
            <w:vMerge/>
          </w:tcPr>
          <w:p/>
        </w:tc>
        <w:tc>
          <w:tcPr>
            <w:tcW w:type="dxa" w:w="1661"/>
          </w:tcPr>
          <w:p>
            <w:pPr>
              <w:pStyle w:val="null3"/>
            </w:pPr>
            <w:r>
              <w:rPr>
                <w:rFonts w:ascii="仿宋_GB2312" w:hAnsi="仿宋_GB2312" w:cs="仿宋_GB2312" w:eastAsia="仿宋_GB2312"/>
              </w:rPr>
              <w:t>技术思路和应对措施</w:t>
            </w:r>
          </w:p>
        </w:tc>
        <w:tc>
          <w:tcPr>
            <w:tcW w:type="dxa" w:w="2492"/>
          </w:tcPr>
          <w:p>
            <w:pPr>
              <w:pStyle w:val="null3"/>
            </w:pPr>
            <w:r>
              <w:rPr>
                <w:rFonts w:ascii="仿宋_GB2312" w:hAnsi="仿宋_GB2312" w:cs="仿宋_GB2312" w:eastAsia="仿宋_GB2312"/>
              </w:rPr>
              <w:t>根据供应商针对本项目的技术思路和应对措施，各部分内容全面详细、阐述条理清晰详尽、符合磋商文件要求。内容包含①技术思路；②工作流程；③管理制度和协调方案；④设计方案；⑤应对措施。评审标准:上述每项内容无缺陷得2分，满分为10分。方案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3.技术思路和应对措施.docx</w:t>
            </w:r>
          </w:p>
        </w:tc>
      </w:tr>
      <w:tr>
        <w:tc>
          <w:tcPr>
            <w:tcW w:type="dxa" w:w="831"/>
            <w:vMerge/>
          </w:tcPr>
          <w:p/>
        </w:tc>
        <w:tc>
          <w:tcPr>
            <w:tcW w:type="dxa" w:w="1661"/>
          </w:tcPr>
          <w:p>
            <w:pPr>
              <w:pStyle w:val="null3"/>
            </w:pPr>
            <w:r>
              <w:rPr>
                <w:rFonts w:ascii="仿宋_GB2312" w:hAnsi="仿宋_GB2312" w:cs="仿宋_GB2312" w:eastAsia="仿宋_GB2312"/>
              </w:rPr>
              <w:t>成果提交措施</w:t>
            </w:r>
          </w:p>
        </w:tc>
        <w:tc>
          <w:tcPr>
            <w:tcW w:type="dxa" w:w="2492"/>
          </w:tcPr>
          <w:p>
            <w:pPr>
              <w:pStyle w:val="null3"/>
            </w:pPr>
            <w:r>
              <w:rPr>
                <w:rFonts w:ascii="仿宋_GB2312" w:hAnsi="仿宋_GB2312" w:cs="仿宋_GB2312" w:eastAsia="仿宋_GB2312"/>
              </w:rPr>
              <w:t>根据供应商针对本项目的成果提交措施，各部分内容全面详细、阐述条理清晰详尽、符合磋商文件要求。内容包含①提交内容；②规范性；③工作流程。评审标准:上述每项内容无缺陷得3分，满分为9分。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4.成果提交措施.docx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针对本项目的保密措施，各部分内容全面详细、阐述条理清晰详尽、符合磋商文件要求。内容包含①保密工作承诺；②保密制度；③保证措施。评审标准:上述每项内容无缺陷得2分，满分为6分。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5.保密措施.docx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成果交付以及后期服务相关内容做出承诺，后续服务安排及保障全面可行，满分5分；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6.服务承诺.docx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价格权值%×100（磋商小组认为供应商的最终报价明显低于其他通过符合性审查供应商的报价，有可能影响项目质量或者不能诚信履约的，应当在磋商现场提供书面说明及相关证明材料。供应商不能证明其报价合理性的，为无效磋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设计费用清单.docx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详见附件：设计费用清单.docx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详见附件：近年类似项目业绩.docx</w:t>
      </w:r>
    </w:p>
    <w:p>
      <w:pPr>
        <w:pStyle w:val="null3"/>
        <w:ind w:firstLine="960"/>
      </w:pPr>
      <w:r>
        <w:rPr>
          <w:rFonts w:ascii="仿宋_GB2312" w:hAnsi="仿宋_GB2312" w:cs="仿宋_GB2312" w:eastAsia="仿宋_GB2312"/>
        </w:rPr>
        <w:t>详见附件：拟委任的主要人员汇总表.docx</w:t>
      </w:r>
    </w:p>
    <w:p>
      <w:pPr>
        <w:pStyle w:val="null3"/>
        <w:ind w:firstLine="960"/>
      </w:pPr>
      <w:r>
        <w:rPr>
          <w:rFonts w:ascii="仿宋_GB2312" w:hAnsi="仿宋_GB2312" w:cs="仿宋_GB2312" w:eastAsia="仿宋_GB2312"/>
        </w:rPr>
        <w:t>详见附件：项目设计负责人简历表.docx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详见附件：1.质量保障措施.docx</w:t>
      </w:r>
    </w:p>
    <w:p>
      <w:pPr>
        <w:pStyle w:val="null3"/>
        <w:ind w:firstLine="960"/>
      </w:pPr>
      <w:r>
        <w:rPr>
          <w:rFonts w:ascii="仿宋_GB2312" w:hAnsi="仿宋_GB2312" w:cs="仿宋_GB2312" w:eastAsia="仿宋_GB2312"/>
        </w:rPr>
        <w:t>详见附件：2.进度计划及保障措施.docx</w:t>
      </w:r>
    </w:p>
    <w:p>
      <w:pPr>
        <w:pStyle w:val="null3"/>
        <w:ind w:firstLine="960"/>
      </w:pPr>
      <w:r>
        <w:rPr>
          <w:rFonts w:ascii="仿宋_GB2312" w:hAnsi="仿宋_GB2312" w:cs="仿宋_GB2312" w:eastAsia="仿宋_GB2312"/>
        </w:rPr>
        <w:t>详见附件：3.技术思路和应对措施.docx</w:t>
      </w:r>
    </w:p>
    <w:p>
      <w:pPr>
        <w:pStyle w:val="null3"/>
        <w:ind w:firstLine="960"/>
      </w:pPr>
      <w:r>
        <w:rPr>
          <w:rFonts w:ascii="仿宋_GB2312" w:hAnsi="仿宋_GB2312" w:cs="仿宋_GB2312" w:eastAsia="仿宋_GB2312"/>
        </w:rPr>
        <w:t>详见附件：4.成果提交措施.docx</w:t>
      </w:r>
    </w:p>
    <w:p>
      <w:pPr>
        <w:pStyle w:val="null3"/>
        <w:ind w:firstLine="960"/>
      </w:pPr>
      <w:r>
        <w:rPr>
          <w:rFonts w:ascii="仿宋_GB2312" w:hAnsi="仿宋_GB2312" w:cs="仿宋_GB2312" w:eastAsia="仿宋_GB2312"/>
        </w:rPr>
        <w:t>详见附件：5.保密措施.docx</w:t>
      </w:r>
    </w:p>
    <w:p>
      <w:pPr>
        <w:pStyle w:val="null3"/>
        <w:ind w:firstLine="960"/>
      </w:pPr>
      <w:r>
        <w:rPr>
          <w:rFonts w:ascii="仿宋_GB2312" w:hAnsi="仿宋_GB2312" w:cs="仿宋_GB2312" w:eastAsia="仿宋_GB2312"/>
        </w:rPr>
        <w:t>详见附件：6.服务承诺.docx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详见附件：建设工程设计合同.docx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