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版本号：ZZZC2026-04520260717001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西安市2026年防汛重点灾害点调查项目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ZZZC2026-045</w:t>
      </w:r>
      <w:r>
        <w:br/>
      </w:r>
      <w:r>
        <w:br/>
      </w:r>
      <w:r>
        <w:br/>
      </w:r>
    </w:p>
    <w:p>
      <w:pPr>
        <w:pStyle w:val="null3"/>
        <w:jc w:val="center"/>
        <w:outlineLvl w:val="2"/>
      </w:pPr>
      <w:r>
        <w:rPr>
          <w:rFonts w:ascii="仿宋_GB2312" w:hAnsi="仿宋_GB2312" w:cs="仿宋_GB2312" w:eastAsia="仿宋_GB2312"/>
          <w:sz w:val="28"/>
          <w:b/>
        </w:rPr>
        <w:t>西安市应急管理局（本级）</w:t>
      </w:r>
    </w:p>
    <w:p>
      <w:pPr>
        <w:pStyle w:val="null3"/>
        <w:jc w:val="center"/>
        <w:outlineLvl w:val="2"/>
      </w:pPr>
      <w:r>
        <w:rPr>
          <w:rFonts w:ascii="仿宋_GB2312" w:hAnsi="仿宋_GB2312" w:cs="仿宋_GB2312" w:eastAsia="仿宋_GB2312"/>
          <w:sz w:val="28"/>
          <w:b/>
        </w:rPr>
        <w:t>中招(陕西)项目管理有限公司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中招(陕西)项目管理有限公司</w:t>
      </w:r>
      <w:r>
        <w:rPr>
          <w:rFonts w:ascii="仿宋_GB2312" w:hAnsi="仿宋_GB2312" w:cs="仿宋_GB2312" w:eastAsia="仿宋_GB2312"/>
        </w:rPr>
        <w:t>（以下简称“代理机构”）受</w:t>
      </w:r>
      <w:r>
        <w:rPr>
          <w:rFonts w:ascii="仿宋_GB2312" w:hAnsi="仿宋_GB2312" w:cs="仿宋_GB2312" w:eastAsia="仿宋_GB2312"/>
        </w:rPr>
        <w:t>西安市应急管理局（本级）</w:t>
      </w:r>
      <w:r>
        <w:rPr>
          <w:rFonts w:ascii="仿宋_GB2312" w:hAnsi="仿宋_GB2312" w:cs="仿宋_GB2312" w:eastAsia="仿宋_GB2312"/>
        </w:rPr>
        <w:t>委托，拟对</w:t>
      </w:r>
      <w:r>
        <w:rPr>
          <w:rFonts w:ascii="仿宋_GB2312" w:hAnsi="仿宋_GB2312" w:cs="仿宋_GB2312" w:eastAsia="仿宋_GB2312"/>
        </w:rPr>
        <w:t>西安市2026年防汛重点灾害点调查项目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ZZZC2026-045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西安市2026年防汛重点灾害点调查项目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秦岭山区是我市防汛重点区域，山洪危险区、地质灾害隐患点和风险区、山洪沟口、狭窄河道是防汛工作的重点、难点，2026年国家防总、省防总安排强调开展山洪沟口、狭窄河道等重点区域和薄弱环节的隐患排查工作。本项目聚焦我市秦岭段119个峪口、沟口，针对有人居住的防汛风险灾害点进行调查，建立防汛重点灾害点数据库，绘制专题GIS地图并接入智慧应急平台。</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主体要求：在中华人民共和国境内注册，且具有独立承担民事责任能力的法人、其他组织或者自然人。企业法人应提供合法有效的标识有统一社会信用代码的营业执照；其他组织应提供合法登记证明文件；自然人应提供其身份证；</w:t>
      </w:r>
    </w:p>
    <w:p>
      <w:pPr>
        <w:pStyle w:val="null3"/>
      </w:pPr>
      <w:r>
        <w:rPr>
          <w:rFonts w:ascii="仿宋_GB2312" w:hAnsi="仿宋_GB2312" w:cs="仿宋_GB2312" w:eastAsia="仿宋_GB2312"/>
        </w:rPr>
        <w:t>2、法定代表人授权书：法定代表人授权书（附法定代表人、被授权人身份证复印件）及被授权人身份证复印件（法定代表人直接参加磋商，须提供法定代表人身份证明及身份证复印件）。</w:t>
      </w:r>
    </w:p>
    <w:p>
      <w:pPr>
        <w:pStyle w:val="null3"/>
      </w:pPr>
      <w:r>
        <w:rPr>
          <w:rFonts w:ascii="仿宋_GB2312" w:hAnsi="仿宋_GB2312" w:cs="仿宋_GB2312" w:eastAsia="仿宋_GB2312"/>
        </w:rPr>
        <w:t>3、供应商信誉：供应商不得为“信用中国”网站（www.creditchina.gov.cn）中列入失信被执行人（中国执行信息公开网 http://zxgk.court.gov.cn）和重大税收违法失信主体名单的供应商，不得为中国政府采购网（www.ccgp.gov.cn）政府采购严重违法失信行为记录名单中被财政部门禁止参加政府采购活动的供应商。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4、非联合体响应：提供非联合体不分包响应声明。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西安市应急管理局（本级）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西安市凤城七路旭辉中心2号楼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李金鹏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029-86517091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中招(陕西)项目管理有限公司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陕西省西安市未央区陕西省西安市未央区北二环中段369号华帝金座1幢903室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侯女士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029-68656808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采购包1：980,000.00元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原《国家计委关于印发&lt;招标代理服务收费管理暂行办法&gt;的通知》(计价格〔2002〕1980号)、《国家发展改革委关于降低部分建设项目收费标准规范收费行为等有关问题的通知》(发改价格〔2011〕534号)规定执行，由成交单位以转账、刷卡、现金形式向受托方支付。 2.代理服务费缴纳账户信息： 户名：中招(陕西)项目管理有限公司 开户行名称：中国建设银行股份有限公司泾阳县中心街支行 账号：6105 0163 7355 0911 1111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西安市应急管理局（本级）</w:t>
      </w:r>
      <w:r>
        <w:rPr>
          <w:rFonts w:ascii="仿宋_GB2312" w:hAnsi="仿宋_GB2312" w:cs="仿宋_GB2312" w:eastAsia="仿宋_GB2312"/>
        </w:rPr>
        <w:t>和</w:t>
      </w:r>
      <w:r>
        <w:rPr>
          <w:rFonts w:ascii="仿宋_GB2312" w:hAnsi="仿宋_GB2312" w:cs="仿宋_GB2312" w:eastAsia="仿宋_GB2312"/>
        </w:rPr>
        <w:t>中招(陕西)项目管理有限公司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西安市应急管理局（本级）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中招(陕西)项目管理有限公司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西安市应急管理局（本级）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中招(陕西)项目管理有限公司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按照采购文件及合同约定内容进行验收。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中招(陕西)项目管理有限公司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中招(陕西)项目管理有限公司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中招(陕西)项目管理有限公司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联系人：侯女士</w:t>
      </w:r>
    </w:p>
    <w:p>
      <w:pPr>
        <w:pStyle w:val="null3"/>
      </w:pPr>
      <w:r>
        <w:rPr>
          <w:rFonts w:ascii="仿宋_GB2312" w:hAnsi="仿宋_GB2312" w:cs="仿宋_GB2312" w:eastAsia="仿宋_GB2312"/>
        </w:rPr>
        <w:t>联系电话：029-68656808</w:t>
      </w:r>
    </w:p>
    <w:p>
      <w:pPr>
        <w:pStyle w:val="null3"/>
      </w:pPr>
      <w:r>
        <w:rPr>
          <w:rFonts w:ascii="仿宋_GB2312" w:hAnsi="仿宋_GB2312" w:cs="仿宋_GB2312" w:eastAsia="仿宋_GB2312"/>
        </w:rPr>
        <w:t>地址：陕西省西安市未央区北二环华帝金座A座903室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秦岭山区是我市防汛重点区域，山洪危险区、地质灾害隐患点和风险区、山洪沟口、狭窄河道是防汛工作的重点、难点，2026年国家防总、省防总安排强调开展山洪沟口、狭窄河道等重点区域和薄弱环节的隐患排查工作。本项目聚焦我市秦岭段119个峪口、沟口，针对有人居住的防汛风险灾害点进行调查，建立防汛重点灾害点数据库，绘制专题GIS地图并接入智慧应急平台。</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980,000.00</w:t>
      </w:r>
    </w:p>
    <w:p>
      <w:pPr>
        <w:pStyle w:val="null3"/>
      </w:pPr>
      <w:r>
        <w:rPr>
          <w:rFonts w:ascii="仿宋_GB2312" w:hAnsi="仿宋_GB2312" w:cs="仿宋_GB2312" w:eastAsia="仿宋_GB2312"/>
        </w:rPr>
        <w:t>采购包最高限价（元）: 980,000.00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西安市2026年防汛重点灾害点调查项目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标的名称：西安市2026年防汛重点灾害点调查项目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90"/>
              <w:jc w:val="left"/>
            </w:pPr>
            <w:r>
              <w:rPr>
                <w:rFonts w:ascii="仿宋_GB2312" w:hAnsi="仿宋_GB2312" w:cs="仿宋_GB2312" w:eastAsia="仿宋_GB2312"/>
                <w:sz w:val="21"/>
                <w:color w:val="000000"/>
              </w:rPr>
              <w:t>风险点排查与信息调查</w:t>
            </w:r>
          </w:p>
          <w:p>
            <w:pPr>
              <w:pStyle w:val="null3"/>
              <w:jc w:val="left"/>
            </w:pPr>
            <w:r>
              <w:rPr>
                <w:rFonts w:ascii="仿宋_GB2312" w:hAnsi="仿宋_GB2312" w:cs="仿宋_GB2312" w:eastAsia="仿宋_GB2312"/>
                <w:sz w:val="21"/>
                <w:color w:val="000000"/>
              </w:rPr>
              <w:t>现场踏勘调查我市秦岭段</w:t>
            </w:r>
            <w:r>
              <w:rPr>
                <w:rFonts w:ascii="仿宋_GB2312" w:hAnsi="仿宋_GB2312" w:cs="仿宋_GB2312" w:eastAsia="仿宋_GB2312"/>
                <w:sz w:val="21"/>
                <w:color w:val="000000"/>
              </w:rPr>
              <w:t>119</w:t>
            </w:r>
            <w:r>
              <w:rPr>
                <w:rFonts w:ascii="仿宋_GB2312" w:hAnsi="仿宋_GB2312" w:cs="仿宋_GB2312" w:eastAsia="仿宋_GB2312"/>
                <w:sz w:val="21"/>
                <w:color w:val="000000"/>
              </w:rPr>
              <w:t>个峪口涉及人员居住的山洪危险区、地质灾害隐患点和风险区、山洪沟口、狭窄河道等防汛重点，调查人员居住信息及管理信息。</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spacing w:before="90"/>
              <w:jc w:val="left"/>
            </w:pPr>
            <w:r>
              <w:rPr>
                <w:rFonts w:ascii="仿宋_GB2312" w:hAnsi="仿宋_GB2312" w:cs="仿宋_GB2312" w:eastAsia="仿宋_GB2312"/>
                <w:sz w:val="21"/>
                <w:color w:val="000000"/>
              </w:rPr>
              <w:t>危险区地理信息采集</w:t>
            </w:r>
          </w:p>
          <w:p>
            <w:pPr>
              <w:pStyle w:val="null3"/>
              <w:jc w:val="left"/>
            </w:pPr>
            <w:r>
              <w:rPr>
                <w:rFonts w:ascii="仿宋_GB2312" w:hAnsi="仿宋_GB2312" w:cs="仿宋_GB2312" w:eastAsia="仿宋_GB2312"/>
                <w:sz w:val="21"/>
                <w:color w:val="000000"/>
              </w:rPr>
              <w:t>对1400处危险区主要地理信息进行测绘，采集坐标、高程信息。</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1"/>
                <w:color w:val="000000"/>
              </w:rPr>
              <w:t>电子数据库构建</w:t>
            </w:r>
          </w:p>
          <w:p>
            <w:pPr>
              <w:pStyle w:val="null3"/>
              <w:jc w:val="left"/>
            </w:pPr>
            <w:r>
              <w:rPr>
                <w:rFonts w:ascii="仿宋_GB2312" w:hAnsi="仿宋_GB2312" w:cs="仿宋_GB2312" w:eastAsia="仿宋_GB2312"/>
                <w:sz w:val="21"/>
                <w:color w:val="000000"/>
              </w:rPr>
              <w:t>对测绘数据进行核查、校准、内业处理，建立危险区及人员属性数据库。</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spacing w:before="210"/>
              <w:jc w:val="left"/>
            </w:pPr>
            <w:r>
              <w:rPr>
                <w:rFonts w:ascii="仿宋_GB2312" w:hAnsi="仿宋_GB2312" w:cs="仿宋_GB2312" w:eastAsia="仿宋_GB2312"/>
                <w:sz w:val="21"/>
                <w:color w:val="000000"/>
              </w:rPr>
              <w:t>GIS地图绘制与智慧应急平台集成</w:t>
            </w:r>
          </w:p>
          <w:p>
            <w:pPr>
              <w:pStyle w:val="null3"/>
              <w:jc w:val="left"/>
            </w:pPr>
            <w:r>
              <w:rPr>
                <w:rFonts w:ascii="仿宋_GB2312" w:hAnsi="仿宋_GB2312" w:cs="仿宋_GB2312" w:eastAsia="仿宋_GB2312"/>
                <w:sz w:val="21"/>
                <w:color w:val="000000"/>
              </w:rPr>
              <w:t>制作秦岭山区防汛重点灾害点专题GIS地图，完成GIS地图与数据库全量接入智慧应急平台，并关联相关属性。</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sz w:val="21"/>
                <w:color w:val="000000"/>
              </w:rPr>
              <w:t>预期成果</w:t>
            </w:r>
          </w:p>
          <w:p>
            <w:pPr>
              <w:pStyle w:val="null3"/>
              <w:jc w:val="left"/>
            </w:pPr>
            <w:r>
              <w:rPr>
                <w:rFonts w:ascii="仿宋_GB2312" w:hAnsi="仿宋_GB2312" w:cs="仿宋_GB2312" w:eastAsia="仿宋_GB2312"/>
                <w:sz w:val="21"/>
                <w:color w:val="000000"/>
              </w:rPr>
              <w:t>建立危险区及人员属性数据库，并完成数据库GIS地图绘制与智慧应急平台集成。</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sz w:val="21"/>
                <w:color w:val="000000"/>
              </w:rPr>
              <w:t>支撑服务</w:t>
            </w:r>
          </w:p>
          <w:p>
            <w:pPr>
              <w:pStyle w:val="null3"/>
              <w:jc w:val="left"/>
            </w:pPr>
            <w:r>
              <w:rPr>
                <w:rFonts w:ascii="仿宋_GB2312" w:hAnsi="仿宋_GB2312" w:cs="仿宋_GB2312" w:eastAsia="仿宋_GB2312"/>
                <w:sz w:val="21"/>
                <w:color w:val="000000"/>
              </w:rPr>
              <w:t>质保2年，智慧应急平台防汛重点灾害点专题GIS地图与关联数据库维护。</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满足完成本项目所必须的人员配置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满足完成本项目所必须的设施设备要求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因采购人系行政单位，所有的付款均需财政部门审批，本合同履行期间，非因采购人故意拖延付款申请流程造成的逾期付款的，承包方对此予以谅解不得追究采购人的逾期付款责任</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自合同签订之日起90日历天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服务内容完成后先由乙方进行自检，自检合格后邀请甲方进行验收。甲方确认乙方的自检内容后，组织乙方（必要时请有关专家）进行最终验收，验收时乙方应派员参加，共同对验收结果进行确认，并承担相关责任（必要时甲方可委托具有相关资质的第三方检测机构/技术专家对产品/设备进行系统验收，由此产生的相关费用由乙方承担，需要国家法定检验部门进行检验或验收的由乙方负责联系）。验收合格后，填写政府采购项目履约验收单（一式伍份）作为对服务的最终认可。政府采购项目履约验收单（原件）送采购代理机构一份，并据此退还履约保证金。 （二）乙方向甲方提交服务实施过程中的所有资料。以便甲方日后管理和维护。 （三）验收依据： 1、竞争性磋商文件、响应文件、澄清表（函）； 2、本合同及附件文本； 3、国家相应的标准、规范。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预付款，合同签订、供应商开具等额合规发票，达到付款条件后，达到付款条件起15个工作日内，支付合同总金额的40.0%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 验收合格、供应商开具等额合规发票，达到付款条件后，达到付款条件起15个工作日内，支付合同总金额的60.0%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详见采购文件要求</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 xml:space="preserve"> 3.4.1本项目需要落实的政府采购政策：（1）《国务院办公厅关于建立政府强制采购节能产品制度的通知》（国办发〔2007〕51号）；（2）《财政部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印发节能产品政府采购品目清单的通知》（财库〔2019〕19号）；（6）《关于印发环境标志产品政府采购品目清单的通知》（财库〔2019〕18号）；（7）《关于运用政府采购政策支持乡村产业振兴的通知》（财库〔2021〕19号）；（8）《政府采购促进中小企业发展管理办法》（财库〔2020〕46号）；（9）《关于进一步加大政府采购支持中小企业力度的通知》（财库〔2022〕19号；（10）《陕西省中小企业政府采购信用融资办法》（陕财办采〔2018〕23号）；（11）《陕西省财政厅关于加快推进我省中小企业政府采购信用融资工作的通知》（陕财办采〔2020〕15号）；（12）《关于进一步加强政府绿色采购有关问题的通知》陕财办采〔2021〕29号；（13）《陕西省财政厅、中国人民银行西安分行关于深入推进政府采购信用融资业务的通知》（陕财办采〔2023〕5号）；（14）其他需要落实的政府采购政策。 3.4.2参与本项目采购的供应商应通过陕西省政府采购综合管理平台的项目电子化交易系统在线实施响应、磋商、报价等操作，磋商响应时无需供应商现场提供纸质响应文件，但在中标（成交）后中标（成交）供应商在领取中标（成交）通知书时需提供纸质响应文件正本壹套、副本壹套、电子版（U 盘）贰个，纸质响应文件应通过专用制作软件直接打印，确保与项目电子化交易系统中的电子响应文件保持一致，不允许修改和补充。 3.4.3成交（成交）通知书领取地址：陕西省西安市未央区北二环华帝金座A座903室。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在中华人民共和国境内注册，且具有独立承担民事责任能力的法人、其他组织或者自然人。企业法人应提供合法有效的标识有统一社会信用代码的营业执照；其他组织应提供合法登记证明文件；自然人应提供其身份证； 2、财务状况报告：提供2024年度或2025年度经审计的完整有效财务报告(成立时间至响应文件递交截止时间不足一年的可提供成立后任意时段的资产负债表)，或其响应文件递交截止时间前六个月内基本开户银行出具的资信证明并附开户基本信息，或信用担保机构出具的投标担保函(以上三种形式的资料提供任何一种即可)。 3、社保缴纳证明：提供响应文件递交截止时间前一年内任意一个月的社会保障资金缴存单据或社保机构开具的社会保险参保缴费情况证明；依法不需要缴纳社会保障资金的供应商应提供相关证明文件。 4、提供响应文件递交截止时间前一年内任意一个月的依法缴纳税收的相关凭据(时间以税款所属日期为准)，凭据应有税务机关或代收机关的公章或业务专用章；依法免税或无须缴纳税收的供应商，应提供相应证明文件。 5、具有履行合同所必需的设备和专业技术能力的书面承诺。 6、提供参加政府采购活动前三年内在经营活动中没有重大违法记录的书面声明。 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完整有效财务报告(成立时间至响应文件递交截止时间不足一年的可提供成立后任意时段的资产负债表)，或其响应文件递交截止时间前六个月内基本开户银行出具的资信证明并附开户基本信息，或信用担保机构出具的投标担保函(以上三种形式的资料提供任何一种即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供应商主体要求</w:t>
            </w:r>
          </w:p>
        </w:tc>
        <w:tc>
          <w:tcPr>
            <w:tcW w:type="dxa" w:w="3322"/>
          </w:tcPr>
          <w:p>
            <w:pPr>
              <w:pStyle w:val="null3"/>
            </w:pPr>
            <w:r>
              <w:rPr>
                <w:rFonts w:ascii="仿宋_GB2312" w:hAnsi="仿宋_GB2312" w:cs="仿宋_GB2312" w:eastAsia="仿宋_GB2312"/>
              </w:rPr>
              <w:t>在中华人民共和国境内注册，且具有独立承担民事责任能力的法人、其他组织或者自然人。企业法人应提供合法有效的标识有统一社会信用代码的营业执照；其他组织应提供合法登记证明文件；自然人应提供其身份证；</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法定代表人授权书（附法定代表人、被授权人身份证复印件）及被授权人身份证复印件（法定代表人直接参加磋商，须提供法定代表人身份证明及身份证复印件）。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供应商信誉</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 http://zxgk.court.gov.cn）和重大税收违法失信主体名单的供应商，不得为中国政府采购网（www.ccgp.gov.cn）政府采购严重违法失信行为记录名单中被财政部门禁止参加政府采购活动的供应商。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非联合体响应</w:t>
            </w:r>
          </w:p>
        </w:tc>
        <w:tc>
          <w:tcPr>
            <w:tcW w:type="dxa" w:w="3322"/>
          </w:tcPr>
          <w:p>
            <w:pPr>
              <w:pStyle w:val="null3"/>
            </w:pPr>
            <w:r>
              <w:rPr>
                <w:rFonts w:ascii="仿宋_GB2312" w:hAnsi="仿宋_GB2312" w:cs="仿宋_GB2312" w:eastAsia="仿宋_GB2312"/>
              </w:rPr>
              <w:t>提供非联合体不分包响应声明。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1.在磋商过程中，根据《关于推动解决政府采购异常低价问题的通知》财库〔2026〕2号文件规定，磋商小组应当启动异常低价响应审查程序： 1）响应报价低于全部通过符合性审查供应商响应报价平均值50%的； 2）响应报价低于通过符合性审查的次低报价供应商响应报价50%的； 3）响应报价低于采购项目最高限价45%的； 4）评审委员会基于专业判断，认为供应商报价过低，有可能影响产品质量或者不能诚信履约的其他情形。 2.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不超过40分钟。其中，属于第3）项情形，供应商已随响应文件一并提交相关书面说明及必要的证明材料的，在评审现场可不再重复提交。 3.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4.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 采购人、采购代理机构应当为磋商小组在评审现场及时获取同类项目中标（成交）价格、类似产品市场价格水平、行业人工费用标准、国家有关部门指导行业协会发布的行业平均成本等相关信息资料提供便利。磋商小组借助互联网等渠道查询相关信息的，应当严格遵守评审工作纪律，不得实施影响评审公正的行为。</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符合磋商文件有关签署、盖章要求。</w:t>
            </w:r>
          </w:p>
        </w:tc>
        <w:tc>
          <w:tcPr>
            <w:tcW w:type="dxa" w:w="1661"/>
          </w:tcPr>
          <w:p>
            <w:pPr>
              <w:pStyle w:val="null3"/>
            </w:pPr>
            <w:r>
              <w:rPr>
                <w:rFonts w:ascii="仿宋_GB2312" w:hAnsi="仿宋_GB2312" w:cs="仿宋_GB2312" w:eastAsia="仿宋_GB2312"/>
              </w:rPr>
              <w:t>响应文件封面 残疾人福利性单位声明函 中小企业声明函 标的清单 响应函 其他内容.docx 资格证明文件.docx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只能有一个有效报价，不得提交选择性报价。按要求提交二次或多次报价，且每轮报价不超过采购预算金额或最高限价或磋商小组认为低于成本价的报价。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响应文件封面 中小企业声明函 残疾人福利性单位声明函 标的清单 响应函 其他内容.docx 资格证明文件.docx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应满足磋商文件中要求的有效期。</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标的清单 服务方案.docx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供应商配备 1 名本项目专项项目负责人，具备水利、计算机相关专业工作经验，本科及以上学历，持有相关专业高级及以上职称，得 6 分；须提供学历证书、对应专业职称证书、近 3 个月连续社保缴纳凭证，任一材料缺失本项不得分。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其他内容.docx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拟投入本项目的技术人员</w:t>
            </w:r>
          </w:p>
        </w:tc>
        <w:tc>
          <w:tcPr>
            <w:tcW w:type="dxa" w:w="2492"/>
          </w:tcPr>
          <w:p>
            <w:pPr>
              <w:pStyle w:val="null3"/>
            </w:pPr>
            <w:r>
              <w:rPr>
                <w:rFonts w:ascii="仿宋_GB2312" w:hAnsi="仿宋_GB2312" w:cs="仿宋_GB2312" w:eastAsia="仿宋_GB2312"/>
              </w:rPr>
              <w:t>供应商为本项目配置相关专业技术人员：中级职称人员每 1 名得 1 分，高级及以上职称人员每 1 名得 2 分，本项最高 22 分。提供人员职称证书、近 3 个月连续社保缴纳凭证，材料不全对应人员不计分。 备注：1. 项目负责人不纳入本项计分；2. 同一人员仅计一次分值，一人多岗、多专业不重复得分；</w:t>
            </w:r>
          </w:p>
        </w:tc>
        <w:tc>
          <w:tcPr>
            <w:tcW w:type="dxa" w:w="831"/>
          </w:tcPr>
          <w:p>
            <w:pPr>
              <w:pStyle w:val="null3"/>
              <w:jc w:val="right"/>
            </w:pPr>
            <w:r>
              <w:rPr>
                <w:rFonts w:ascii="仿宋_GB2312" w:hAnsi="仿宋_GB2312" w:cs="仿宋_GB2312" w:eastAsia="仿宋_GB2312"/>
              </w:rPr>
              <w:t>22.0000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其他内容.docx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供应商自2022年7月1日以来承接过的类似项目业绩，每个得3分，满分12分。（以合同或中标/成交通知书扫描件加盖公章为准）。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其他内容.docx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供应商出具售后服务响应时效承诺函：承诺接到采购人GIS 地图、灾害数据库、应急平台对接故障、风险台账数据异常报修通知后，24 小时内响应、48 小时内抵达现场处置，得 3分；承诺 12 小时内响应、24 小时内到达现场处置，得 5 分。未提供承诺函本项不得分。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其他内容.docx</w:t>
            </w:r>
          </w:p>
        </w:tc>
      </w:tr>
      <w:tr>
        <w:tc>
          <w:tcPr>
            <w:tcW w:type="dxa" w:w="831"/>
            <w:vMerge/>
          </w:tcPr>
          <w:p/>
        </w:tc>
        <w:tc>
          <w:tcPr>
            <w:tcW w:type="dxa" w:w="1661"/>
          </w:tcPr>
          <w:p>
            <w:pPr>
              <w:pStyle w:val="null3"/>
            </w:pPr>
            <w:r>
              <w:rPr>
                <w:rFonts w:ascii="仿宋_GB2312" w:hAnsi="仿宋_GB2312" w:cs="仿宋_GB2312" w:eastAsia="仿宋_GB2312"/>
              </w:rPr>
              <w:t>项目总体理解及规划</w:t>
            </w:r>
          </w:p>
        </w:tc>
        <w:tc>
          <w:tcPr>
            <w:tcW w:type="dxa" w:w="2492"/>
          </w:tcPr>
          <w:p>
            <w:pPr>
              <w:pStyle w:val="null3"/>
            </w:pPr>
            <w:r>
              <w:rPr>
                <w:rFonts w:ascii="仿宋_GB2312" w:hAnsi="仿宋_GB2312" w:cs="仿宋_GB2312" w:eastAsia="仿宋_GB2312"/>
              </w:rPr>
              <w:t>针对本项目提供详细的项目总体理解及规划，包括但不限于 ①对本项目的整体概况认知； ②对本项目的理解； ③项目总体策划方案。 评审标准 1、完善性：方案必须全面，对评审内容中的各项要求有详细阐述； 2、可实施性：切合本项目实际情况，提出步骤清晰、合理的方案； 3、针对性：方案能够紧扣项目实际情况，内容科学合理。 上述3项评审内容全部满足评审标准得15分，每有一个评审内容缺项扣5分，每有一项评审内容存在缺陷，扣0.5分，扣完为止。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其他内容.docx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针对本项目提供详细的实施方案，包括但不限于： ①野外踏勘与测绘实施方案； ②GIS 数据采集、建库及成果管理方案； ③平台集成调试故障应急处置方案； ④人员配置、驻场运维及数据安全管控方案。 评审标准 1.完善性：方案必须全面，对评审内容中的各项要求有详细阐述； 2.可实施性：切合本项目实际情况，提出步骤清晰、合理的方案； 3.针对性：方案能够紧扣项目实际情况，内容科学合理。 上述4项评审内容全部满足评审标准得8分，每有一个评审内容缺项扣2分，每有一项评审内容存在缺陷，扣0.5分，扣完为止。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其他内容.docx</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针对本项目提供详细的保障措施，包括但不限于： ①进度计划安排； ②进度保障措施； ③工期滞后应急补救保障措施； 评审标准 1.完善性：方案必须全面，对评审内容中的各项要求有详细阐述； 2.可实施性：切合本项目实际情况，提出步骤清晰、合理的方案； 3.针对性：方案能够紧扣项目实际情况，内容科学合理。 上述3项评审内容全部满足评审标准得9分，每有一个评审内容缺项扣3分，每有一项评审内容存在缺陷，扣0.5分，扣完为止。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其他内容.docx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针对本项目提供详细的服务承诺，包括但不限于： ①质量控制措施； ②制定完善的各项规章制度等内容； ③针对本项目的质量保证承诺。④故障售后、定期数据复盘、运维优化跟进服务承诺 评审标准 1.完善性：方案必须全面，对评审内容中的各项要求有详细阐述； 2.可实施性：切合本项目实际情况，提出步骤清晰、合理的方案； 3.针对性：方案能够紧扣项目实际情况，内容科学合理。 上述4项评审内容全部满足评审标准得8分，每有一个评审内容缺项扣2分，每有一项评审内容存在缺陷，扣0.5分，扣完为止。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其他内容.docx</w:t>
            </w:r>
          </w:p>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满足磋商文件要求且最后报价最低的供应商的价格为磋商基准价。各供应商的价格分统一按照下列公式计算：磋商报价得分=（磋商基准价/最后磋商报价）×价格分。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详见附件：其他内容.docx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