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2240B">
      <w:pPr>
        <w:rPr>
          <w:rFonts w:hint="eastAsia" w:ascii="黑体" w:eastAsia="黑体"/>
          <w:b/>
          <w:color w:val="auto"/>
          <w:sz w:val="32"/>
          <w:szCs w:val="32"/>
        </w:rPr>
      </w:pPr>
      <w:r>
        <w:rPr>
          <w:rFonts w:hint="eastAsia" w:ascii="黑体" w:eastAsia="黑体"/>
          <w:b/>
          <w:color w:val="auto"/>
          <w:sz w:val="32"/>
          <w:szCs w:val="32"/>
        </w:rPr>
        <w:t>政府采购项目</w:t>
      </w:r>
    </w:p>
    <w:p w14:paraId="6B48C1E9">
      <w:pPr>
        <w:jc w:val="center"/>
        <w:rPr>
          <w:rFonts w:hint="eastAsia" w:ascii="黑体" w:eastAsia="黑体"/>
          <w:color w:val="auto"/>
          <w:sz w:val="52"/>
          <w:szCs w:val="52"/>
        </w:rPr>
      </w:pPr>
    </w:p>
    <w:p w14:paraId="0D2CF735">
      <w:pPr>
        <w:jc w:val="center"/>
        <w:rPr>
          <w:rFonts w:hint="eastAsia" w:ascii="黑体" w:eastAsia="黑体"/>
          <w:color w:val="auto"/>
          <w:sz w:val="52"/>
          <w:szCs w:val="52"/>
        </w:rPr>
      </w:pPr>
    </w:p>
    <w:p w14:paraId="7DB7926C">
      <w:pPr>
        <w:jc w:val="center"/>
        <w:rPr>
          <w:rFonts w:hint="eastAsia" w:ascii="黑体" w:eastAsia="黑体"/>
          <w:b/>
          <w:color w:val="auto"/>
          <w:sz w:val="52"/>
          <w:szCs w:val="52"/>
        </w:rPr>
      </w:pPr>
      <w:r>
        <w:rPr>
          <w:rFonts w:hint="eastAsia" w:ascii="黑体" w:eastAsia="黑体"/>
          <w:b/>
          <w:color w:val="auto"/>
          <w:sz w:val="52"/>
          <w:szCs w:val="52"/>
        </w:rPr>
        <w:t>西安市2026年防汛重点灾害点调查项目</w:t>
      </w:r>
    </w:p>
    <w:p w14:paraId="2C214D8E">
      <w:pPr>
        <w:jc w:val="center"/>
        <w:rPr>
          <w:rFonts w:hint="eastAsia" w:ascii="黑体" w:eastAsia="黑体"/>
          <w:b/>
          <w:color w:val="auto"/>
          <w:sz w:val="72"/>
          <w:szCs w:val="72"/>
        </w:rPr>
      </w:pPr>
      <w:r>
        <w:rPr>
          <w:rFonts w:hint="eastAsia" w:ascii="黑体" w:eastAsia="黑体"/>
          <w:b/>
          <w:color w:val="auto"/>
          <w:sz w:val="72"/>
          <w:szCs w:val="72"/>
        </w:rPr>
        <w:t>服 务 合 同</w:t>
      </w:r>
    </w:p>
    <w:p w14:paraId="2D9591E2">
      <w:pPr>
        <w:jc w:val="center"/>
        <w:rPr>
          <w:rFonts w:hint="eastAsia" w:ascii="黑体" w:eastAsia="黑体"/>
          <w:color w:val="auto"/>
          <w:sz w:val="30"/>
          <w:szCs w:val="30"/>
        </w:rPr>
      </w:pPr>
      <w:r>
        <w:rPr>
          <w:rFonts w:hint="eastAsia" w:ascii="黑体" w:eastAsia="黑体"/>
          <w:color w:val="auto"/>
          <w:sz w:val="30"/>
          <w:szCs w:val="30"/>
        </w:rPr>
        <w:t>（编号：ZZZC2026-045）</w:t>
      </w:r>
    </w:p>
    <w:p w14:paraId="547A2BDC">
      <w:pPr>
        <w:jc w:val="center"/>
        <w:rPr>
          <w:rFonts w:hint="eastAsia" w:ascii="黑体" w:eastAsia="黑体"/>
          <w:color w:val="auto"/>
          <w:sz w:val="30"/>
          <w:szCs w:val="30"/>
        </w:rPr>
      </w:pPr>
    </w:p>
    <w:p w14:paraId="35AB3DF8">
      <w:pPr>
        <w:jc w:val="center"/>
        <w:rPr>
          <w:rFonts w:hint="eastAsia" w:ascii="黑体" w:eastAsia="黑体"/>
          <w:color w:val="auto"/>
          <w:sz w:val="30"/>
          <w:szCs w:val="30"/>
        </w:rPr>
      </w:pPr>
    </w:p>
    <w:p w14:paraId="64DE2CCC">
      <w:pPr>
        <w:jc w:val="center"/>
        <w:rPr>
          <w:rFonts w:hint="eastAsia" w:ascii="黑体" w:eastAsia="黑体"/>
          <w:color w:val="auto"/>
          <w:sz w:val="30"/>
          <w:szCs w:val="30"/>
        </w:rPr>
      </w:pPr>
    </w:p>
    <w:p w14:paraId="266218CE">
      <w:pPr>
        <w:jc w:val="center"/>
        <w:rPr>
          <w:rFonts w:hint="eastAsia" w:ascii="黑体" w:eastAsia="黑体"/>
          <w:color w:val="auto"/>
          <w:sz w:val="30"/>
          <w:szCs w:val="30"/>
        </w:rPr>
      </w:pPr>
    </w:p>
    <w:p w14:paraId="0D4341DD">
      <w:pPr>
        <w:jc w:val="center"/>
        <w:rPr>
          <w:rFonts w:hint="eastAsia" w:ascii="黑体" w:eastAsia="黑体"/>
          <w:color w:val="auto"/>
          <w:sz w:val="30"/>
          <w:szCs w:val="30"/>
        </w:rPr>
      </w:pPr>
    </w:p>
    <w:p w14:paraId="67837CC0">
      <w:pPr>
        <w:jc w:val="center"/>
        <w:rPr>
          <w:rFonts w:hint="eastAsia" w:ascii="黑体" w:eastAsia="黑体"/>
          <w:color w:val="auto"/>
          <w:sz w:val="30"/>
          <w:szCs w:val="30"/>
        </w:rPr>
      </w:pPr>
    </w:p>
    <w:p w14:paraId="55BBCFC6">
      <w:pPr>
        <w:jc w:val="center"/>
        <w:rPr>
          <w:rFonts w:hint="eastAsia" w:ascii="黑体" w:eastAsia="黑体"/>
          <w:color w:val="auto"/>
          <w:sz w:val="28"/>
          <w:szCs w:val="28"/>
        </w:rPr>
      </w:pPr>
    </w:p>
    <w:p w14:paraId="7C2F5D13">
      <w:pPr>
        <w:jc w:val="center"/>
        <w:rPr>
          <w:rFonts w:hint="eastAsia" w:ascii="黑体" w:eastAsia="黑体"/>
          <w:color w:val="auto"/>
          <w:sz w:val="30"/>
          <w:szCs w:val="30"/>
        </w:rPr>
      </w:pPr>
    </w:p>
    <w:p w14:paraId="6C1BB32B">
      <w:pPr>
        <w:jc w:val="center"/>
        <w:rPr>
          <w:rFonts w:hint="eastAsia" w:ascii="黑体" w:eastAsia="黑体"/>
          <w:color w:val="auto"/>
          <w:sz w:val="30"/>
          <w:szCs w:val="30"/>
        </w:rPr>
      </w:pPr>
    </w:p>
    <w:p w14:paraId="47F23551">
      <w:pPr>
        <w:jc w:val="center"/>
        <w:rPr>
          <w:rFonts w:hint="eastAsia" w:ascii="黑体" w:eastAsia="黑体"/>
          <w:color w:val="auto"/>
          <w:sz w:val="30"/>
          <w:szCs w:val="30"/>
        </w:rPr>
      </w:pPr>
    </w:p>
    <w:p w14:paraId="28A92A97">
      <w:pPr>
        <w:ind w:firstLine="2124" w:firstLineChars="664"/>
        <w:rPr>
          <w:rFonts w:hint="eastAsia" w:ascii="黑体" w:eastAsia="黑体"/>
          <w:color w:val="auto"/>
          <w:sz w:val="32"/>
          <w:szCs w:val="32"/>
        </w:rPr>
      </w:pPr>
      <w:r>
        <w:rPr>
          <w:rFonts w:hint="eastAsia" w:ascii="黑体" w:eastAsia="黑体"/>
          <w:color w:val="auto"/>
          <w:sz w:val="32"/>
          <w:szCs w:val="32"/>
        </w:rPr>
        <w:t>甲  方：西安市应急管理局</w:t>
      </w:r>
    </w:p>
    <w:p w14:paraId="0626FF2E">
      <w:pPr>
        <w:tabs>
          <w:tab w:val="left" w:pos="480"/>
        </w:tabs>
        <w:ind w:firstLine="2124" w:firstLineChars="664"/>
        <w:rPr>
          <w:rFonts w:hint="eastAsia" w:ascii="黑体" w:hAnsi="宋体" w:eastAsia="黑体"/>
          <w:color w:val="auto"/>
          <w:sz w:val="32"/>
          <w:szCs w:val="32"/>
        </w:rPr>
      </w:pPr>
      <w:r>
        <w:rPr>
          <w:rFonts w:hint="eastAsia" w:ascii="黑体" w:eastAsia="黑体"/>
          <w:color w:val="auto"/>
          <w:sz w:val="32"/>
          <w:szCs w:val="32"/>
        </w:rPr>
        <w:t>乙  方：</w:t>
      </w:r>
    </w:p>
    <w:p w14:paraId="664EAB6E">
      <w:pPr>
        <w:tabs>
          <w:tab w:val="left" w:pos="480"/>
        </w:tabs>
        <w:ind w:firstLine="2133" w:firstLineChars="664"/>
        <w:rPr>
          <w:rFonts w:hint="eastAsia" w:ascii="黑体" w:hAnsi="宋体" w:eastAsia="黑体"/>
          <w:color w:val="auto"/>
          <w:sz w:val="32"/>
          <w:szCs w:val="32"/>
        </w:rPr>
      </w:pPr>
      <w:r>
        <w:rPr>
          <w:rFonts w:hint="eastAsia" w:ascii="宋体" w:hAnsi="宋体"/>
          <w:b/>
          <w:color w:val="auto"/>
          <w:sz w:val="32"/>
          <w:szCs w:val="21"/>
        </w:rPr>
        <w:t>鉴证</w:t>
      </w:r>
      <w:r>
        <w:rPr>
          <w:rFonts w:hint="eastAsia" w:ascii="黑体" w:eastAsia="黑体"/>
          <w:color w:val="auto"/>
          <w:sz w:val="32"/>
          <w:szCs w:val="32"/>
        </w:rPr>
        <w:t>方：中招(陕西)项目管理有限公司</w:t>
      </w:r>
    </w:p>
    <w:p w14:paraId="5E9C5E89">
      <w:pPr>
        <w:ind w:firstLine="2118" w:firstLineChars="662"/>
        <w:rPr>
          <w:rFonts w:hint="eastAsia" w:ascii="黑体" w:eastAsia="黑体"/>
          <w:color w:val="auto"/>
          <w:sz w:val="32"/>
          <w:szCs w:val="32"/>
        </w:rPr>
      </w:pPr>
    </w:p>
    <w:p w14:paraId="04AA6530">
      <w:pPr>
        <w:jc w:val="center"/>
        <w:rPr>
          <w:rFonts w:hint="eastAsia" w:ascii="黑体" w:eastAsia="黑体"/>
          <w:color w:val="auto"/>
          <w:sz w:val="30"/>
          <w:szCs w:val="30"/>
        </w:rPr>
      </w:pPr>
    </w:p>
    <w:p w14:paraId="527FD4F4">
      <w:pPr>
        <w:jc w:val="center"/>
        <w:rPr>
          <w:rFonts w:hint="default" w:ascii="黑体" w:eastAsia="黑体"/>
          <w:color w:val="auto"/>
          <w:sz w:val="32"/>
          <w:szCs w:val="32"/>
          <w:lang w:val="en-US" w:eastAsia="zh-CN"/>
        </w:rPr>
      </w:pPr>
      <w:r>
        <w:rPr>
          <w:rFonts w:hint="eastAsia" w:ascii="黑体" w:eastAsia="黑体"/>
          <w:color w:val="auto"/>
          <w:sz w:val="32"/>
          <w:szCs w:val="32"/>
          <w:lang w:val="en-US" w:eastAsia="zh-CN"/>
        </w:rPr>
        <w:t xml:space="preserve"> </w:t>
      </w:r>
      <w:r>
        <w:rPr>
          <w:rFonts w:hint="eastAsia" w:ascii="黑体" w:eastAsia="黑体"/>
          <w:color w:val="auto"/>
          <w:sz w:val="32"/>
          <w:szCs w:val="32"/>
        </w:rPr>
        <w:t>年</w:t>
      </w:r>
      <w:r>
        <w:rPr>
          <w:rFonts w:hint="eastAsia" w:ascii="黑体" w:eastAsia="黑体"/>
          <w:color w:val="auto"/>
          <w:sz w:val="32"/>
          <w:szCs w:val="32"/>
          <w:lang w:val="en-US" w:eastAsia="zh-CN"/>
        </w:rPr>
        <w:t xml:space="preserve">  </w:t>
      </w:r>
      <w:r>
        <w:rPr>
          <w:rFonts w:hint="eastAsia" w:ascii="黑体" w:eastAsia="黑体"/>
          <w:color w:val="auto"/>
          <w:sz w:val="32"/>
          <w:szCs w:val="32"/>
        </w:rPr>
        <w:t>月</w:t>
      </w:r>
      <w:r>
        <w:rPr>
          <w:rFonts w:hint="eastAsia" w:ascii="黑体" w:eastAsia="黑体"/>
          <w:color w:val="auto"/>
          <w:sz w:val="32"/>
          <w:szCs w:val="32"/>
          <w:lang w:val="en-US" w:eastAsia="zh-CN"/>
        </w:rPr>
        <w:t xml:space="preserve">  日</w:t>
      </w:r>
    </w:p>
    <w:p w14:paraId="60A796A8">
      <w:pPr>
        <w:jc w:val="center"/>
        <w:rPr>
          <w:rFonts w:hint="eastAsia" w:ascii="黑体" w:eastAsia="黑体"/>
          <w:color w:val="auto"/>
          <w:sz w:val="32"/>
          <w:szCs w:val="32"/>
        </w:rPr>
      </w:pPr>
      <w:r>
        <w:rPr>
          <w:rFonts w:hint="eastAsia" w:ascii="黑体" w:eastAsia="黑体"/>
          <w:color w:val="auto"/>
          <w:sz w:val="32"/>
          <w:szCs w:val="32"/>
        </w:rPr>
        <w:t>中国  西安</w:t>
      </w:r>
    </w:p>
    <w:p w14:paraId="57A558CD">
      <w:pPr>
        <w:jc w:val="center"/>
        <w:rPr>
          <w:rFonts w:hint="eastAsia" w:ascii="黑体" w:eastAsia="黑体"/>
          <w:b/>
          <w:color w:val="auto"/>
          <w:sz w:val="36"/>
          <w:szCs w:val="36"/>
        </w:rPr>
      </w:pPr>
      <w:r>
        <w:rPr>
          <w:rFonts w:hint="eastAsia" w:ascii="黑体" w:eastAsia="黑体"/>
          <w:b/>
          <w:color w:val="auto"/>
          <w:sz w:val="36"/>
          <w:szCs w:val="36"/>
        </w:rPr>
        <w:br w:type="page"/>
      </w:r>
    </w:p>
    <w:p w14:paraId="35306753">
      <w:pPr>
        <w:jc w:val="center"/>
        <w:rPr>
          <w:rFonts w:hint="eastAsia" w:ascii="黑体" w:eastAsia="黑体"/>
          <w:b/>
          <w:color w:val="auto"/>
          <w:sz w:val="36"/>
          <w:szCs w:val="36"/>
        </w:rPr>
      </w:pPr>
      <w:r>
        <w:rPr>
          <w:rFonts w:hint="eastAsia" w:ascii="黑体" w:eastAsia="黑体"/>
          <w:b/>
          <w:color w:val="auto"/>
          <w:sz w:val="36"/>
          <w:szCs w:val="36"/>
        </w:rPr>
        <w:t>服 务 合 同</w:t>
      </w:r>
    </w:p>
    <w:p w14:paraId="624FC25C">
      <w:pPr>
        <w:jc w:val="center"/>
        <w:rPr>
          <w:rFonts w:hint="eastAsia" w:ascii="黑体" w:eastAsia="黑体"/>
          <w:b w:val="0"/>
          <w:bCs/>
          <w:color w:val="auto"/>
          <w:sz w:val="21"/>
          <w:szCs w:val="21"/>
          <w:lang w:eastAsia="zh-CN"/>
        </w:rPr>
      </w:pPr>
      <w:r>
        <w:rPr>
          <w:rFonts w:hint="eastAsia" w:ascii="黑体" w:eastAsia="黑体"/>
          <w:b w:val="0"/>
          <w:bCs/>
          <w:color w:val="auto"/>
          <w:sz w:val="21"/>
          <w:szCs w:val="21"/>
          <w:lang w:eastAsia="zh-CN"/>
        </w:rPr>
        <w:t>（</w:t>
      </w:r>
      <w:r>
        <w:rPr>
          <w:rFonts w:hint="eastAsia" w:ascii="黑体" w:eastAsia="黑体"/>
          <w:b w:val="0"/>
          <w:bCs/>
          <w:color w:val="auto"/>
          <w:sz w:val="21"/>
          <w:szCs w:val="21"/>
          <w:lang w:val="en-US" w:eastAsia="zh-CN"/>
        </w:rPr>
        <w:t>仅供参考 具体以实际签订内容为准</w:t>
      </w:r>
      <w:r>
        <w:rPr>
          <w:rFonts w:hint="eastAsia" w:ascii="黑体" w:eastAsia="黑体"/>
          <w:b w:val="0"/>
          <w:bCs/>
          <w:color w:val="auto"/>
          <w:sz w:val="21"/>
          <w:szCs w:val="21"/>
          <w:lang w:eastAsia="zh-CN"/>
        </w:rPr>
        <w:t>）</w:t>
      </w:r>
    </w:p>
    <w:p w14:paraId="624C093E">
      <w:pPr>
        <w:spacing w:line="400" w:lineRule="exact"/>
        <w:ind w:firstLine="560" w:firstLineChars="200"/>
        <w:rPr>
          <w:rFonts w:ascii="Calibri Light" w:hAnsi="Calibri Light" w:eastAsia="仿宋"/>
          <w:color w:val="auto"/>
          <w:sz w:val="28"/>
        </w:rPr>
      </w:pPr>
      <w:r>
        <w:rPr>
          <w:rFonts w:hint="eastAsia" w:ascii="Calibri Light" w:hAnsi="Calibri Light" w:eastAsia="仿宋"/>
          <w:color w:val="auto"/>
          <w:sz w:val="28"/>
        </w:rPr>
        <w:t>甲方：</w:t>
      </w:r>
      <w:r>
        <w:rPr>
          <w:rFonts w:hint="eastAsia" w:ascii="Calibri Light" w:hAnsi="Calibri Light" w:eastAsia="仿宋"/>
          <w:b/>
          <w:color w:val="auto"/>
          <w:sz w:val="28"/>
        </w:rPr>
        <w:t>西安市应急管理局</w:t>
      </w:r>
    </w:p>
    <w:p w14:paraId="223172FC">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乙方：</w:t>
      </w:r>
    </w:p>
    <w:p w14:paraId="630FC785">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鉴证方：</w:t>
      </w:r>
      <w:r>
        <w:rPr>
          <w:rFonts w:hint="eastAsia" w:ascii="Calibri Light" w:hAnsi="Calibri Light" w:eastAsia="仿宋"/>
          <w:b/>
          <w:color w:val="auto"/>
          <w:sz w:val="28"/>
        </w:rPr>
        <w:t>中招(陕西)项目管理有限公司</w:t>
      </w:r>
    </w:p>
    <w:p w14:paraId="451D2941">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按照政府采购程序组织</w:t>
      </w:r>
      <w:r>
        <w:rPr>
          <w:rFonts w:hint="default" w:ascii="Calibri Light" w:hAnsi="Calibri Light" w:eastAsia="仿宋"/>
          <w:color w:val="auto"/>
          <w:sz w:val="28"/>
        </w:rPr>
        <w:t>竞争性磋商</w:t>
      </w:r>
      <w:r>
        <w:rPr>
          <w:rFonts w:hint="eastAsia" w:ascii="Calibri Light" w:hAnsi="Calibri Light" w:eastAsia="仿宋"/>
          <w:color w:val="auto"/>
          <w:sz w:val="28"/>
        </w:rPr>
        <w:t>，确定乙方为西安市2026年防汛重点灾害点调查项目（项目编号：ZZZC2026-045）</w:t>
      </w:r>
      <w:r>
        <w:rPr>
          <w:rFonts w:hint="default" w:ascii="Calibri Light" w:hAnsi="Calibri Light" w:eastAsia="仿宋"/>
          <w:color w:val="auto"/>
          <w:sz w:val="28"/>
        </w:rPr>
        <w:t>成交</w:t>
      </w:r>
      <w:r>
        <w:rPr>
          <w:rFonts w:hint="eastAsia" w:ascii="Calibri Light" w:hAnsi="Calibri Light" w:eastAsia="仿宋"/>
          <w:color w:val="auto"/>
          <w:sz w:val="28"/>
        </w:rPr>
        <w:t>供应商。依据《中华人民共和国政府采购法》、《中华人民共和国</w:t>
      </w:r>
      <w:r>
        <w:rPr>
          <w:rFonts w:hint="eastAsia" w:ascii="Calibri Light" w:hAnsi="Calibri Light" w:eastAsia="仿宋"/>
          <w:color w:val="auto"/>
          <w:sz w:val="28"/>
          <w:lang w:val="en-US" w:eastAsia="zh-Hans"/>
        </w:rPr>
        <w:t>民法典</w:t>
      </w:r>
      <w:r>
        <w:rPr>
          <w:rFonts w:hint="eastAsia" w:ascii="Calibri Light" w:hAnsi="Calibri Light" w:eastAsia="仿宋"/>
          <w:color w:val="auto"/>
          <w:sz w:val="28"/>
        </w:rPr>
        <w:t>》以及</w:t>
      </w:r>
      <w:r>
        <w:rPr>
          <w:rFonts w:hint="default" w:ascii="Calibri Light" w:hAnsi="Calibri Light" w:eastAsia="仿宋"/>
          <w:color w:val="auto"/>
          <w:sz w:val="28"/>
        </w:rPr>
        <w:t>竞争性磋商文件</w:t>
      </w:r>
      <w:r>
        <w:rPr>
          <w:rFonts w:hint="eastAsia" w:ascii="Calibri Light" w:hAnsi="Calibri Light" w:eastAsia="仿宋"/>
          <w:color w:val="auto"/>
          <w:sz w:val="28"/>
        </w:rPr>
        <w:t>、</w:t>
      </w:r>
      <w:r>
        <w:rPr>
          <w:rFonts w:hint="default" w:ascii="Calibri Light" w:hAnsi="Calibri Light" w:eastAsia="仿宋"/>
          <w:color w:val="auto"/>
          <w:sz w:val="28"/>
        </w:rPr>
        <w:t>成交</w:t>
      </w:r>
      <w:r>
        <w:rPr>
          <w:rFonts w:hint="eastAsia" w:ascii="Calibri Light" w:hAnsi="Calibri Light" w:eastAsia="仿宋"/>
          <w:color w:val="auto"/>
          <w:sz w:val="28"/>
        </w:rPr>
        <w:t>通知书，经甲、乙双方协商，鉴证方确认，达成如下合同条款。</w:t>
      </w:r>
    </w:p>
    <w:p w14:paraId="7C5A1F43">
      <w:pPr>
        <w:tabs>
          <w:tab w:val="left" w:pos="480"/>
        </w:tabs>
        <w:ind w:firstLine="482" w:firstLineChars="200"/>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一、合同标的物内容及数量（以</w:t>
      </w:r>
      <w:r>
        <w:rPr>
          <w:rFonts w:hint="default" w:ascii="仿宋_GB2312" w:hAnsi="宋体" w:eastAsia="仿宋_GB2312"/>
          <w:b/>
          <w:color w:val="auto"/>
          <w:spacing w:val="-20"/>
          <w:kern w:val="0"/>
          <w:sz w:val="28"/>
          <w:szCs w:val="20"/>
        </w:rPr>
        <w:t>响应文件</w:t>
      </w:r>
      <w:r>
        <w:rPr>
          <w:rFonts w:hint="eastAsia" w:ascii="仿宋_GB2312" w:hAnsi="宋体" w:eastAsia="仿宋_GB2312"/>
          <w:b/>
          <w:color w:val="auto"/>
          <w:spacing w:val="-20"/>
          <w:kern w:val="0"/>
          <w:sz w:val="28"/>
          <w:szCs w:val="20"/>
        </w:rPr>
        <w:t>正本和澄清表〈函〉为准）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14:paraId="08B34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58A3C2F1">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序号</w:t>
            </w:r>
          </w:p>
        </w:tc>
        <w:tc>
          <w:tcPr>
            <w:tcW w:w="1311" w:type="dxa"/>
            <w:noWrap w:val="0"/>
            <w:vAlign w:val="center"/>
          </w:tcPr>
          <w:p w14:paraId="056E502F">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服务名称</w:t>
            </w:r>
          </w:p>
        </w:tc>
        <w:tc>
          <w:tcPr>
            <w:tcW w:w="1311" w:type="dxa"/>
            <w:noWrap w:val="0"/>
            <w:vAlign w:val="center"/>
          </w:tcPr>
          <w:p w14:paraId="5AEB7F2A">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服务内容</w:t>
            </w:r>
          </w:p>
        </w:tc>
        <w:tc>
          <w:tcPr>
            <w:tcW w:w="1311" w:type="dxa"/>
            <w:noWrap w:val="0"/>
            <w:vAlign w:val="center"/>
          </w:tcPr>
          <w:p w14:paraId="4461F93B">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计量单位</w:t>
            </w:r>
          </w:p>
        </w:tc>
        <w:tc>
          <w:tcPr>
            <w:tcW w:w="1312" w:type="dxa"/>
            <w:noWrap w:val="0"/>
            <w:vAlign w:val="center"/>
          </w:tcPr>
          <w:p w14:paraId="5D59C966">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服务时间</w:t>
            </w:r>
          </w:p>
        </w:tc>
        <w:tc>
          <w:tcPr>
            <w:tcW w:w="954" w:type="dxa"/>
            <w:noWrap w:val="0"/>
            <w:vAlign w:val="center"/>
          </w:tcPr>
          <w:p w14:paraId="5216406A">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数量</w:t>
            </w:r>
          </w:p>
        </w:tc>
        <w:tc>
          <w:tcPr>
            <w:tcW w:w="954" w:type="dxa"/>
            <w:noWrap w:val="0"/>
            <w:vAlign w:val="center"/>
          </w:tcPr>
          <w:p w14:paraId="45CB146B">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单价（元）</w:t>
            </w:r>
          </w:p>
        </w:tc>
        <w:tc>
          <w:tcPr>
            <w:tcW w:w="954" w:type="dxa"/>
            <w:noWrap w:val="0"/>
            <w:vAlign w:val="center"/>
          </w:tcPr>
          <w:p w14:paraId="5D7B1F47">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总价（元）</w:t>
            </w:r>
          </w:p>
        </w:tc>
      </w:tr>
      <w:tr w14:paraId="6B33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A7CB55B">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1</w:t>
            </w:r>
          </w:p>
        </w:tc>
        <w:tc>
          <w:tcPr>
            <w:tcW w:w="1311" w:type="dxa"/>
            <w:noWrap w:val="0"/>
            <w:vAlign w:val="center"/>
          </w:tcPr>
          <w:p w14:paraId="701299BA">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105961E6">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63A7445C">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1609BE91">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0D51A695">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46AD9DD9">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666904EE">
            <w:pPr>
              <w:tabs>
                <w:tab w:val="left" w:pos="480"/>
              </w:tabs>
              <w:jc w:val="center"/>
              <w:rPr>
                <w:rFonts w:hint="eastAsia" w:ascii="仿宋_GB2312" w:hAnsi="宋体" w:eastAsia="仿宋_GB2312"/>
                <w:color w:val="auto"/>
                <w:spacing w:val="-20"/>
                <w:kern w:val="0"/>
                <w:sz w:val="28"/>
                <w:szCs w:val="20"/>
              </w:rPr>
            </w:pPr>
          </w:p>
        </w:tc>
      </w:tr>
      <w:tr w14:paraId="4E4B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4A6C0B60">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2</w:t>
            </w:r>
          </w:p>
        </w:tc>
        <w:tc>
          <w:tcPr>
            <w:tcW w:w="1311" w:type="dxa"/>
            <w:noWrap w:val="0"/>
            <w:vAlign w:val="center"/>
          </w:tcPr>
          <w:p w14:paraId="0AF307EB">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23274B4F">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6376A53E">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160FBBC4">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3E7E6C0F">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537D2963">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5A79E716">
            <w:pPr>
              <w:tabs>
                <w:tab w:val="left" w:pos="480"/>
              </w:tabs>
              <w:jc w:val="center"/>
              <w:rPr>
                <w:rFonts w:hint="eastAsia" w:ascii="仿宋_GB2312" w:hAnsi="宋体" w:eastAsia="仿宋_GB2312"/>
                <w:color w:val="auto"/>
                <w:spacing w:val="-20"/>
                <w:kern w:val="0"/>
                <w:sz w:val="28"/>
                <w:szCs w:val="20"/>
              </w:rPr>
            </w:pPr>
          </w:p>
        </w:tc>
      </w:tr>
      <w:tr w14:paraId="1840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4AA26DD1">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3</w:t>
            </w:r>
          </w:p>
        </w:tc>
        <w:tc>
          <w:tcPr>
            <w:tcW w:w="1311" w:type="dxa"/>
            <w:noWrap w:val="0"/>
            <w:vAlign w:val="center"/>
          </w:tcPr>
          <w:p w14:paraId="52A6119D">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48984923">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71694448">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0316EC0E">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46ADFC0A">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72D5E2A0">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4DC3255D">
            <w:pPr>
              <w:tabs>
                <w:tab w:val="left" w:pos="480"/>
              </w:tabs>
              <w:jc w:val="center"/>
              <w:rPr>
                <w:rFonts w:hint="eastAsia" w:ascii="仿宋_GB2312" w:hAnsi="宋体" w:eastAsia="仿宋_GB2312"/>
                <w:color w:val="auto"/>
                <w:spacing w:val="-20"/>
                <w:kern w:val="0"/>
                <w:sz w:val="28"/>
                <w:szCs w:val="20"/>
              </w:rPr>
            </w:pPr>
          </w:p>
        </w:tc>
      </w:tr>
      <w:tr w14:paraId="0258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5B19628">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4</w:t>
            </w:r>
          </w:p>
        </w:tc>
        <w:tc>
          <w:tcPr>
            <w:tcW w:w="1311" w:type="dxa"/>
            <w:noWrap w:val="0"/>
            <w:vAlign w:val="center"/>
          </w:tcPr>
          <w:p w14:paraId="524C9349">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20641584">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7D7E7FFE">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73D09906">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2860CABC">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3A8FF029">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411B652B">
            <w:pPr>
              <w:tabs>
                <w:tab w:val="left" w:pos="480"/>
              </w:tabs>
              <w:jc w:val="center"/>
              <w:rPr>
                <w:rFonts w:hint="eastAsia" w:ascii="仿宋_GB2312" w:hAnsi="宋体" w:eastAsia="仿宋_GB2312"/>
                <w:color w:val="auto"/>
                <w:spacing w:val="-20"/>
                <w:kern w:val="0"/>
                <w:sz w:val="28"/>
                <w:szCs w:val="20"/>
              </w:rPr>
            </w:pPr>
          </w:p>
        </w:tc>
      </w:tr>
      <w:tr w14:paraId="76B0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522C504">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5</w:t>
            </w:r>
          </w:p>
        </w:tc>
        <w:tc>
          <w:tcPr>
            <w:tcW w:w="1311" w:type="dxa"/>
            <w:noWrap w:val="0"/>
            <w:vAlign w:val="center"/>
          </w:tcPr>
          <w:p w14:paraId="5A631576">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4E72B94E">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120B587B">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35575D84">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269845BA">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40D31BB9">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21E550F6">
            <w:pPr>
              <w:tabs>
                <w:tab w:val="left" w:pos="480"/>
              </w:tabs>
              <w:jc w:val="center"/>
              <w:rPr>
                <w:rFonts w:hint="eastAsia" w:ascii="仿宋_GB2312" w:hAnsi="宋体" w:eastAsia="仿宋_GB2312"/>
                <w:color w:val="auto"/>
                <w:spacing w:val="-20"/>
                <w:kern w:val="0"/>
                <w:sz w:val="28"/>
                <w:szCs w:val="20"/>
              </w:rPr>
            </w:pPr>
          </w:p>
        </w:tc>
      </w:tr>
      <w:tr w14:paraId="555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BCDDD9E">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6</w:t>
            </w:r>
          </w:p>
        </w:tc>
        <w:tc>
          <w:tcPr>
            <w:tcW w:w="1311" w:type="dxa"/>
            <w:noWrap w:val="0"/>
            <w:vAlign w:val="center"/>
          </w:tcPr>
          <w:p w14:paraId="36C36B45">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3C2001F4">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37A52C11">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52226503">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579BE9A3">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6AC617D0">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2021B14E">
            <w:pPr>
              <w:tabs>
                <w:tab w:val="left" w:pos="480"/>
              </w:tabs>
              <w:jc w:val="center"/>
              <w:rPr>
                <w:rFonts w:hint="eastAsia" w:ascii="仿宋_GB2312" w:hAnsi="宋体" w:eastAsia="仿宋_GB2312"/>
                <w:color w:val="auto"/>
                <w:spacing w:val="-20"/>
                <w:kern w:val="0"/>
                <w:sz w:val="28"/>
                <w:szCs w:val="20"/>
              </w:rPr>
            </w:pPr>
          </w:p>
        </w:tc>
      </w:tr>
      <w:tr w14:paraId="056D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CB1AD2E">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7</w:t>
            </w:r>
          </w:p>
        </w:tc>
        <w:tc>
          <w:tcPr>
            <w:tcW w:w="1311" w:type="dxa"/>
            <w:noWrap w:val="0"/>
            <w:vAlign w:val="center"/>
          </w:tcPr>
          <w:p w14:paraId="0AD7F0C2">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448E9368">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7F54D8D2">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1007AD88">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5ED25498">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5BDC67AD">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7FC5FCF0">
            <w:pPr>
              <w:tabs>
                <w:tab w:val="left" w:pos="480"/>
              </w:tabs>
              <w:jc w:val="center"/>
              <w:rPr>
                <w:rFonts w:hint="eastAsia" w:ascii="仿宋_GB2312" w:hAnsi="宋体" w:eastAsia="仿宋_GB2312"/>
                <w:color w:val="auto"/>
                <w:spacing w:val="-20"/>
                <w:kern w:val="0"/>
                <w:sz w:val="28"/>
                <w:szCs w:val="20"/>
              </w:rPr>
            </w:pPr>
          </w:p>
        </w:tc>
      </w:tr>
      <w:tr w14:paraId="3480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E8CFDEB">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8</w:t>
            </w:r>
          </w:p>
        </w:tc>
        <w:tc>
          <w:tcPr>
            <w:tcW w:w="1311" w:type="dxa"/>
            <w:noWrap w:val="0"/>
            <w:vAlign w:val="center"/>
          </w:tcPr>
          <w:p w14:paraId="356843EA">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6F10CC03">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5932F0D8">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52399061">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5B11A722">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01CC465E">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0A3FD7CF">
            <w:pPr>
              <w:tabs>
                <w:tab w:val="left" w:pos="480"/>
              </w:tabs>
              <w:jc w:val="center"/>
              <w:rPr>
                <w:rFonts w:hint="eastAsia" w:ascii="仿宋_GB2312" w:hAnsi="宋体" w:eastAsia="仿宋_GB2312"/>
                <w:color w:val="auto"/>
                <w:spacing w:val="-20"/>
                <w:kern w:val="0"/>
                <w:sz w:val="28"/>
                <w:szCs w:val="20"/>
              </w:rPr>
            </w:pPr>
          </w:p>
        </w:tc>
      </w:tr>
      <w:tr w14:paraId="52E0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42B62C5E">
            <w:pPr>
              <w:tabs>
                <w:tab w:val="left" w:pos="480"/>
              </w:tabs>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9</w:t>
            </w:r>
          </w:p>
        </w:tc>
        <w:tc>
          <w:tcPr>
            <w:tcW w:w="1311" w:type="dxa"/>
            <w:noWrap w:val="0"/>
            <w:vAlign w:val="center"/>
          </w:tcPr>
          <w:p w14:paraId="5E8D0F04">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35619D4A">
            <w:pPr>
              <w:tabs>
                <w:tab w:val="left" w:pos="480"/>
              </w:tabs>
              <w:jc w:val="center"/>
              <w:rPr>
                <w:rFonts w:hint="eastAsia" w:ascii="仿宋_GB2312" w:hAnsi="宋体" w:eastAsia="仿宋_GB2312"/>
                <w:color w:val="auto"/>
                <w:spacing w:val="-20"/>
                <w:kern w:val="0"/>
                <w:sz w:val="28"/>
                <w:szCs w:val="20"/>
              </w:rPr>
            </w:pPr>
          </w:p>
        </w:tc>
        <w:tc>
          <w:tcPr>
            <w:tcW w:w="1311" w:type="dxa"/>
            <w:noWrap w:val="0"/>
            <w:vAlign w:val="top"/>
          </w:tcPr>
          <w:p w14:paraId="79614420">
            <w:pPr>
              <w:tabs>
                <w:tab w:val="left" w:pos="480"/>
              </w:tabs>
              <w:jc w:val="center"/>
              <w:rPr>
                <w:rFonts w:hint="eastAsia" w:ascii="仿宋_GB2312" w:hAnsi="宋体" w:eastAsia="仿宋_GB2312"/>
                <w:color w:val="auto"/>
                <w:spacing w:val="-20"/>
                <w:kern w:val="0"/>
                <w:sz w:val="28"/>
                <w:szCs w:val="20"/>
              </w:rPr>
            </w:pPr>
          </w:p>
        </w:tc>
        <w:tc>
          <w:tcPr>
            <w:tcW w:w="1312" w:type="dxa"/>
            <w:noWrap w:val="0"/>
            <w:vAlign w:val="center"/>
          </w:tcPr>
          <w:p w14:paraId="1427B1BE">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7FCF2FDA">
            <w:pPr>
              <w:tabs>
                <w:tab w:val="left" w:pos="480"/>
              </w:tabs>
              <w:jc w:val="center"/>
              <w:rPr>
                <w:rFonts w:hint="eastAsia" w:ascii="仿宋_GB2312" w:hAnsi="宋体" w:eastAsia="仿宋_GB2312"/>
                <w:color w:val="auto"/>
                <w:spacing w:val="-20"/>
                <w:kern w:val="0"/>
                <w:sz w:val="28"/>
                <w:szCs w:val="20"/>
              </w:rPr>
            </w:pPr>
          </w:p>
        </w:tc>
        <w:tc>
          <w:tcPr>
            <w:tcW w:w="954" w:type="dxa"/>
            <w:noWrap w:val="0"/>
            <w:vAlign w:val="center"/>
          </w:tcPr>
          <w:p w14:paraId="25838D65">
            <w:pPr>
              <w:tabs>
                <w:tab w:val="left" w:pos="480"/>
              </w:tabs>
              <w:jc w:val="center"/>
              <w:rPr>
                <w:rFonts w:hint="eastAsia" w:ascii="仿宋_GB2312" w:hAnsi="宋体" w:eastAsia="仿宋_GB2312"/>
                <w:color w:val="auto"/>
                <w:spacing w:val="-20"/>
                <w:kern w:val="0"/>
                <w:sz w:val="28"/>
                <w:szCs w:val="20"/>
              </w:rPr>
            </w:pPr>
          </w:p>
        </w:tc>
        <w:tc>
          <w:tcPr>
            <w:tcW w:w="954" w:type="dxa"/>
            <w:noWrap w:val="0"/>
            <w:vAlign w:val="top"/>
          </w:tcPr>
          <w:p w14:paraId="515C3320">
            <w:pPr>
              <w:tabs>
                <w:tab w:val="left" w:pos="480"/>
              </w:tabs>
              <w:jc w:val="center"/>
              <w:rPr>
                <w:rFonts w:hint="eastAsia" w:ascii="仿宋_GB2312" w:hAnsi="宋体" w:eastAsia="仿宋_GB2312"/>
                <w:color w:val="auto"/>
                <w:spacing w:val="-20"/>
                <w:kern w:val="0"/>
                <w:sz w:val="28"/>
                <w:szCs w:val="20"/>
              </w:rPr>
            </w:pPr>
          </w:p>
        </w:tc>
      </w:tr>
      <w:tr w14:paraId="1BE2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02B5FC7">
            <w:pPr>
              <w:tabs>
                <w:tab w:val="left" w:pos="480"/>
              </w:tabs>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合计</w:t>
            </w:r>
          </w:p>
        </w:tc>
        <w:tc>
          <w:tcPr>
            <w:tcW w:w="8107" w:type="dxa"/>
            <w:gridSpan w:val="7"/>
            <w:noWrap w:val="0"/>
            <w:vAlign w:val="center"/>
          </w:tcPr>
          <w:p w14:paraId="7F2688A1">
            <w:pPr>
              <w:tabs>
                <w:tab w:val="left" w:pos="480"/>
              </w:tabs>
              <w:rPr>
                <w:rFonts w:hint="eastAsia" w:ascii="仿宋_GB2312" w:hAnsi="宋体" w:eastAsia="仿宋_GB2312"/>
                <w:color w:val="auto"/>
                <w:spacing w:val="-20"/>
                <w:kern w:val="0"/>
                <w:sz w:val="28"/>
                <w:szCs w:val="20"/>
              </w:rPr>
            </w:pPr>
          </w:p>
        </w:tc>
      </w:tr>
      <w:tr w14:paraId="3284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8C47B33">
            <w:pPr>
              <w:tabs>
                <w:tab w:val="left" w:pos="480"/>
              </w:tabs>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备注</w:t>
            </w:r>
          </w:p>
        </w:tc>
        <w:tc>
          <w:tcPr>
            <w:tcW w:w="8107" w:type="dxa"/>
            <w:gridSpan w:val="7"/>
            <w:noWrap w:val="0"/>
            <w:vAlign w:val="center"/>
          </w:tcPr>
          <w:p w14:paraId="38F3CA92">
            <w:pPr>
              <w:tabs>
                <w:tab w:val="left" w:pos="480"/>
              </w:tabs>
              <w:rPr>
                <w:rFonts w:hint="eastAsia" w:ascii="仿宋_GB2312" w:hAnsi="宋体" w:eastAsia="仿宋_GB2312"/>
                <w:color w:val="auto"/>
                <w:spacing w:val="-20"/>
                <w:kern w:val="0"/>
                <w:sz w:val="28"/>
                <w:szCs w:val="20"/>
              </w:rPr>
            </w:pPr>
          </w:p>
        </w:tc>
      </w:tr>
    </w:tbl>
    <w:p w14:paraId="5C2FBEE3">
      <w:pPr>
        <w:tabs>
          <w:tab w:val="left" w:pos="480"/>
        </w:tabs>
        <w:ind w:firstLine="470" w:firstLineChars="196"/>
        <w:rPr>
          <w:rFonts w:hint="eastAsia" w:ascii="仿宋_GB2312" w:hAnsi="宋体" w:eastAsia="仿宋_GB2312"/>
          <w:b w:val="0"/>
          <w:bCs/>
          <w:color w:val="auto"/>
          <w:spacing w:val="-20"/>
          <w:kern w:val="0"/>
          <w:sz w:val="28"/>
          <w:szCs w:val="20"/>
        </w:rPr>
      </w:pPr>
      <w:r>
        <w:rPr>
          <w:rFonts w:hint="eastAsia" w:ascii="仿宋_GB2312" w:hAnsi="宋体" w:eastAsia="仿宋_GB2312"/>
          <w:b w:val="0"/>
          <w:bCs/>
          <w:color w:val="auto"/>
          <w:spacing w:val="-20"/>
          <w:kern w:val="0"/>
          <w:sz w:val="28"/>
          <w:szCs w:val="20"/>
        </w:rPr>
        <w:t>（上表仅供参考，应根据项目具体内容修改填写，详细服务内容及明细标准可附附件或详见</w:t>
      </w:r>
      <w:r>
        <w:rPr>
          <w:rFonts w:hint="default" w:ascii="仿宋_GB2312" w:hAnsi="宋体" w:eastAsia="仿宋_GB2312"/>
          <w:b w:val="0"/>
          <w:bCs/>
          <w:color w:val="auto"/>
          <w:spacing w:val="-20"/>
          <w:kern w:val="0"/>
          <w:sz w:val="28"/>
          <w:szCs w:val="20"/>
        </w:rPr>
        <w:t>响应文件</w:t>
      </w:r>
      <w:r>
        <w:rPr>
          <w:rFonts w:hint="eastAsia" w:ascii="仿宋_GB2312" w:hAnsi="宋体" w:eastAsia="仿宋_GB2312"/>
          <w:b w:val="0"/>
          <w:bCs/>
          <w:color w:val="auto"/>
          <w:spacing w:val="-20"/>
          <w:kern w:val="0"/>
          <w:sz w:val="28"/>
          <w:szCs w:val="20"/>
        </w:rPr>
        <w:t>，需说明清楚）</w:t>
      </w:r>
      <w:bookmarkStart w:id="0" w:name="_GoBack"/>
      <w:bookmarkEnd w:id="0"/>
    </w:p>
    <w:p w14:paraId="57BDFCD7">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二、服务条件：</w:t>
      </w:r>
    </w:p>
    <w:p w14:paraId="35309940">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（一）服务地点：甲方指定地点。</w:t>
      </w:r>
    </w:p>
    <w:p w14:paraId="750ADC24">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（二）服务期：自合同签订之日起90个日历日。</w:t>
      </w:r>
    </w:p>
    <w:p w14:paraId="701046B7">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三、合同价款</w:t>
      </w:r>
    </w:p>
    <w:p w14:paraId="7B8DBD88">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（一）合同总价款为人民币（大写）</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元。</w:t>
      </w:r>
    </w:p>
    <w:p w14:paraId="03C79F00">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（二）合同总价包括：磋商成交总价包含现场踏勘测绘、数据建库、GIS 制图、平台对接、2 年质保运维、人工、设备、交通、税费、保险等全部完成本招标文件全部技术服务内容所需一切费用，采购人无需额外支付任何增项费用。</w:t>
      </w:r>
    </w:p>
    <w:p w14:paraId="33B75354">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（三）合同总价一次性包死，不受市场价格变化因素的影响。</w:t>
      </w:r>
    </w:p>
    <w:p w14:paraId="74C92CB3">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四、款项结算</w:t>
      </w:r>
    </w:p>
    <w:p w14:paraId="46036DA1">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lang w:eastAsia="zh-CN"/>
        </w:rPr>
        <w:t>（</w:t>
      </w:r>
      <w:r>
        <w:rPr>
          <w:rFonts w:hint="eastAsia" w:ascii="Calibri Light" w:hAnsi="Calibri Light" w:eastAsia="仿宋"/>
          <w:color w:val="auto"/>
          <w:sz w:val="28"/>
          <w:lang w:val="en-US" w:eastAsia="zh-CN"/>
        </w:rPr>
        <w:t>一</w:t>
      </w:r>
      <w:r>
        <w:rPr>
          <w:rFonts w:hint="eastAsia" w:ascii="Calibri Light" w:hAnsi="Calibri Light" w:eastAsia="仿宋"/>
          <w:color w:val="auto"/>
          <w:sz w:val="28"/>
          <w:lang w:eastAsia="zh-CN"/>
        </w:rPr>
        <w:t>）</w:t>
      </w:r>
      <w:r>
        <w:rPr>
          <w:rFonts w:hint="eastAsia" w:ascii="Calibri Light" w:hAnsi="Calibri Light" w:eastAsia="仿宋"/>
          <w:color w:val="auto"/>
          <w:sz w:val="28"/>
        </w:rPr>
        <w:t>预付款，合同签订、供应商开具等额合规发票，达到付款条件后，达到付款条件起15个⼯作⽇内，⽀付合同总⾦额的40.0%</w:t>
      </w:r>
    </w:p>
    <w:p w14:paraId="757037E5">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lang w:eastAsia="zh-CN"/>
        </w:rPr>
        <w:t>（</w:t>
      </w:r>
      <w:r>
        <w:rPr>
          <w:rFonts w:hint="eastAsia" w:ascii="Calibri Light" w:hAnsi="Calibri Light" w:eastAsia="仿宋"/>
          <w:color w:val="auto"/>
          <w:sz w:val="28"/>
          <w:lang w:val="en-US" w:eastAsia="zh-CN"/>
        </w:rPr>
        <w:t>二</w:t>
      </w:r>
      <w:r>
        <w:rPr>
          <w:rFonts w:hint="eastAsia" w:ascii="Calibri Light" w:hAnsi="Calibri Light" w:eastAsia="仿宋"/>
          <w:color w:val="auto"/>
          <w:sz w:val="28"/>
          <w:lang w:eastAsia="zh-CN"/>
        </w:rPr>
        <w:t>）</w:t>
      </w:r>
      <w:r>
        <w:rPr>
          <w:rFonts w:hint="eastAsia" w:ascii="Calibri Light" w:hAnsi="Calibri Light" w:eastAsia="仿宋"/>
          <w:color w:val="auto"/>
          <w:sz w:val="28"/>
        </w:rPr>
        <w:t>进度款，验收合格、供应商开具等额合规发票，达到付款条件后，达到付款条件起15个⼯作⽇内，⽀付合同总⾦额的60.0%</w:t>
      </w:r>
    </w:p>
    <w:p w14:paraId="5705CFCA">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（三）支付方式：银行转账。</w:t>
      </w:r>
    </w:p>
    <w:p w14:paraId="565C5CCE">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（四）结算方式：每次付款前乙方应向甲方提供合法有效的</w:t>
      </w:r>
      <w:r>
        <w:rPr>
          <w:rFonts w:hint="eastAsia" w:ascii="Calibri Light" w:hAnsi="Calibri Light" w:eastAsia="仿宋"/>
          <w:color w:val="auto"/>
          <w:sz w:val="28"/>
          <w:lang w:val="en-US" w:eastAsia="zh-CN"/>
        </w:rPr>
        <w:t>合规</w:t>
      </w:r>
      <w:r>
        <w:rPr>
          <w:rFonts w:hint="eastAsia" w:ascii="Calibri Light" w:hAnsi="Calibri Light" w:eastAsia="仿宋"/>
          <w:color w:val="auto"/>
          <w:sz w:val="28"/>
        </w:rPr>
        <w:t>发票。乙方持</w:t>
      </w:r>
      <w:r>
        <w:rPr>
          <w:rFonts w:hint="default" w:ascii="Calibri Light" w:hAnsi="Calibri Light" w:eastAsia="仿宋"/>
          <w:color w:val="auto"/>
          <w:sz w:val="28"/>
        </w:rPr>
        <w:t>成交</w:t>
      </w:r>
      <w:r>
        <w:rPr>
          <w:rFonts w:hint="eastAsia" w:ascii="Calibri Light" w:hAnsi="Calibri Light" w:eastAsia="仿宋"/>
          <w:color w:val="auto"/>
          <w:sz w:val="28"/>
        </w:rPr>
        <w:t>通知书、服务合同、发票，与甲方结算。</w:t>
      </w:r>
    </w:p>
    <w:p w14:paraId="1835DDC2">
      <w:pPr>
        <w:ind w:firstLine="482" w:firstLineChars="200"/>
        <w:rPr>
          <w:rFonts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五、双方的权利和义务</w:t>
      </w:r>
    </w:p>
    <w:p w14:paraId="699CFD3D">
      <w:pPr>
        <w:spacing w:line="400" w:lineRule="exact"/>
        <w:ind w:firstLine="560" w:firstLineChars="200"/>
        <w:rPr>
          <w:rFonts w:ascii="Calibri Light" w:hAnsi="Calibri Light" w:eastAsia="仿宋"/>
          <w:color w:val="auto"/>
          <w:sz w:val="28"/>
        </w:rPr>
      </w:pPr>
      <w:r>
        <w:rPr>
          <w:rFonts w:hint="eastAsia" w:ascii="Calibri Light" w:hAnsi="Calibri Light" w:eastAsia="仿宋"/>
          <w:color w:val="auto"/>
          <w:sz w:val="28"/>
        </w:rPr>
        <w:t>（一）甲方的权利和义务</w:t>
      </w:r>
    </w:p>
    <w:p w14:paraId="05FA34D9">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1.按合同规定向乙方支付费用。</w:t>
      </w:r>
    </w:p>
    <w:p w14:paraId="0CC3364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2.负责协调乙方工作过程中与本项目有关单位的配合问题。</w:t>
      </w:r>
    </w:p>
    <w:p w14:paraId="6E33934F">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3.在本合同委托运营期内，甲方有权对乙方的工作进行监督和检查。</w:t>
      </w:r>
    </w:p>
    <w:p w14:paraId="0D816F4B">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4.乙方提出影响水站正常运行的情况，甲方应积极配合处理，在此期间造成的损失由甲方负责。</w:t>
      </w:r>
    </w:p>
    <w:p w14:paraId="5D533387">
      <w:pPr>
        <w:spacing w:line="400" w:lineRule="exact"/>
        <w:ind w:firstLine="560" w:firstLineChars="200"/>
        <w:rPr>
          <w:rFonts w:ascii="Calibri Light" w:hAnsi="Calibri Light" w:eastAsia="仿宋"/>
          <w:color w:val="auto"/>
          <w:sz w:val="28"/>
        </w:rPr>
      </w:pPr>
      <w:r>
        <w:rPr>
          <w:rFonts w:hint="eastAsia" w:ascii="Calibri Light" w:hAnsi="Calibri Light" w:eastAsia="仿宋"/>
          <w:color w:val="auto"/>
          <w:sz w:val="28"/>
        </w:rPr>
        <w:t>（二）乙方的权利和义务</w:t>
      </w:r>
    </w:p>
    <w:p w14:paraId="15524859">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1、</w:t>
      </w:r>
      <w:r>
        <w:rPr>
          <w:rFonts w:hint="eastAsia" w:ascii="Calibri Light" w:hAnsi="Calibri Light" w:eastAsia="仿宋" w:cs="Times New Roman"/>
          <w:color w:val="auto"/>
          <w:sz w:val="28"/>
        </w:rPr>
        <w:t>严格按照磋商文件、响应文件、合同技术要求完成全部工作</w:t>
      </w:r>
    </w:p>
    <w:p w14:paraId="4468A0BB">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2、</w:t>
      </w:r>
      <w:r>
        <w:rPr>
          <w:rFonts w:hint="eastAsia" w:ascii="Calibri Light" w:hAnsi="Calibri Light" w:eastAsia="仿宋" w:cs="Times New Roman"/>
          <w:color w:val="auto"/>
          <w:sz w:val="28"/>
        </w:rPr>
        <w:t>按评审要求足额配置项目负责人、专业技术人员，项目负责人全程统筹本项目，不得擅自更换；确需更换须提前书面征得甲方同意，替换人员资质不得低于原人员标准。</w:t>
      </w:r>
    </w:p>
    <w:p w14:paraId="66BFEE42">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3、</w:t>
      </w:r>
      <w:r>
        <w:rPr>
          <w:rFonts w:hint="eastAsia" w:ascii="Calibri Light" w:hAnsi="Calibri Light" w:eastAsia="仿宋" w:cs="Times New Roman"/>
          <w:color w:val="auto"/>
          <w:sz w:val="28"/>
        </w:rPr>
        <w:t>自行承担项目全部成本：人员工资、测绘设备、交通、外业安全防护、数据处理、税费、2 年质保运维等所有费用，合同为固定总价包干，甲方不再额外支付任何费用。</w:t>
      </w:r>
    </w:p>
    <w:p w14:paraId="123422D5">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4、</w:t>
      </w:r>
      <w:r>
        <w:rPr>
          <w:rFonts w:hint="eastAsia" w:ascii="Calibri Light" w:hAnsi="Calibri Light" w:eastAsia="仿宋" w:cs="Times New Roman"/>
          <w:color w:val="auto"/>
          <w:sz w:val="28"/>
        </w:rPr>
        <w:t>保证所有测绘数据、调查信息真实准确，外业现场实地采集，严禁编造、篡改点位坐标、人员居住、灾害隐患信息；成果提交前完成自查校准，若数据存在错漏须无偿返工，直至验收合格，工期不予顺延。</w:t>
      </w:r>
    </w:p>
    <w:p w14:paraId="608B9201">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5、</w:t>
      </w:r>
      <w:r>
        <w:rPr>
          <w:rFonts w:hint="eastAsia" w:ascii="Calibri Light" w:hAnsi="Calibri Light" w:eastAsia="仿宋" w:cs="Times New Roman"/>
          <w:color w:val="auto"/>
          <w:sz w:val="28"/>
        </w:rPr>
        <w:t>建立数据安全管理制度，严格保密项目采集的群众居住信息、山区风险点位涉密地理数据，不得私自拷贝、外传、售卖、挪作其他用途，项目结束后删除自有设备内全部原始数据，签订保密承诺；造成信息泄露的，承担全部法律与经济赔偿责任。</w:t>
      </w:r>
    </w:p>
    <w:p w14:paraId="30535FE7">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6、</w:t>
      </w:r>
      <w:r>
        <w:rPr>
          <w:rFonts w:hint="eastAsia" w:ascii="Calibri Light" w:hAnsi="Calibri Light" w:eastAsia="仿宋" w:cs="Times New Roman"/>
          <w:color w:val="auto"/>
          <w:sz w:val="28"/>
        </w:rPr>
        <w:t>严禁转包、违法分包本项目全部或核心工作，所有踏勘、测绘、建库、平台集成工作须由本单位自有人员实施。</w:t>
      </w:r>
    </w:p>
    <w:p w14:paraId="3CE908D4">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7、</w:t>
      </w:r>
      <w:r>
        <w:rPr>
          <w:rFonts w:hint="eastAsia" w:ascii="Calibri Light" w:hAnsi="Calibri Light" w:eastAsia="仿宋" w:cs="Times New Roman"/>
          <w:color w:val="auto"/>
          <w:sz w:val="28"/>
        </w:rPr>
        <w:t>严格遵守工期约定，制定分阶段进度计划报送甲方，接受甲方进度管控；因自身人力、技术问题造成工期滞后的，承担合同约定逾期违约责任。</w:t>
      </w:r>
    </w:p>
    <w:p w14:paraId="58A2147F">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8、</w:t>
      </w:r>
      <w:r>
        <w:rPr>
          <w:rFonts w:hint="eastAsia" w:ascii="Calibri Light" w:hAnsi="Calibri Light" w:eastAsia="仿宋" w:cs="Times New Roman"/>
          <w:color w:val="auto"/>
          <w:sz w:val="28"/>
        </w:rPr>
        <w:t>全面履行 2 年质保运维义务：接到甲方 GIS 地图、灾害数据库、应急平台故障、台账数据异常报修，按承诺时效完成响应、现场处置、数据更新、平台调试维护，定期开展数据复盘优化，留存完整运维台账供甲方核查。</w:t>
      </w:r>
    </w:p>
    <w:p w14:paraId="7435B441">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9、</w:t>
      </w:r>
      <w:r>
        <w:rPr>
          <w:rFonts w:hint="eastAsia" w:ascii="Calibri Light" w:hAnsi="Calibri Light" w:eastAsia="仿宋" w:cs="Times New Roman"/>
          <w:color w:val="auto"/>
          <w:sz w:val="28"/>
        </w:rPr>
        <w:t>项目验收合格后，完整移交全部成果等全套资料，办理移交签收手续。</w:t>
      </w:r>
    </w:p>
    <w:p w14:paraId="27E33B1E">
      <w:pPr>
        <w:spacing w:line="400" w:lineRule="exact"/>
        <w:ind w:firstLine="560" w:firstLineChars="200"/>
        <w:rPr>
          <w:rFonts w:hint="eastAsia" w:ascii="Calibri Light" w:hAnsi="Calibri Light" w:eastAsia="仿宋" w:cs="Times New Roman"/>
          <w:color w:val="auto"/>
          <w:sz w:val="28"/>
        </w:rPr>
      </w:pPr>
      <w:r>
        <w:rPr>
          <w:rFonts w:hint="eastAsia" w:ascii="Calibri Light" w:hAnsi="Calibri Light" w:eastAsia="仿宋" w:cs="Times New Roman"/>
          <w:color w:val="auto"/>
          <w:sz w:val="28"/>
          <w:lang w:val="en-US" w:eastAsia="zh-CN"/>
        </w:rPr>
        <w:t>10、</w:t>
      </w:r>
      <w:r>
        <w:rPr>
          <w:rFonts w:hint="eastAsia" w:ascii="Calibri Light" w:hAnsi="Calibri Light" w:eastAsia="仿宋" w:cs="Times New Roman"/>
          <w:color w:val="auto"/>
          <w:sz w:val="28"/>
        </w:rPr>
        <w:t>按合同要求全程配合甲方、财政、审计部门开展项目核查、审计工作，及时提供人员社保、职称、项目台账、付款资料等全部佐证材料。</w:t>
      </w:r>
    </w:p>
    <w:p w14:paraId="71E54FA9">
      <w:pPr>
        <w:spacing w:line="400" w:lineRule="exact"/>
        <w:ind w:firstLine="560" w:firstLineChars="200"/>
        <w:rPr>
          <w:rFonts w:hint="eastAsia" w:ascii="Calibri Light" w:hAnsi="Calibri Light" w:eastAsia="仿宋"/>
          <w:b/>
          <w:color w:val="auto"/>
          <w:sz w:val="28"/>
        </w:rPr>
      </w:pPr>
      <w:r>
        <w:rPr>
          <w:rFonts w:hint="eastAsia" w:ascii="Calibri Light" w:hAnsi="Calibri Light" w:eastAsia="仿宋" w:cs="Times New Roman"/>
          <w:color w:val="auto"/>
          <w:sz w:val="28"/>
          <w:lang w:val="en-US" w:eastAsia="zh-CN"/>
        </w:rPr>
        <w:t>11、</w:t>
      </w:r>
      <w:r>
        <w:rPr>
          <w:rFonts w:hint="eastAsia" w:ascii="Calibri Light" w:hAnsi="Calibri Light" w:eastAsia="仿宋" w:cs="Times New Roman"/>
          <w:color w:val="auto"/>
          <w:sz w:val="28"/>
        </w:rPr>
        <w:t>外业踏勘期间落实安全生产主体责任，做好人员野外作业安全防护，作业期间发生人身、财产安全事故，全部责任与费用由乙方自行承担。</w:t>
      </w:r>
    </w:p>
    <w:p w14:paraId="29532639">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六、质量保证</w:t>
      </w:r>
    </w:p>
    <w:p w14:paraId="378D334D">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乙方所供服务必须执行下列条款：</w:t>
      </w:r>
    </w:p>
    <w:p w14:paraId="67174515">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（一）服务方案和方式科学、可行，人员配置合理，全面满足要求。</w:t>
      </w:r>
    </w:p>
    <w:p w14:paraId="4B808DB8">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（二）符合国家有关服务规范要求，确保各项服务达到最佳运行效果。</w:t>
      </w:r>
    </w:p>
    <w:p w14:paraId="10D62C9F">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（三）乙方提供的服务，若发生侵权而产生的一切后果，由乙方负责。甲方保留索赔权。</w:t>
      </w:r>
    </w:p>
    <w:p w14:paraId="5036914F">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（四）服务承诺内容。</w:t>
      </w:r>
    </w:p>
    <w:p w14:paraId="607FE42A">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（五）双方拟定的其他条款。</w:t>
      </w:r>
    </w:p>
    <w:p w14:paraId="39BD7CE3">
      <w:pPr>
        <w:ind w:firstLine="482" w:firstLineChars="200"/>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七、验收</w:t>
      </w:r>
    </w:p>
    <w:p w14:paraId="35F81BAF">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22EC42DB">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（二）乙方向甲方提交服务实施过程中的所有资料。以便甲方日后管理和维护。</w:t>
      </w:r>
    </w:p>
    <w:p w14:paraId="73EFEA51">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（三）验收依据：</w:t>
      </w:r>
    </w:p>
    <w:p w14:paraId="38CDB78B">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1、</w:t>
      </w:r>
      <w:r>
        <w:rPr>
          <w:rFonts w:hint="default" w:ascii="Calibri Light" w:hAnsi="Calibri Light" w:eastAsia="仿宋"/>
          <w:color w:val="auto"/>
          <w:sz w:val="28"/>
        </w:rPr>
        <w:t>竞争性磋商文件</w:t>
      </w:r>
      <w:r>
        <w:rPr>
          <w:rFonts w:hint="eastAsia" w:ascii="Calibri Light" w:hAnsi="Calibri Light" w:eastAsia="仿宋"/>
          <w:color w:val="auto"/>
          <w:sz w:val="28"/>
        </w:rPr>
        <w:t>、</w:t>
      </w:r>
      <w:r>
        <w:rPr>
          <w:rFonts w:hint="default" w:ascii="Calibri Light" w:hAnsi="Calibri Light" w:eastAsia="仿宋"/>
          <w:color w:val="auto"/>
          <w:sz w:val="28"/>
        </w:rPr>
        <w:t>响应文件</w:t>
      </w:r>
      <w:r>
        <w:rPr>
          <w:rFonts w:hint="eastAsia" w:ascii="Calibri Light" w:hAnsi="Calibri Light" w:eastAsia="仿宋"/>
          <w:color w:val="auto"/>
          <w:sz w:val="28"/>
        </w:rPr>
        <w:t>、澄清表（函）；</w:t>
      </w:r>
    </w:p>
    <w:p w14:paraId="7119E248">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2、本合同及附件文本；</w:t>
      </w:r>
    </w:p>
    <w:p w14:paraId="0EB2187C">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3、国家相应的标准、规范。</w:t>
      </w:r>
    </w:p>
    <w:p w14:paraId="26B93AF5">
      <w:pPr>
        <w:spacing w:line="400" w:lineRule="exact"/>
        <w:ind w:firstLine="560" w:firstLineChars="200"/>
        <w:rPr>
          <w:rFonts w:hint="eastAsia" w:ascii="Calibri Light" w:hAnsi="Calibri Light" w:eastAsia="仿宋"/>
          <w:b w:val="0"/>
          <w:bCs/>
          <w:color w:val="auto"/>
          <w:sz w:val="28"/>
        </w:rPr>
      </w:pPr>
      <w:r>
        <w:rPr>
          <w:rFonts w:hint="eastAsia" w:ascii="Calibri Light" w:hAnsi="Calibri Light" w:eastAsia="仿宋"/>
          <w:b w:val="0"/>
          <w:bCs/>
          <w:color w:val="auto"/>
          <w:sz w:val="28"/>
        </w:rPr>
        <w:t>（四）双方拟定的其他条款。</w:t>
      </w:r>
    </w:p>
    <w:p w14:paraId="0254BC73">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八、违约责任</w:t>
      </w:r>
    </w:p>
    <w:p w14:paraId="5E756D7C">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（一）合同中未约定的</w:t>
      </w:r>
      <w:r>
        <w:rPr>
          <w:rFonts w:hint="default" w:ascii="Calibri Light" w:hAnsi="Calibri Light" w:eastAsia="仿宋"/>
          <w:color w:val="auto"/>
          <w:sz w:val="28"/>
        </w:rPr>
        <w:t>，</w:t>
      </w:r>
      <w:r>
        <w:rPr>
          <w:rFonts w:hint="eastAsia" w:ascii="Calibri Light" w:hAnsi="Calibri Light" w:eastAsia="仿宋"/>
          <w:color w:val="auto"/>
          <w:sz w:val="28"/>
        </w:rPr>
        <w:t>按《</w:t>
      </w:r>
      <w:r>
        <w:rPr>
          <w:rFonts w:hint="eastAsia" w:ascii="Calibri Light" w:hAnsi="Calibri Light" w:eastAsia="仿宋"/>
          <w:color w:val="auto"/>
          <w:sz w:val="28"/>
          <w:lang w:val="en-US" w:eastAsia="zh-Hans"/>
        </w:rPr>
        <w:t>民法典</w:t>
      </w:r>
      <w:r>
        <w:rPr>
          <w:rFonts w:hint="eastAsia" w:ascii="Calibri Light" w:hAnsi="Calibri Light" w:eastAsia="仿宋"/>
          <w:color w:val="auto"/>
          <w:sz w:val="28"/>
        </w:rPr>
        <w:t>》中的相关条款执行。</w:t>
      </w:r>
    </w:p>
    <w:p w14:paraId="541DC953">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（二）未按合同要求提供服务或服务质量不能满足合同要求，甲方应当将乙方违约的情况以及拟采取的措施以书面形式报政府采购监管部门，根据政府采购监管部门的处理意见，甲方有权依据《</w:t>
      </w:r>
      <w:r>
        <w:rPr>
          <w:rFonts w:hint="eastAsia" w:ascii="Calibri Light" w:hAnsi="Calibri Light" w:eastAsia="仿宋"/>
          <w:color w:val="auto"/>
          <w:sz w:val="28"/>
          <w:lang w:val="en-US" w:eastAsia="zh-Hans"/>
        </w:rPr>
        <w:t>民法典</w:t>
      </w:r>
      <w:r>
        <w:rPr>
          <w:rFonts w:hint="eastAsia" w:ascii="Calibri Light" w:hAnsi="Calibri Light" w:eastAsia="仿宋"/>
          <w:color w:val="auto"/>
          <w:sz w:val="28"/>
        </w:rPr>
        <w:t>》有关条款及合同约定解除合同，乙方</w:t>
      </w:r>
      <w:r>
        <w:rPr>
          <w:rFonts w:hint="eastAsia" w:ascii="Calibri Light" w:hAnsi="Calibri Light" w:eastAsia="仿宋"/>
          <w:color w:val="auto"/>
          <w:sz w:val="28"/>
          <w:lang w:eastAsia="zh-Hans"/>
        </w:rPr>
        <w:t>应</w:t>
      </w:r>
      <w:r>
        <w:rPr>
          <w:rFonts w:hint="eastAsia" w:ascii="Calibri Light" w:hAnsi="Calibri Light" w:eastAsia="仿宋"/>
          <w:color w:val="auto"/>
          <w:sz w:val="28"/>
        </w:rPr>
        <w:t>向甲方支付合同总价款</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5</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%的违约金。同时，政府采购监管部门有权依据《政府采购法》及相关法律法规对乙方的违法行为进行相应的处罚。</w:t>
      </w:r>
    </w:p>
    <w:p w14:paraId="09395719">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（三）在本合同履行过程中，双方因违约或造成对方经济、社会效益等损失的应当赔偿。</w:t>
      </w:r>
    </w:p>
    <w:p w14:paraId="2FEC9430">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（四）甲方无正当理由拒绝接受服务的，</w:t>
      </w:r>
      <w:r>
        <w:rPr>
          <w:rFonts w:hint="eastAsia" w:ascii="Calibri Light" w:hAnsi="Calibri Light" w:eastAsia="仿宋"/>
          <w:color w:val="auto"/>
          <w:sz w:val="28"/>
          <w:lang w:val="en-US" w:eastAsia="zh-Hans"/>
        </w:rPr>
        <w:t>需</w:t>
      </w:r>
      <w:r>
        <w:rPr>
          <w:rFonts w:hint="eastAsia" w:ascii="Calibri Light" w:hAnsi="Calibri Light" w:eastAsia="仿宋"/>
          <w:color w:val="auto"/>
          <w:sz w:val="28"/>
        </w:rPr>
        <w:t>向乙方偿付本合同总价款</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5</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%的违约金。甲方由于自身原因逾期付款的，则每日按逾期金额的</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5</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none"/>
          <w:lang w:val="en-US" w:eastAsia="zh-CN"/>
        </w:rPr>
        <w:t>‰</w:t>
      </w:r>
      <w:r>
        <w:rPr>
          <w:rFonts w:hint="eastAsia" w:ascii="Calibri Light" w:hAnsi="Calibri Light" w:eastAsia="仿宋"/>
          <w:color w:val="auto"/>
          <w:sz w:val="28"/>
        </w:rPr>
        <w:t>向乙方偿付违约金。</w:t>
      </w:r>
    </w:p>
    <w:p w14:paraId="757D93A6">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（五）乙方提供的服务不符合本项目相关文件和本合同规定的，甲方有权拒绝，并且乙方须向甲方支付本合同总价款</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5</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%的违约金。</w:t>
      </w:r>
    </w:p>
    <w:p w14:paraId="0F9F9CE9">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（六）乙方未能按照本合同约定时间提供服务或完成约定的项目服务内容的，从逾期之日起每日按本合同总价款</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5</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none"/>
          <w:lang w:val="en-US" w:eastAsia="zh-CN"/>
        </w:rPr>
        <w:t>‰</w:t>
      </w:r>
      <w:r>
        <w:rPr>
          <w:rFonts w:hint="eastAsia" w:ascii="Calibri Light" w:hAnsi="Calibri Light" w:eastAsia="仿宋"/>
          <w:color w:val="auto"/>
          <w:sz w:val="28"/>
        </w:rPr>
        <w:t>的数额向甲方支付违约金；逾期</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三十</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日以上的，甲方有权终止合同，由此造成的甲方经济损失由乙方承担。</w:t>
      </w:r>
    </w:p>
    <w:p w14:paraId="77EAE921">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（七）未经甲方同意，乙方不得擅自将本合同服务分包或转包第三方承担。</w:t>
      </w:r>
    </w:p>
    <w:p w14:paraId="72C0D85A">
      <w:pPr>
        <w:spacing w:line="400" w:lineRule="exact"/>
        <w:ind w:firstLine="560" w:firstLineChars="200"/>
        <w:rPr>
          <w:rFonts w:hint="eastAsia" w:ascii="Calibri Light" w:hAnsi="Calibri Light" w:eastAsia="仿宋"/>
          <w:color w:val="auto"/>
          <w:sz w:val="28"/>
          <w:lang w:eastAsia="zh-Hans"/>
        </w:rPr>
      </w:pPr>
      <w:r>
        <w:rPr>
          <w:rFonts w:hint="eastAsia" w:ascii="Calibri Light" w:hAnsi="Calibri Light" w:eastAsia="仿宋"/>
          <w:color w:val="auto"/>
          <w:sz w:val="28"/>
        </w:rPr>
        <w:t>（八）</w:t>
      </w:r>
      <w:r>
        <w:rPr>
          <w:rFonts w:hint="eastAsia" w:ascii="Calibri Light" w:hAnsi="Calibri Light" w:eastAsia="仿宋"/>
          <w:color w:val="auto"/>
          <w:sz w:val="28"/>
          <w:lang w:eastAsia="zh-Hans"/>
        </w:rPr>
        <w:t>本合同中各条款约定的违约金可自甲方未支付款项中直接扣除，违约金若不能弥补甲方损失的，乙方还应</w:t>
      </w:r>
      <w:r>
        <w:rPr>
          <w:rFonts w:hint="eastAsia" w:ascii="Calibri Light" w:hAnsi="Calibri Light" w:eastAsia="仿宋"/>
          <w:color w:val="auto"/>
          <w:sz w:val="28"/>
        </w:rPr>
        <w:t>赔偿</w:t>
      </w:r>
      <w:r>
        <w:rPr>
          <w:rFonts w:hint="eastAsia" w:ascii="Calibri Light" w:hAnsi="Calibri Light" w:eastAsia="仿宋"/>
          <w:color w:val="auto"/>
          <w:sz w:val="28"/>
          <w:lang w:eastAsia="zh-Hans"/>
        </w:rPr>
        <w:t>甲方损失。</w:t>
      </w:r>
    </w:p>
    <w:p w14:paraId="35C84949">
      <w:pPr>
        <w:spacing w:line="400" w:lineRule="exact"/>
        <w:ind w:firstLine="562" w:firstLineChars="200"/>
        <w:rPr>
          <w:rFonts w:hint="eastAsia" w:ascii="Calibri Light" w:hAnsi="Calibri Light" w:eastAsia="仿宋"/>
          <w:color w:val="auto"/>
          <w:sz w:val="28"/>
        </w:rPr>
      </w:pPr>
      <w:r>
        <w:rPr>
          <w:rFonts w:hint="eastAsia" w:ascii="Calibri Light" w:hAnsi="Calibri Light" w:eastAsia="仿宋"/>
          <w:b/>
          <w:color w:val="auto"/>
          <w:sz w:val="28"/>
        </w:rPr>
        <w:t>（</w:t>
      </w:r>
      <w:r>
        <w:rPr>
          <w:rFonts w:hint="eastAsia" w:ascii="Calibri Light" w:hAnsi="Calibri Light" w:eastAsia="仿宋"/>
          <w:b/>
          <w:color w:val="auto"/>
          <w:sz w:val="28"/>
          <w:lang w:val="en-US" w:eastAsia="zh-Hans"/>
        </w:rPr>
        <w:t>九</w:t>
      </w:r>
      <w:r>
        <w:rPr>
          <w:rFonts w:hint="eastAsia" w:ascii="Calibri Light" w:hAnsi="Calibri Light" w:eastAsia="仿宋"/>
          <w:b/>
          <w:color w:val="auto"/>
          <w:sz w:val="28"/>
        </w:rPr>
        <w:t>）双方拟定的其他条款。</w:t>
      </w:r>
    </w:p>
    <w:p w14:paraId="0AEF85BC">
      <w:pPr>
        <w:tabs>
          <w:tab w:val="left" w:pos="480"/>
        </w:tabs>
        <w:ind w:firstLine="482" w:firstLineChars="200"/>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九、保密条款</w:t>
      </w:r>
    </w:p>
    <w:p w14:paraId="193CEE32">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7A0AEAE8">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9A2F8E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（三）本条款为独立条款，本合同的无效、变更、解除和终止均不影响本条款的效力。</w:t>
      </w:r>
    </w:p>
    <w:p w14:paraId="5314F9B5">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（四）双方拟定的其他条款。</w:t>
      </w:r>
    </w:p>
    <w:p w14:paraId="45562932">
      <w:pPr>
        <w:tabs>
          <w:tab w:val="left" w:pos="480"/>
        </w:tabs>
        <w:ind w:firstLine="482" w:firstLineChars="200"/>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十、争议解决</w:t>
      </w:r>
    </w:p>
    <w:p w14:paraId="0D7F559D">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（一）本合同在履行过程中发生的争议，由甲、乙双方当事人协商解决，协商不成的按下列第</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种方式解决：</w:t>
      </w:r>
    </w:p>
    <w:p w14:paraId="656B5430">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1、提交西安仲裁委员会仲裁；</w:t>
      </w:r>
    </w:p>
    <w:p w14:paraId="7ADB25F0">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2、依法向甲方所在地人民法院起诉。</w:t>
      </w:r>
    </w:p>
    <w:p w14:paraId="2C546450">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（二）本条款为独立条款，本合同的无效、变更、解除和终止均不影响本条款的效力。</w:t>
      </w:r>
    </w:p>
    <w:p w14:paraId="05119018">
      <w:pPr>
        <w:tabs>
          <w:tab w:val="left" w:pos="480"/>
        </w:tabs>
        <w:ind w:firstLine="482" w:firstLineChars="200"/>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十一、关于送达的约定</w:t>
      </w:r>
    </w:p>
    <w:p w14:paraId="3B7FE25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（一）本合同项下甲乙双方任何一方向对方发出的通知、信件、数据电文等，应当发送至本合同下列约定的地址、联系人。</w:t>
      </w:r>
    </w:p>
    <w:p w14:paraId="1529268C">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甲方联系人：西安市应急管理局</w:t>
      </w:r>
    </w:p>
    <w:p w14:paraId="2487CAF5">
      <w:pPr>
        <w:spacing w:line="400" w:lineRule="exact"/>
        <w:ind w:firstLine="560" w:firstLineChars="200"/>
        <w:rPr>
          <w:rFonts w:hint="default" w:ascii="Calibri Light" w:hAnsi="Calibri Light" w:eastAsia="仿宋"/>
          <w:color w:val="auto"/>
          <w:sz w:val="28"/>
          <w:lang w:val="en-US" w:eastAsia="zh-CN"/>
        </w:rPr>
      </w:pPr>
      <w:r>
        <w:rPr>
          <w:rFonts w:hint="eastAsia" w:ascii="Calibri Light" w:hAnsi="Calibri Light" w:eastAsia="仿宋"/>
          <w:color w:val="auto"/>
          <w:sz w:val="28"/>
        </w:rPr>
        <w:t>联系电话：029-</w:t>
      </w:r>
      <w:r>
        <w:rPr>
          <w:rFonts w:hint="eastAsia" w:ascii="Calibri Light" w:hAnsi="Calibri Light" w:eastAsia="仿宋"/>
          <w:color w:val="auto"/>
          <w:sz w:val="28"/>
          <w:lang w:val="en-US" w:eastAsia="zh-CN"/>
        </w:rPr>
        <w:t>XXX</w:t>
      </w:r>
    </w:p>
    <w:p w14:paraId="277464FE">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联系地址：西安市凤城七路旭辉中心2号楼</w:t>
      </w:r>
    </w:p>
    <w:p w14:paraId="1A8F0AE4">
      <w:pPr>
        <w:spacing w:line="400" w:lineRule="exact"/>
        <w:ind w:firstLine="560" w:firstLineChars="200"/>
        <w:rPr>
          <w:rFonts w:hint="eastAsia" w:ascii="Calibri Light" w:hAnsi="Calibri Light" w:eastAsia="仿宋"/>
          <w:color w:val="auto"/>
          <w:sz w:val="28"/>
          <w:lang w:val="en-US" w:eastAsia="zh-CN"/>
        </w:rPr>
      </w:pPr>
      <w:r>
        <w:rPr>
          <w:rFonts w:hint="eastAsia" w:ascii="Calibri Light" w:hAnsi="Calibri Light" w:eastAsia="仿宋"/>
          <w:color w:val="auto"/>
          <w:sz w:val="28"/>
          <w:lang w:val="en-US" w:eastAsia="zh-CN"/>
        </w:rPr>
        <w:t>邮箱号：438320701@qq.com</w:t>
      </w:r>
    </w:p>
    <w:p w14:paraId="69269CB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乙方联系人</w:t>
      </w:r>
      <w:r>
        <w:rPr>
          <w:rFonts w:hint="eastAsia" w:ascii="Calibri Light" w:hAnsi="Calibri Light" w:eastAsia="仿宋"/>
          <w:color w:val="auto"/>
          <w:sz w:val="28"/>
          <w:lang w:eastAsia="zh-CN"/>
        </w:rPr>
        <w:t>：</w:t>
      </w:r>
      <w:r>
        <w:rPr>
          <w:rFonts w:hint="eastAsia" w:ascii="Calibri Light" w:hAnsi="Calibri Light" w:eastAsia="仿宋"/>
          <w:color w:val="auto"/>
          <w:sz w:val="28"/>
          <w:u w:val="single"/>
          <w:lang w:val="en-US" w:eastAsia="zh-CN"/>
        </w:rPr>
        <w:t xml:space="preserve">                 </w:t>
      </w:r>
    </w:p>
    <w:p w14:paraId="065F3DF5">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联系电话：</w:t>
      </w:r>
      <w:r>
        <w:rPr>
          <w:rFonts w:hint="eastAsia" w:ascii="Calibri Light" w:hAnsi="Calibri Light" w:eastAsia="仿宋"/>
          <w:color w:val="auto"/>
          <w:sz w:val="28"/>
          <w:lang w:val="en-US" w:eastAsia="zh-CN"/>
        </w:rPr>
        <w:t xml:space="preserve"> </w:t>
      </w:r>
      <w:r>
        <w:rPr>
          <w:rFonts w:hint="eastAsia" w:ascii="Calibri Light" w:hAnsi="Calibri Light" w:eastAsia="仿宋"/>
          <w:color w:val="auto"/>
          <w:sz w:val="28"/>
          <w:u w:val="single"/>
          <w:lang w:val="en-US" w:eastAsia="zh-CN"/>
        </w:rPr>
        <w:t xml:space="preserve">                  </w:t>
      </w:r>
      <w:r>
        <w:rPr>
          <w:rFonts w:hint="eastAsia" w:ascii="Calibri Light" w:hAnsi="Calibri Light" w:eastAsia="仿宋"/>
          <w:color w:val="auto"/>
          <w:sz w:val="28"/>
          <w:lang w:val="en-US" w:eastAsia="zh-CN"/>
        </w:rPr>
        <w:t xml:space="preserve"> </w:t>
      </w:r>
    </w:p>
    <w:p w14:paraId="316079AB">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联系地址：</w:t>
      </w:r>
      <w:r>
        <w:rPr>
          <w:rFonts w:hint="eastAsia" w:ascii="Calibri Light" w:hAnsi="Calibri Light" w:eastAsia="仿宋"/>
          <w:color w:val="auto"/>
          <w:sz w:val="28"/>
          <w:u w:val="single"/>
          <w:lang w:val="en-US" w:eastAsia="zh-CN"/>
        </w:rPr>
        <w:t xml:space="preserve">                   </w:t>
      </w:r>
    </w:p>
    <w:p w14:paraId="336D9112">
      <w:pPr>
        <w:spacing w:line="400" w:lineRule="exact"/>
        <w:ind w:firstLine="560" w:firstLineChars="200"/>
        <w:rPr>
          <w:rFonts w:hint="eastAsia" w:ascii="Calibri Light" w:hAnsi="Calibri Light" w:eastAsia="仿宋"/>
          <w:color w:val="auto"/>
          <w:sz w:val="28"/>
          <w:lang w:val="en-US" w:eastAsia="zh-CN"/>
        </w:rPr>
      </w:pPr>
      <w:r>
        <w:rPr>
          <w:rFonts w:hint="eastAsia" w:ascii="Calibri Light" w:hAnsi="Calibri Light" w:eastAsia="仿宋"/>
          <w:color w:val="auto"/>
          <w:sz w:val="28"/>
          <w:lang w:val="en-US" w:eastAsia="zh-CN"/>
        </w:rPr>
        <w:t>邮箱号：</w:t>
      </w:r>
      <w:r>
        <w:rPr>
          <w:rFonts w:hint="eastAsia" w:ascii="Calibri Light" w:hAnsi="Calibri Light" w:eastAsia="仿宋"/>
          <w:color w:val="auto"/>
          <w:sz w:val="28"/>
          <w:u w:val="single"/>
          <w:lang w:val="en-US" w:eastAsia="zh-CN"/>
        </w:rPr>
        <w:t xml:space="preserve">                     </w:t>
      </w:r>
    </w:p>
    <w:p w14:paraId="5818C70A">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（二）各种通讯方式应当按照下列方式确定其送达时间：</w:t>
      </w:r>
    </w:p>
    <w:p w14:paraId="098226A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1、面呈之通知在被通知人签收时视为送达，被通知人未签收的不得视为有效的送达。</w:t>
      </w:r>
    </w:p>
    <w:p w14:paraId="2B3EAAB9">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2、以邮寄方式进行的通知均应采用邮政挂号快件或特快专递的方式进行，自信件交邮后的第7日视为送达。</w:t>
      </w:r>
    </w:p>
    <w:p w14:paraId="1152D46C">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 xml:space="preserve">3、发出的短信/微信，自前述电子文件内容在发送方正确填写地址且未被系统退回的情况下，视为进入对方数据电文接收系统即视为送达。若送达日为非工作日, 则视为在下一工作日送达。   </w:t>
      </w:r>
    </w:p>
    <w:p w14:paraId="33117379">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4、一方当事人变更名称、地址、联系人或通信终端的，应当在变更后3日内及时书面通知对方当事人，对方当事人实际收到变更通知前的送达仍为有效送达，电子送达与书面送达具有同等法律效力。</w:t>
      </w:r>
    </w:p>
    <w:p w14:paraId="7651F629">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十二、合同变更</w:t>
      </w:r>
    </w:p>
    <w:p w14:paraId="2C76E154">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ADC59C5">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十三、合同生效</w:t>
      </w:r>
    </w:p>
    <w:p w14:paraId="7EF7CD85">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本合同一式</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捌</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份，甲方持</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叁</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份，乙方持</w:t>
      </w:r>
      <w:r>
        <w:rPr>
          <w:rFonts w:hint="eastAsia" w:ascii="Calibri Light" w:hAnsi="Calibri Light" w:eastAsia="仿宋"/>
          <w:color w:val="auto"/>
          <w:sz w:val="28"/>
          <w:u w:val="single"/>
        </w:rPr>
        <w:t xml:space="preserve"> </w:t>
      </w:r>
      <w:r>
        <w:rPr>
          <w:rFonts w:hint="eastAsia" w:ascii="Calibri Light" w:hAnsi="Calibri Light" w:eastAsia="仿宋"/>
          <w:color w:val="auto"/>
          <w:sz w:val="28"/>
          <w:u w:val="single"/>
          <w:lang w:val="en-US" w:eastAsia="zh-CN"/>
        </w:rPr>
        <w:t>叁</w:t>
      </w:r>
      <w:r>
        <w:rPr>
          <w:rFonts w:hint="eastAsia" w:ascii="Calibri Light" w:hAnsi="Calibri Light" w:eastAsia="仿宋"/>
          <w:color w:val="auto"/>
          <w:sz w:val="28"/>
          <w:u w:val="single"/>
        </w:rPr>
        <w:t xml:space="preserve"> </w:t>
      </w:r>
      <w:r>
        <w:rPr>
          <w:rFonts w:hint="eastAsia" w:ascii="Calibri Light" w:hAnsi="Calibri Light" w:eastAsia="仿宋"/>
          <w:color w:val="auto"/>
          <w:sz w:val="28"/>
        </w:rPr>
        <w:t>份，鉴证方持壹份，</w:t>
      </w:r>
      <w:r>
        <w:rPr>
          <w:rFonts w:hint="eastAsia" w:ascii="Calibri Light" w:hAnsi="Calibri Light" w:eastAsia="仿宋"/>
          <w:color w:val="auto"/>
          <w:sz w:val="28"/>
          <w:lang w:eastAsia="zh-CN"/>
        </w:rPr>
        <w:t>备案</w:t>
      </w:r>
      <w:r>
        <w:rPr>
          <w:rFonts w:hint="eastAsia" w:ascii="Calibri Light" w:hAnsi="Calibri Light" w:eastAsia="仿宋"/>
          <w:color w:val="auto"/>
          <w:sz w:val="28"/>
        </w:rPr>
        <w:t>壹份</w:t>
      </w:r>
      <w:r>
        <w:rPr>
          <w:rFonts w:hint="eastAsia" w:ascii="Calibri Light" w:hAnsi="Calibri Light" w:eastAsia="仿宋"/>
          <w:color w:val="auto"/>
          <w:sz w:val="28"/>
          <w:lang w:eastAsia="zh-CN"/>
        </w:rPr>
        <w:t>，</w:t>
      </w:r>
      <w:r>
        <w:rPr>
          <w:rFonts w:hint="eastAsia" w:ascii="Calibri Light" w:hAnsi="Calibri Light" w:eastAsia="仿宋"/>
          <w:color w:val="auto"/>
          <w:sz w:val="28"/>
        </w:rPr>
        <w:t>本合同甲、乙、鉴证</w:t>
      </w:r>
      <w:r>
        <w:rPr>
          <w:rFonts w:hint="eastAsia" w:ascii="Calibri Light" w:hAnsi="Calibri Light" w:eastAsia="仿宋"/>
          <w:color w:val="auto"/>
          <w:sz w:val="28"/>
          <w:lang w:val="en-US" w:eastAsia="zh-Hans"/>
        </w:rPr>
        <w:t>方</w:t>
      </w:r>
      <w:r>
        <w:rPr>
          <w:rFonts w:hint="eastAsia" w:ascii="Calibri Light" w:hAnsi="Calibri Light" w:eastAsia="仿宋"/>
          <w:color w:val="auto"/>
          <w:sz w:val="28"/>
        </w:rPr>
        <w:t>各方签字</w:t>
      </w:r>
      <w:r>
        <w:rPr>
          <w:rFonts w:hint="eastAsia" w:ascii="Calibri Light" w:hAnsi="Calibri Light" w:eastAsia="仿宋"/>
          <w:color w:val="auto"/>
          <w:sz w:val="28"/>
          <w:lang w:eastAsia="zh-Hans"/>
        </w:rPr>
        <w:t>并</w:t>
      </w:r>
      <w:r>
        <w:rPr>
          <w:rFonts w:hint="eastAsia" w:ascii="Calibri Light" w:hAnsi="Calibri Light" w:eastAsia="仿宋"/>
          <w:color w:val="auto"/>
          <w:sz w:val="28"/>
        </w:rPr>
        <w:t>盖章后生效，</w:t>
      </w:r>
      <w:r>
        <w:rPr>
          <w:rFonts w:hint="eastAsia" w:ascii="Calibri Light" w:hAnsi="Calibri Light" w:eastAsia="仿宋"/>
          <w:color w:val="auto"/>
          <w:sz w:val="28"/>
          <w:lang w:val="en-US" w:eastAsia="zh-Hans"/>
        </w:rPr>
        <w:t>由甲方在政府采购综合管理平台完成备案</w:t>
      </w:r>
      <w:r>
        <w:rPr>
          <w:rFonts w:hint="default" w:ascii="Calibri Light" w:hAnsi="Calibri Light" w:eastAsia="仿宋"/>
          <w:color w:val="auto"/>
          <w:sz w:val="28"/>
          <w:lang w:eastAsia="zh-Hans"/>
        </w:rPr>
        <w:t>。</w:t>
      </w:r>
      <w:r>
        <w:rPr>
          <w:rFonts w:hint="eastAsia" w:ascii="Calibri Light" w:hAnsi="Calibri Light" w:eastAsia="仿宋"/>
          <w:color w:val="auto"/>
          <w:sz w:val="28"/>
        </w:rPr>
        <w:t>合同执行完毕后，自动失效（合同的服务承诺则长期有效）。</w:t>
      </w:r>
    </w:p>
    <w:p w14:paraId="1CA3983D">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十四、其他事项</w:t>
      </w:r>
    </w:p>
    <w:p w14:paraId="18154003">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（一）鉴证方作为集中采购代理机构对合同进行确认。</w:t>
      </w:r>
    </w:p>
    <w:p w14:paraId="2DCEE34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（二）西安市财政局政府采购管理处在合同的履行期间以及履行期后，可以随时检查项目的执行情况，对采购标准、采购内容进行调查核实，并对发现的问题进行处理。</w:t>
      </w:r>
    </w:p>
    <w:p w14:paraId="23CAD97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（三）</w:t>
      </w:r>
      <w:r>
        <w:rPr>
          <w:rFonts w:hint="default" w:ascii="Calibri Light" w:hAnsi="Calibri Light" w:eastAsia="仿宋"/>
          <w:color w:val="auto"/>
          <w:sz w:val="28"/>
        </w:rPr>
        <w:t>竞争性磋商文件</w:t>
      </w:r>
      <w:r>
        <w:rPr>
          <w:rFonts w:hint="eastAsia" w:ascii="Calibri Light" w:hAnsi="Calibri Light" w:eastAsia="仿宋"/>
          <w:color w:val="auto"/>
          <w:sz w:val="28"/>
        </w:rPr>
        <w:t>、</w:t>
      </w:r>
      <w:r>
        <w:rPr>
          <w:rFonts w:hint="default" w:ascii="Calibri Light" w:hAnsi="Calibri Light" w:eastAsia="仿宋"/>
          <w:color w:val="auto"/>
          <w:sz w:val="28"/>
        </w:rPr>
        <w:t>响应文件</w:t>
      </w:r>
      <w:r>
        <w:rPr>
          <w:rFonts w:hint="eastAsia" w:ascii="Calibri Light" w:hAnsi="Calibri Light" w:eastAsia="仿宋"/>
          <w:color w:val="auto"/>
          <w:sz w:val="28"/>
        </w:rPr>
        <w:t>、澄清表（函）、</w:t>
      </w:r>
      <w:r>
        <w:rPr>
          <w:rFonts w:hint="default" w:ascii="Calibri Light" w:hAnsi="Calibri Light" w:eastAsia="仿宋"/>
          <w:color w:val="auto"/>
          <w:sz w:val="28"/>
        </w:rPr>
        <w:t>成交</w:t>
      </w:r>
      <w:r>
        <w:rPr>
          <w:rFonts w:hint="eastAsia" w:ascii="Calibri Light" w:hAnsi="Calibri Light" w:eastAsia="仿宋"/>
          <w:color w:val="auto"/>
          <w:sz w:val="28"/>
        </w:rPr>
        <w:t>通知书、合同附件均成为合同不可分割的部分。</w:t>
      </w:r>
    </w:p>
    <w:p w14:paraId="4A46D95D">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（四）甲乙双方因不可抗力导致本合同全部或部分不能履行时，发生不可抗力的一方应当在不可抗力发生后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3C051F24">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（五）合同未尽事宜，由甲、乙双方协商并经鉴证方确认后签订政府采购补充合同，与原合同具有同等法律效力。</w:t>
      </w:r>
    </w:p>
    <w:p w14:paraId="2E24F29E">
      <w:pPr>
        <w:spacing w:line="400" w:lineRule="exact"/>
        <w:ind w:firstLine="560" w:firstLineChars="200"/>
        <w:rPr>
          <w:rFonts w:hint="default" w:ascii="Calibri Light" w:hAnsi="Calibri Light" w:eastAsia="仿宋"/>
          <w:color w:val="auto"/>
          <w:sz w:val="28"/>
          <w:lang w:val="en-US" w:eastAsia="zh-CN"/>
        </w:rPr>
      </w:pPr>
      <w:r>
        <w:rPr>
          <w:rFonts w:hint="eastAsia" w:ascii="Calibri Light" w:hAnsi="Calibri Light" w:eastAsia="仿宋"/>
          <w:color w:val="auto"/>
          <w:sz w:val="28"/>
          <w:lang w:eastAsia="zh-CN"/>
        </w:rPr>
        <w:t>（六）本公司规模为</w:t>
      </w:r>
      <w:r>
        <w:rPr>
          <w:rFonts w:hint="eastAsia" w:ascii="Calibri Light" w:hAnsi="Calibri Light" w:eastAsia="仿宋"/>
          <w:b/>
          <w:bCs/>
          <w:color w:val="auto"/>
          <w:sz w:val="28"/>
          <w:u w:val="single"/>
          <w:lang w:eastAsia="zh-CN"/>
        </w:rPr>
        <w:t>大型企业</w:t>
      </w:r>
      <w:r>
        <w:rPr>
          <w:rFonts w:hint="eastAsia" w:ascii="Calibri Light" w:hAnsi="Calibri Light" w:eastAsia="仿宋"/>
          <w:b/>
          <w:bCs/>
          <w:color w:val="auto"/>
          <w:sz w:val="28"/>
          <w:u w:val="single"/>
          <w:lang w:val="en-US" w:eastAsia="zh-CN"/>
        </w:rPr>
        <w:t>/中型企业/小型企业/微型企业/其他</w:t>
      </w:r>
      <w:r>
        <w:rPr>
          <w:rFonts w:hint="eastAsia" w:ascii="Calibri Light" w:hAnsi="Calibri Light" w:eastAsia="仿宋"/>
          <w:color w:val="auto"/>
          <w:sz w:val="28"/>
          <w:u w:val="single"/>
          <w:lang w:val="en-US" w:eastAsia="zh-CN"/>
        </w:rPr>
        <w:t>。</w:t>
      </w:r>
    </w:p>
    <w:p w14:paraId="2A3C3798">
      <w:pPr>
        <w:spacing w:line="400" w:lineRule="exact"/>
        <w:ind w:firstLine="562" w:firstLineChars="200"/>
        <w:rPr>
          <w:rFonts w:hint="eastAsia" w:ascii="Calibri Light" w:hAnsi="Calibri Light" w:eastAsia="仿宋"/>
          <w:b/>
          <w:color w:val="auto"/>
          <w:sz w:val="28"/>
        </w:rPr>
      </w:pPr>
    </w:p>
    <w:p w14:paraId="47033DE5">
      <w:pPr>
        <w:tabs>
          <w:tab w:val="left" w:pos="480"/>
        </w:tabs>
        <w:ind w:firstLine="480" w:firstLineChars="200"/>
        <w:rPr>
          <w:rFonts w:hint="eastAsia" w:ascii="仿宋_GB2312" w:hAnsi="宋体" w:eastAsia="仿宋_GB2312"/>
          <w:color w:val="auto"/>
          <w:spacing w:val="-20"/>
          <w:kern w:val="0"/>
          <w:sz w:val="28"/>
          <w:szCs w:val="20"/>
        </w:rPr>
      </w:pPr>
      <w:r>
        <w:rPr>
          <w:rFonts w:ascii="仿宋_GB2312" w:hAnsi="宋体" w:eastAsia="仿宋_GB2312"/>
          <w:color w:val="auto"/>
          <w:spacing w:val="-20"/>
          <w:kern w:val="0"/>
          <w:sz w:val="28"/>
          <w:szCs w:val="20"/>
        </w:rPr>
        <w:br w:type="page"/>
      </w:r>
    </w:p>
    <w:tbl>
      <w:tblPr>
        <w:tblStyle w:val="4"/>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5"/>
        <w:gridCol w:w="3095"/>
        <w:gridCol w:w="4070"/>
      </w:tblGrid>
      <w:tr w14:paraId="0AEF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0AF2A54C">
            <w:pPr>
              <w:autoSpaceDE w:val="0"/>
              <w:autoSpaceDN w:val="0"/>
              <w:adjustRightInd w:val="0"/>
              <w:spacing w:line="360" w:lineRule="auto"/>
              <w:jc w:val="center"/>
              <w:rPr>
                <w:rFonts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甲  方</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078DDB82">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乙  方</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6A7EE137">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鉴 证 方</w:t>
            </w:r>
          </w:p>
        </w:tc>
      </w:tr>
      <w:tr w14:paraId="5565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center"/>
          </w:tcPr>
          <w:p w14:paraId="34E3F17D">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采购人名称</w:t>
            </w:r>
          </w:p>
          <w:p w14:paraId="2C283E8F">
            <w:pPr>
              <w:autoSpaceDE w:val="0"/>
              <w:autoSpaceDN w:val="0"/>
              <w:adjustRightInd w:val="0"/>
              <w:spacing w:line="360" w:lineRule="auto"/>
              <w:jc w:val="center"/>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232FD5A4">
            <w:pPr>
              <w:autoSpaceDE w:val="0"/>
              <w:autoSpaceDN w:val="0"/>
              <w:adjustRightInd w:val="0"/>
              <w:spacing w:line="360" w:lineRule="auto"/>
              <w:ind w:firstLine="840" w:firstLineChars="350"/>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c>
          <w:tcPr>
            <w:tcW w:w="3095" w:type="dxa"/>
            <w:tcBorders>
              <w:top w:val="single" w:color="auto" w:sz="4" w:space="0"/>
              <w:left w:val="single" w:color="auto" w:sz="4" w:space="0"/>
              <w:bottom w:val="single" w:color="auto" w:sz="4" w:space="0"/>
              <w:right w:val="single" w:color="auto" w:sz="4" w:space="0"/>
            </w:tcBorders>
            <w:noWrap w:val="0"/>
            <w:vAlign w:val="center"/>
          </w:tcPr>
          <w:p w14:paraId="1F77D7BA">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供应商全称</w:t>
            </w:r>
          </w:p>
          <w:p w14:paraId="7014DDF3">
            <w:pPr>
              <w:autoSpaceDE w:val="0"/>
              <w:autoSpaceDN w:val="0"/>
              <w:adjustRightInd w:val="0"/>
              <w:spacing w:line="360" w:lineRule="auto"/>
              <w:jc w:val="center"/>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0F491168">
            <w:pPr>
              <w:autoSpaceDE w:val="0"/>
              <w:autoSpaceDN w:val="0"/>
              <w:adjustRightInd w:val="0"/>
              <w:spacing w:line="360" w:lineRule="auto"/>
              <w:ind w:firstLine="960" w:firstLineChars="400"/>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2DB005CB">
            <w:pPr>
              <w:autoSpaceDE w:val="0"/>
              <w:autoSpaceDN w:val="0"/>
              <w:adjustRightInd w:val="0"/>
              <w:spacing w:line="360" w:lineRule="auto"/>
              <w:jc w:val="center"/>
              <w:rPr>
                <w:rFonts w:hint="eastAsia" w:ascii="仿宋_GB2312" w:hAnsi="宋体" w:eastAsia="仿宋_GB2312"/>
                <w:color w:val="auto"/>
                <w:spacing w:val="-20"/>
                <w:kern w:val="0"/>
                <w:sz w:val="28"/>
                <w:szCs w:val="20"/>
                <w:lang w:eastAsia="zh-CN"/>
              </w:rPr>
            </w:pPr>
            <w:r>
              <w:rPr>
                <w:rFonts w:hint="eastAsia" w:ascii="仿宋_GB2312" w:hAnsi="宋体" w:eastAsia="仿宋_GB2312"/>
                <w:color w:val="auto"/>
                <w:spacing w:val="-20"/>
                <w:kern w:val="0"/>
                <w:sz w:val="28"/>
                <w:szCs w:val="20"/>
                <w:lang w:eastAsia="zh-CN"/>
              </w:rPr>
              <w:t>代理机构全称</w:t>
            </w:r>
          </w:p>
          <w:p w14:paraId="0511C427">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b/>
                <w:color w:val="auto"/>
                <w:spacing w:val="-20"/>
                <w:kern w:val="0"/>
                <w:sz w:val="28"/>
                <w:szCs w:val="20"/>
              </w:rPr>
              <w:t>（请填写具体名称）</w:t>
            </w:r>
          </w:p>
          <w:p w14:paraId="38A4A5E8">
            <w:pPr>
              <w:autoSpaceDE w:val="0"/>
              <w:autoSpaceDN w:val="0"/>
              <w:adjustRightInd w:val="0"/>
              <w:spacing w:line="360" w:lineRule="auto"/>
              <w:ind w:firstLine="1320" w:firstLineChars="550"/>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r>
      <w:tr w14:paraId="403E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center"/>
          </w:tcPr>
          <w:p w14:paraId="091CB088">
            <w:pPr>
              <w:autoSpaceDE w:val="0"/>
              <w:autoSpaceDN w:val="0"/>
              <w:adjustRightInd w:val="0"/>
              <w:spacing w:line="360" w:lineRule="auto"/>
              <w:ind w:firstLine="840" w:firstLineChars="350"/>
              <w:jc w:val="left"/>
              <w:rPr>
                <w:rFonts w:hint="eastAsia" w:ascii="仿宋_GB2312" w:hAnsi="宋体" w:eastAsia="仿宋_GB2312"/>
                <w:color w:val="auto"/>
                <w:spacing w:val="-20"/>
                <w:kern w:val="0"/>
                <w:sz w:val="28"/>
                <w:szCs w:val="20"/>
                <w:lang w:val="en-US" w:eastAsia="zh-CN"/>
              </w:rPr>
            </w:pPr>
            <w:r>
              <w:rPr>
                <w:rFonts w:hint="eastAsia" w:ascii="仿宋_GB2312" w:hAnsi="宋体" w:eastAsia="仿宋_GB2312"/>
                <w:color w:val="auto"/>
                <w:spacing w:val="-20"/>
                <w:kern w:val="0"/>
                <w:sz w:val="28"/>
                <w:szCs w:val="20"/>
                <w:lang w:val="en-US" w:eastAsia="zh-CN"/>
              </w:rPr>
              <w:t>/</w:t>
            </w:r>
          </w:p>
        </w:tc>
        <w:tc>
          <w:tcPr>
            <w:tcW w:w="3095" w:type="dxa"/>
            <w:tcBorders>
              <w:top w:val="single" w:color="auto" w:sz="4" w:space="0"/>
              <w:left w:val="single" w:color="auto" w:sz="4" w:space="0"/>
              <w:bottom w:val="single" w:color="auto" w:sz="4" w:space="0"/>
              <w:right w:val="single" w:color="auto" w:sz="4" w:space="0"/>
            </w:tcBorders>
            <w:noWrap w:val="0"/>
            <w:vAlign w:val="center"/>
          </w:tcPr>
          <w:p w14:paraId="212F5D04">
            <w:pPr>
              <w:autoSpaceDE w:val="0"/>
              <w:autoSpaceDN w:val="0"/>
              <w:adjustRightInd w:val="0"/>
              <w:spacing w:line="360" w:lineRule="auto"/>
              <w:jc w:val="left"/>
              <w:rPr>
                <w:rFonts w:hint="default" w:ascii="仿宋_GB2312" w:hAnsi="宋体" w:eastAsia="仿宋_GB2312"/>
                <w:color w:val="auto"/>
                <w:spacing w:val="-20"/>
                <w:kern w:val="0"/>
                <w:sz w:val="28"/>
                <w:szCs w:val="20"/>
                <w:lang w:val="en-US" w:eastAsia="zh-CN"/>
              </w:rPr>
            </w:pPr>
            <w:r>
              <w:rPr>
                <w:rFonts w:hint="eastAsia" w:ascii="仿宋_GB2312" w:hAnsi="宋体" w:eastAsia="仿宋_GB2312"/>
                <w:color w:val="auto"/>
                <w:spacing w:val="-20"/>
                <w:kern w:val="0"/>
                <w:sz w:val="28"/>
                <w:szCs w:val="20"/>
                <w:lang w:val="en-US" w:eastAsia="zh-CN"/>
              </w:rPr>
              <w:t>机构代码：</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04503E65">
            <w:pPr>
              <w:autoSpaceDE w:val="0"/>
              <w:autoSpaceDN w:val="0"/>
              <w:adjustRightInd w:val="0"/>
              <w:spacing w:line="360" w:lineRule="auto"/>
              <w:jc w:val="left"/>
              <w:rPr>
                <w:rFonts w:hint="default" w:ascii="仿宋_GB2312" w:hAnsi="宋体" w:eastAsia="仿宋_GB2312"/>
                <w:color w:val="auto"/>
                <w:spacing w:val="-20"/>
                <w:kern w:val="0"/>
                <w:sz w:val="28"/>
                <w:szCs w:val="20"/>
                <w:lang w:val="en-US" w:eastAsia="zh-CN"/>
              </w:rPr>
            </w:pPr>
            <w:r>
              <w:rPr>
                <w:rFonts w:hint="eastAsia" w:ascii="仿宋_GB2312" w:hAnsi="宋体" w:eastAsia="仿宋_GB2312"/>
                <w:color w:val="auto"/>
                <w:spacing w:val="-20"/>
                <w:kern w:val="0"/>
                <w:sz w:val="28"/>
                <w:szCs w:val="20"/>
                <w:lang w:val="en-US" w:eastAsia="zh-CN"/>
              </w:rPr>
              <w:t>机构代码：</w:t>
            </w:r>
          </w:p>
        </w:tc>
      </w:tr>
      <w:tr w14:paraId="39FE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21442BD8">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 xml:space="preserve">地址： </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58D1DDBD">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地址：</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2A20707C">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地址：</w:t>
            </w:r>
          </w:p>
        </w:tc>
      </w:tr>
      <w:tr w14:paraId="5128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7716A9E8">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邮编：</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1B9C924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邮编：</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67871EDC">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邮编：</w:t>
            </w:r>
          </w:p>
        </w:tc>
      </w:tr>
      <w:tr w14:paraId="48E5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743A7595">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 xml:space="preserve">法定代表人： </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281A326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法定代表人：</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4FB7378A">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法定代表人：</w:t>
            </w:r>
          </w:p>
        </w:tc>
      </w:tr>
      <w:tr w14:paraId="2252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62B6025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被授权代表：（签字）</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1EB11210">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被授权代表：（签字）</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3DA9D04D">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被授权代表：（签字）</w:t>
            </w:r>
          </w:p>
        </w:tc>
      </w:tr>
      <w:tr w14:paraId="09D6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3C431AF3">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电话：</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56655C29">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电话：</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61154AD2">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电话：</w:t>
            </w:r>
          </w:p>
        </w:tc>
      </w:tr>
      <w:tr w14:paraId="568E1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6FD10D13">
            <w:pPr>
              <w:autoSpaceDE w:val="0"/>
              <w:autoSpaceDN w:val="0"/>
              <w:adjustRightInd w:val="0"/>
              <w:spacing w:line="360" w:lineRule="auto"/>
              <w:jc w:val="left"/>
              <w:rPr>
                <w:rFonts w:hint="eastAsia" w:ascii="仿宋_GB2312" w:hAnsi="宋体" w:eastAsia="仿宋_GB2312"/>
                <w:color w:val="auto"/>
                <w:spacing w:val="-20"/>
                <w:kern w:val="0"/>
                <w:sz w:val="28"/>
                <w:szCs w:val="20"/>
              </w:rPr>
            </w:pPr>
          </w:p>
        </w:tc>
        <w:tc>
          <w:tcPr>
            <w:tcW w:w="3095" w:type="dxa"/>
            <w:tcBorders>
              <w:top w:val="single" w:color="auto" w:sz="4" w:space="0"/>
              <w:left w:val="single" w:color="auto" w:sz="4" w:space="0"/>
              <w:bottom w:val="single" w:color="auto" w:sz="4" w:space="0"/>
              <w:right w:val="single" w:color="auto" w:sz="4" w:space="0"/>
            </w:tcBorders>
            <w:noWrap w:val="0"/>
            <w:vAlign w:val="top"/>
          </w:tcPr>
          <w:p w14:paraId="55C71D29">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开户银行：</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1EC130D0">
            <w:pPr>
              <w:autoSpaceDE w:val="0"/>
              <w:autoSpaceDN w:val="0"/>
              <w:adjustRightInd w:val="0"/>
              <w:spacing w:line="360" w:lineRule="auto"/>
              <w:jc w:val="left"/>
              <w:rPr>
                <w:rFonts w:hint="eastAsia" w:ascii="仿宋_GB2312" w:hAnsi="宋体" w:eastAsia="仿宋_GB2312"/>
                <w:color w:val="auto"/>
                <w:spacing w:val="-20"/>
                <w:kern w:val="0"/>
                <w:sz w:val="28"/>
                <w:szCs w:val="20"/>
              </w:rPr>
            </w:pPr>
          </w:p>
        </w:tc>
      </w:tr>
      <w:tr w14:paraId="1219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6C9BE36B">
            <w:pPr>
              <w:autoSpaceDE w:val="0"/>
              <w:autoSpaceDN w:val="0"/>
              <w:adjustRightInd w:val="0"/>
              <w:spacing w:line="360" w:lineRule="auto"/>
              <w:jc w:val="left"/>
              <w:rPr>
                <w:rFonts w:hint="eastAsia" w:ascii="仿宋_GB2312" w:hAnsi="宋体" w:eastAsia="仿宋_GB2312"/>
                <w:color w:val="auto"/>
                <w:spacing w:val="-20"/>
                <w:kern w:val="0"/>
                <w:sz w:val="28"/>
                <w:szCs w:val="20"/>
              </w:rPr>
            </w:pPr>
          </w:p>
        </w:tc>
        <w:tc>
          <w:tcPr>
            <w:tcW w:w="3095" w:type="dxa"/>
            <w:tcBorders>
              <w:top w:val="single" w:color="auto" w:sz="4" w:space="0"/>
              <w:left w:val="single" w:color="auto" w:sz="4" w:space="0"/>
              <w:bottom w:val="single" w:color="auto" w:sz="4" w:space="0"/>
              <w:right w:val="single" w:color="auto" w:sz="4" w:space="0"/>
            </w:tcBorders>
            <w:noWrap w:val="0"/>
            <w:vAlign w:val="top"/>
          </w:tcPr>
          <w:p w14:paraId="054AE751">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帐号：</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27429E7D">
            <w:pPr>
              <w:autoSpaceDE w:val="0"/>
              <w:autoSpaceDN w:val="0"/>
              <w:adjustRightInd w:val="0"/>
              <w:spacing w:line="360" w:lineRule="auto"/>
              <w:jc w:val="left"/>
              <w:rPr>
                <w:rFonts w:hint="eastAsia" w:ascii="仿宋_GB2312" w:hAnsi="宋体" w:eastAsia="仿宋_GB2312"/>
                <w:color w:val="auto"/>
                <w:spacing w:val="-20"/>
                <w:kern w:val="0"/>
                <w:sz w:val="28"/>
                <w:szCs w:val="20"/>
              </w:rPr>
            </w:pPr>
          </w:p>
        </w:tc>
      </w:tr>
      <w:tr w14:paraId="47E5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3AC5E3E9">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日期：   年   月   日</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3A5E1DE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日期：   年   月   日</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31CB65FA">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日期：       年     月     日</w:t>
            </w:r>
          </w:p>
        </w:tc>
      </w:tr>
    </w:tbl>
    <w:p w14:paraId="607DBE84">
      <w:pPr>
        <w:tabs>
          <w:tab w:val="left" w:pos="480"/>
        </w:tabs>
        <w:rPr>
          <w:rFonts w:hint="eastAsia" w:ascii="宋体" w:hAnsi="宋体"/>
          <w:b/>
          <w:color w:val="auto"/>
          <w:szCs w:val="21"/>
        </w:rPr>
      </w:pPr>
    </w:p>
    <w:p w14:paraId="48F35293"/>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1B3E5">
    <w:pPr>
      <w:pStyle w:val="2"/>
      <w:framePr w:wrap="around" w:vAnchor="text" w:hAnchor="margin" w:xAlign="center" w:y="1"/>
      <w:rPr>
        <w:rStyle w:val="6"/>
        <w:rFonts w:hint="eastAsia"/>
      </w:rPr>
    </w:pPr>
  </w:p>
  <w:p w14:paraId="6AB06BFD">
    <w:pPr>
      <w:pStyle w:val="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FBFD">
    <w:pPr>
      <w:pStyle w:val="2"/>
      <w:framePr w:wrap="around" w:vAnchor="text" w:hAnchor="margin" w:xAlign="center" w:y="1"/>
      <w:rPr>
        <w:rStyle w:val="6"/>
      </w:rPr>
    </w:pPr>
    <w:r>
      <w:fldChar w:fldCharType="begin"/>
    </w:r>
    <w:r>
      <w:rPr>
        <w:rStyle w:val="6"/>
      </w:rPr>
      <w:instrText xml:space="preserve">PAGE  </w:instrText>
    </w:r>
    <w:r>
      <w:fldChar w:fldCharType="end"/>
    </w:r>
  </w:p>
  <w:p w14:paraId="6E18892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42D19">
    <w:pPr>
      <w:pStyle w:val="2"/>
      <w:framePr w:wrap="around" w:vAnchor="text" w:hAnchor="margin" w:xAlign="center" w:y="1"/>
      <w:rPr>
        <w:rStyle w:val="6"/>
        <w:rFonts w:hint="eastAsia"/>
      </w:rPr>
    </w:pPr>
  </w:p>
  <w:p w14:paraId="2FDC135C">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3E2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2026-07-20T09:14:46Z</dcterms:created>
  <dc:creator>Administrator</dc:creator>
  <cp:lastModifiedBy>开心聪father</cp:lastModifiedBy>
  <dcterms:modified xsi:type="dcterms:W3CDTF">2026-07-20T09:15:01Z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eyJoZGlkIjoiNDA1ZjEwOTFmNGExMmNlNTk1Y2VlMzljYTdjMDg4YmMiLCJ1c2VySWQiOiIzOTE4MjQzNDgifQ==</vt:lpwstr>
  </property>
  <property fmtid="{D5CDD505-2E9C-101B-9397-08002B2CF9AE}" pid="4" name="ICV">
    <vt:lpwstr>2E6EE2467FFF4085B92C4F0218D8C529_12</vt:lpwstr>
  </property>
</Properties>
</file>