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版本号：YDFZ-2026-02520260904005</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2026年洋县戚氏街道陶岭村农事服务中心建设项目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YDFZ-2026-025</w:t>
      </w:r>
      <w:r>
        <w:br/>
      </w:r>
      <w:r>
        <w:br/>
      </w:r>
      <w:r>
        <w:br/>
      </w:r>
    </w:p>
    <w:p>
      <w:pPr>
        <w:pStyle w:val="null3"/>
        <w:jc w:val="center"/>
        <w:outlineLvl w:val="2"/>
      </w:pPr>
      <w:r>
        <w:rPr>
          <w:rFonts w:ascii="仿宋_GB2312" w:hAnsi="仿宋_GB2312" w:cs="仿宋_GB2312" w:eastAsia="仿宋_GB2312"/>
          <w:sz w:val="28"/>
          <w:b/>
        </w:rPr>
        <w:t>洋县戚氏街道办事处</w:t>
      </w:r>
    </w:p>
    <w:p>
      <w:pPr>
        <w:pStyle w:val="null3"/>
        <w:jc w:val="center"/>
        <w:outlineLvl w:val="2"/>
      </w:pPr>
      <w:r>
        <w:rPr>
          <w:rFonts w:ascii="仿宋_GB2312" w:hAnsi="仿宋_GB2312" w:cs="仿宋_GB2312" w:eastAsia="仿宋_GB2312"/>
          <w:sz w:val="28"/>
          <w:b/>
        </w:rPr>
        <w:t>陕西昱达方洲工程咨询有限公司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陕西昱达方洲工程咨询有限公司</w:t>
      </w:r>
      <w:r>
        <w:rPr>
          <w:rFonts w:ascii="仿宋_GB2312" w:hAnsi="仿宋_GB2312" w:cs="仿宋_GB2312" w:eastAsia="仿宋_GB2312"/>
        </w:rPr>
        <w:t>（以下简称“代理机构”）受</w:t>
      </w:r>
      <w:r>
        <w:rPr>
          <w:rFonts w:ascii="仿宋_GB2312" w:hAnsi="仿宋_GB2312" w:cs="仿宋_GB2312" w:eastAsia="仿宋_GB2312"/>
        </w:rPr>
        <w:t>洋县戚氏街道办事处</w:t>
      </w:r>
      <w:r>
        <w:rPr>
          <w:rFonts w:ascii="仿宋_GB2312" w:hAnsi="仿宋_GB2312" w:cs="仿宋_GB2312" w:eastAsia="仿宋_GB2312"/>
        </w:rPr>
        <w:t>委托，拟对</w:t>
      </w:r>
      <w:r>
        <w:rPr>
          <w:rFonts w:ascii="仿宋_GB2312" w:hAnsi="仿宋_GB2312" w:cs="仿宋_GB2312" w:eastAsia="仿宋_GB2312"/>
        </w:rPr>
        <w:t>2026年洋县戚氏街道陶岭村农事服务中心建设项目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YDFZ-2026-025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2026年洋县戚氏街道陶岭村农事服务中心建设项目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购置两台联合收割机、两台⽟⽶收割机；具体详⻅设备采购清单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1、供应商为具有独⽴承担⺠事责任能⼒的法⼈或其他组织或⾃然⼈：供应商为具有独⽴承担⺠事责任能⼒的法⼈或其他组织或⾃然⼈，并出具合法有效的营业执照或事 业法⼈证书等国家规定的相关证明，⾃然⼈参与的提供其⾝份证明；供应商需在项⽬电⼦化交易系 统中按要求上传相应证明⽂件并进⾏电⼦签章；</w:t>
      </w:r>
    </w:p>
    <w:p>
      <w:pPr>
        <w:pStyle w:val="null3"/>
      </w:pPr>
      <w:r>
        <w:rPr>
          <w:rFonts w:ascii="仿宋_GB2312" w:hAnsi="仿宋_GB2312" w:cs="仿宋_GB2312" w:eastAsia="仿宋_GB2312"/>
        </w:rPr>
        <w:t>2、法定代表⼈证明或法定代表⼈授权书：法定代表⼈参加投标须提供《法定代表⼈⾝份证明》及⾝份证复印件；法定代表⼈授权委托⼈参加 投标，须提供《法定代表⼈授权委托书》、被授权⼈⾝份证复印件；供应商需在项⽬电⼦化交易系 统中按要求上传相应证明⽂件并进⾏电⼦签章；</w:t>
      </w:r>
    </w:p>
    <w:p>
      <w:pPr>
        <w:pStyle w:val="null3"/>
      </w:pPr>
      <w:r>
        <w:rPr>
          <w:rFonts w:ascii="仿宋_GB2312" w:hAnsi="仿宋_GB2312" w:cs="仿宋_GB2312" w:eastAsia="仿宋_GB2312"/>
        </w:rPr>
        <w:t>3、汉中市政府采购供应商资格承诺函：供应商须具有健全的财务会计制度、具有履⾏合同所必需的设备和专业技术能⼒、具有依法缴纳税 收和社会保障资⾦的良好记录，参加本项⽬采购活动前三年内在经营活动中⽆重⼤违法活动记录， 未列⼊在信⽤中国⽹站“失信被执⾏⼈”、“重⼤税收违法案件当事⼈名单”中，未列⼊中国政府采购⽹“政府采购严重违法失信⾏为记录名单”中；需提供《汉中市政府采购供应商资格承诺函》，供应商需在项⽬电⼦化交易系统中按要求上传相应证明⽂件并进⾏电⼦签章；</w:t>
      </w:r>
    </w:p>
    <w:p>
      <w:pPr>
        <w:pStyle w:val="null3"/>
      </w:pPr>
      <w:r>
        <w:rPr>
          <w:rFonts w:ascii="仿宋_GB2312" w:hAnsi="仿宋_GB2312" w:cs="仿宋_GB2312" w:eastAsia="仿宋_GB2312"/>
        </w:rPr>
        <w:t>4、⾮联合体投标声明：本项⽬不接受联合体投标，供应商需提供⾮联合体书⾯声明。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洋县戚氏街道办事处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竹园村一组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洋县戚氏街道办事处经办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13892616839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陕西昱达方洲工程咨询有限公司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陕西省汉中市洋县陕西省汉中市洋县纸坊街道办事处巩家槽社区金城居小区2号楼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18191153512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开户名称：陕西昱达⽅洲⼯程咨询有限公司</w:t>
            </w:r>
          </w:p>
          <w:p>
            <w:pPr>
              <w:pStyle w:val="null3"/>
            </w:pPr>
            <w:r>
              <w:rPr>
                <w:rFonts w:ascii="仿宋_GB2312" w:hAnsi="仿宋_GB2312" w:cs="仿宋_GB2312" w:eastAsia="仿宋_GB2312"/>
              </w:rPr>
              <w:t>开户银行：中国农业银⾏股份有限公司洋县支行</w:t>
            </w:r>
          </w:p>
          <w:p>
            <w:pPr>
              <w:pStyle w:val="null3"/>
            </w:pPr>
            <w:r>
              <w:rPr>
                <w:rFonts w:ascii="仿宋_GB2312" w:hAnsi="仿宋_GB2312" w:cs="仿宋_GB2312" w:eastAsia="仿宋_GB2312"/>
              </w:rPr>
              <w:t>银行账号：26626101040020356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招标代理服务收费管理暂⾏办法》(计价格[2002]1980号)、国家发展和改⾰委员会《国家发展改⾰委办公厅关于招标代理服务收费有关问题的通知》(发改办价格[2003]857号)和《国家发展改⾰委关于降低部分建设项⽬收费标准规范收费⾏为等有关问题的通知》(发改价格[2011]534号)⽂件的相关规定执⾏。</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洋县戚氏街道办事处</w:t>
      </w:r>
      <w:r>
        <w:rPr>
          <w:rFonts w:ascii="仿宋_GB2312" w:hAnsi="仿宋_GB2312" w:cs="仿宋_GB2312" w:eastAsia="仿宋_GB2312"/>
        </w:rPr>
        <w:t>和</w:t>
      </w:r>
      <w:r>
        <w:rPr>
          <w:rFonts w:ascii="仿宋_GB2312" w:hAnsi="仿宋_GB2312" w:cs="仿宋_GB2312" w:eastAsia="仿宋_GB2312"/>
        </w:rPr>
        <w:t>陕西昱达方洲工程咨询有限公司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洋县戚氏街道办事处</w:t>
      </w:r>
      <w:r>
        <w:rPr>
          <w:rFonts w:ascii="仿宋_GB2312" w:hAnsi="仿宋_GB2312" w:cs="仿宋_GB2312" w:eastAsia="仿宋_GB2312"/>
        </w:rPr>
        <w:t>负责解释。除上述招标文件内容，其他内容由</w:t>
      </w:r>
      <w:r>
        <w:rPr>
          <w:rFonts w:ascii="仿宋_GB2312" w:hAnsi="仿宋_GB2312" w:cs="仿宋_GB2312" w:eastAsia="仿宋_GB2312"/>
        </w:rPr>
        <w:t>陕西昱达方洲工程咨询有限公司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洋县戚氏街道办事处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陕西昱达方洲工程咨询有限公司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等技术资料，并承诺提供无限期支持，采购人享有使⽤权（含采购人委托第三⽅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依照合同标准执⾏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联系人：周女士</w:t>
      </w:r>
    </w:p>
    <w:p>
      <w:pPr>
        <w:pStyle w:val="null3"/>
      </w:pPr>
      <w:r>
        <w:rPr>
          <w:rFonts w:ascii="仿宋_GB2312" w:hAnsi="仿宋_GB2312" w:cs="仿宋_GB2312" w:eastAsia="仿宋_GB2312"/>
        </w:rPr>
        <w:t>联系电话：18191153512</w:t>
      </w:r>
    </w:p>
    <w:p>
      <w:pPr>
        <w:pStyle w:val="null3"/>
      </w:pPr>
      <w:r>
        <w:rPr>
          <w:rFonts w:ascii="仿宋_GB2312" w:hAnsi="仿宋_GB2312" w:cs="仿宋_GB2312" w:eastAsia="仿宋_GB2312"/>
        </w:rPr>
        <w:t>地址：陕西省汉中市洋县纸坊街道纸坊街村四组8 号（柏拉图隔壁）三楼</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购置两台联合收割机、两台玉米收割机；具体详见设备采购清单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940,000.00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2026年洋县戚氏街道陶岭村农事服务中心建设项目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标的名称：2026年洋县戚氏街道陶岭村农事服务中心建设项目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联合收割机（2台）</w:t>
            </w:r>
          </w:p>
          <w:p>
            <w:pPr>
              <w:pStyle w:val="null3"/>
            </w:pPr>
            <w:r>
              <w:rPr>
                <w:rFonts w:ascii="仿宋_GB2312" w:hAnsi="仿宋_GB2312" w:cs="仿宋_GB2312" w:eastAsia="仿宋_GB2312"/>
                <w:sz w:val="19"/>
                <w:b/>
                <w:color w:val="000000"/>
              </w:rPr>
              <w:t>1.</w:t>
            </w:r>
            <w:r>
              <w:rPr>
                <w:rFonts w:ascii="仿宋_GB2312" w:hAnsi="仿宋_GB2312" w:cs="仿宋_GB2312" w:eastAsia="仿宋_GB2312"/>
                <w:sz w:val="21"/>
                <w:color w:val="000000"/>
              </w:rPr>
              <w:t>▲</w:t>
            </w:r>
            <w:r>
              <w:rPr>
                <w:rFonts w:ascii="仿宋_GB2312" w:hAnsi="仿宋_GB2312" w:cs="仿宋_GB2312" w:eastAsia="仿宋_GB2312"/>
                <w:sz w:val="19"/>
                <w:b/>
                <w:color w:val="000000"/>
              </w:rPr>
              <w:t>结构型式:全喂</w:t>
            </w:r>
            <w:r>
              <w:rPr>
                <w:rFonts w:ascii="仿宋_GB2312" w:hAnsi="仿宋_GB2312" w:cs="仿宋_GB2312" w:eastAsia="仿宋_GB2312"/>
                <w:sz w:val="19"/>
                <w:b/>
                <w:color w:val="000000"/>
              </w:rPr>
              <w:t>入履带自走式</w:t>
            </w:r>
          </w:p>
          <w:p>
            <w:pPr>
              <w:pStyle w:val="null3"/>
            </w:pPr>
            <w:r>
              <w:rPr>
                <w:rFonts w:ascii="仿宋_GB2312" w:hAnsi="仿宋_GB2312" w:cs="仿宋_GB2312" w:eastAsia="仿宋_GB2312"/>
                <w:sz w:val="19"/>
                <w:b/>
                <w:color w:val="000000"/>
              </w:rPr>
              <w:t>2.配套发动机结</w:t>
            </w:r>
            <w:r>
              <w:rPr>
                <w:rFonts w:ascii="仿宋_GB2312" w:hAnsi="仿宋_GB2312" w:cs="仿宋_GB2312" w:eastAsia="仿宋_GB2312"/>
                <w:sz w:val="19"/>
                <w:b/>
                <w:color w:val="000000"/>
              </w:rPr>
              <w:t xml:space="preserve">构型式:4缸、水 </w:t>
            </w:r>
            <w:r>
              <w:rPr>
                <w:rFonts w:ascii="仿宋_GB2312" w:hAnsi="仿宋_GB2312" w:cs="仿宋_GB2312" w:eastAsia="仿宋_GB2312"/>
                <w:sz w:val="19"/>
                <w:b/>
                <w:color w:val="000000"/>
              </w:rPr>
              <w:t>冷</w:t>
            </w:r>
          </w:p>
          <w:p>
            <w:pPr>
              <w:pStyle w:val="null3"/>
            </w:pPr>
            <w:r>
              <w:rPr>
                <w:rFonts w:ascii="仿宋_GB2312" w:hAnsi="仿宋_GB2312" w:cs="仿宋_GB2312" w:eastAsia="仿宋_GB2312"/>
                <w:sz w:val="19"/>
                <w:b/>
                <w:color w:val="000000"/>
              </w:rPr>
              <w:t xml:space="preserve">3.单列、立式 </w:t>
            </w:r>
            <w:r>
              <w:rPr>
                <w:rFonts w:ascii="仿宋_GB2312" w:hAnsi="仿宋_GB2312" w:cs="仿宋_GB2312" w:eastAsia="仿宋_GB2312"/>
                <w:sz w:val="19"/>
                <w:b/>
                <w:color w:val="000000"/>
              </w:rPr>
              <w:t>、4冲程</w:t>
            </w:r>
          </w:p>
          <w:p>
            <w:pPr>
              <w:pStyle w:val="null3"/>
            </w:pPr>
            <w:r>
              <w:rPr>
                <w:rFonts w:ascii="仿宋_GB2312" w:hAnsi="仿宋_GB2312" w:cs="仿宋_GB2312" w:eastAsia="仿宋_GB2312"/>
                <w:sz w:val="19"/>
                <w:b/>
                <w:color w:val="000000"/>
              </w:rPr>
              <w:t>4.配套发动机气</w:t>
            </w:r>
            <w:r>
              <w:rPr>
                <w:rFonts w:ascii="仿宋_GB2312" w:hAnsi="仿宋_GB2312" w:cs="仿宋_GB2312" w:eastAsia="仿宋_GB2312"/>
                <w:sz w:val="19"/>
                <w:b/>
                <w:color w:val="000000"/>
              </w:rPr>
              <w:t>缸数量:4</w:t>
            </w:r>
          </w:p>
          <w:p>
            <w:pPr>
              <w:pStyle w:val="null3"/>
            </w:pPr>
            <w:r>
              <w:rPr>
                <w:rFonts w:ascii="仿宋_GB2312" w:hAnsi="仿宋_GB2312" w:cs="仿宋_GB2312" w:eastAsia="仿宋_GB2312"/>
                <w:sz w:val="19"/>
                <w:b/>
                <w:color w:val="000000"/>
              </w:rPr>
              <w:t>5</w:t>
            </w:r>
            <w:r>
              <w:rPr>
                <w:rFonts w:ascii="仿宋_GB2312" w:hAnsi="仿宋_GB2312" w:cs="仿宋_GB2312" w:eastAsia="仿宋_GB2312"/>
                <w:sz w:val="19"/>
                <w:b/>
                <w:color w:val="000000"/>
              </w:rPr>
              <w:t>.</w:t>
            </w:r>
            <w:r>
              <w:rPr>
                <w:rFonts w:ascii="仿宋_GB2312" w:hAnsi="仿宋_GB2312" w:cs="仿宋_GB2312" w:eastAsia="仿宋_GB2312"/>
                <w:b/>
              </w:rPr>
              <w:t>★</w:t>
            </w:r>
            <w:r>
              <w:rPr>
                <w:rFonts w:ascii="仿宋_GB2312" w:hAnsi="仿宋_GB2312" w:cs="仿宋_GB2312" w:eastAsia="仿宋_GB2312"/>
                <w:sz w:val="19"/>
                <w:b/>
                <w:color w:val="000000"/>
              </w:rPr>
              <w:t>配套发动机标</w:t>
            </w:r>
            <w:r>
              <w:rPr>
                <w:rFonts w:ascii="仿宋_GB2312" w:hAnsi="仿宋_GB2312" w:cs="仿宋_GB2312" w:eastAsia="仿宋_GB2312"/>
                <w:sz w:val="19"/>
                <w:b/>
                <w:color w:val="000000"/>
              </w:rPr>
              <w:t>定功率kW:81-103</w:t>
            </w:r>
          </w:p>
          <w:p>
            <w:pPr>
              <w:pStyle w:val="null3"/>
            </w:pPr>
            <w:r>
              <w:rPr>
                <w:rFonts w:ascii="仿宋_GB2312" w:hAnsi="仿宋_GB2312" w:cs="仿宋_GB2312" w:eastAsia="仿宋_GB2312"/>
                <w:sz w:val="19"/>
                <w:b/>
                <w:color w:val="000000"/>
              </w:rPr>
              <w:t>6</w:t>
            </w:r>
            <w:r>
              <w:rPr>
                <w:rFonts w:ascii="仿宋_GB2312" w:hAnsi="仿宋_GB2312" w:cs="仿宋_GB2312" w:eastAsia="仿宋_GB2312"/>
                <w:sz w:val="19"/>
                <w:b/>
                <w:color w:val="000000"/>
              </w:rPr>
              <w:t>.</w:t>
            </w:r>
            <w:r>
              <w:rPr>
                <w:rFonts w:ascii="仿宋_GB2312" w:hAnsi="仿宋_GB2312" w:cs="仿宋_GB2312" w:eastAsia="仿宋_GB2312"/>
                <w:b/>
              </w:rPr>
              <w:t>★</w:t>
            </w:r>
            <w:r>
              <w:rPr>
                <w:rFonts w:ascii="仿宋_GB2312" w:hAnsi="仿宋_GB2312" w:cs="仿宋_GB2312" w:eastAsia="仿宋_GB2312"/>
                <w:sz w:val="19"/>
                <w:b/>
                <w:color w:val="000000"/>
              </w:rPr>
              <w:t>配套发动机标</w:t>
            </w:r>
            <w:r>
              <w:rPr>
                <w:rFonts w:ascii="仿宋_GB2312" w:hAnsi="仿宋_GB2312" w:cs="仿宋_GB2312" w:eastAsia="仿宋_GB2312"/>
                <w:sz w:val="19"/>
                <w:b/>
                <w:color w:val="000000"/>
              </w:rPr>
              <w:t xml:space="preserve">定转速r/min: </w:t>
            </w:r>
            <w:r>
              <w:rPr>
                <w:rFonts w:ascii="仿宋_GB2312" w:hAnsi="仿宋_GB2312" w:cs="仿宋_GB2312" w:eastAsia="仿宋_GB2312"/>
                <w:sz w:val="19"/>
                <w:b/>
                <w:color w:val="000000"/>
              </w:rPr>
              <w:t>2400-2600</w:t>
            </w:r>
          </w:p>
          <w:p>
            <w:pPr>
              <w:pStyle w:val="null3"/>
            </w:pPr>
            <w:r>
              <w:rPr>
                <w:rFonts w:ascii="仿宋_GB2312" w:hAnsi="仿宋_GB2312" w:cs="仿宋_GB2312" w:eastAsia="仿宋_GB2312"/>
                <w:sz w:val="19"/>
                <w:b/>
                <w:color w:val="000000"/>
              </w:rPr>
              <w:t xml:space="preserve">7.整机外形尺寸 </w:t>
            </w:r>
            <w:r>
              <w:rPr>
                <w:rFonts w:ascii="仿宋_GB2312" w:hAnsi="仿宋_GB2312" w:cs="仿宋_GB2312" w:eastAsia="仿宋_GB2312"/>
                <w:sz w:val="19"/>
                <w:b/>
                <w:color w:val="000000"/>
              </w:rPr>
              <w:t xml:space="preserve">（长× 宽× 高 </w:t>
            </w:r>
            <w:r>
              <w:rPr>
                <w:rFonts w:ascii="仿宋_GB2312" w:hAnsi="仿宋_GB2312" w:cs="仿宋_GB2312" w:eastAsia="仿宋_GB2312"/>
                <w:sz w:val="19"/>
                <w:b/>
                <w:color w:val="000000"/>
              </w:rPr>
              <w:t xml:space="preserve">） </w:t>
            </w:r>
            <w:r>
              <w:rPr>
                <w:rFonts w:ascii="仿宋_GB2312" w:hAnsi="仿宋_GB2312" w:cs="仿宋_GB2312" w:eastAsia="仿宋_GB2312"/>
                <w:sz w:val="19"/>
                <w:b/>
                <w:color w:val="000000"/>
              </w:rPr>
              <w:t xml:space="preserve">5380- </w:t>
            </w:r>
            <w:r>
              <w:rPr>
                <w:rFonts w:ascii="仿宋_GB2312" w:hAnsi="仿宋_GB2312" w:cs="仿宋_GB2312" w:eastAsia="仿宋_GB2312"/>
                <w:sz w:val="19"/>
                <w:b/>
                <w:color w:val="000000"/>
              </w:rPr>
              <w:t xml:space="preserve">6200×2500- </w:t>
            </w:r>
            <w:r>
              <w:rPr>
                <w:rFonts w:ascii="仿宋_GB2312" w:hAnsi="仿宋_GB2312" w:cs="仿宋_GB2312" w:eastAsia="仿宋_GB2312"/>
                <w:sz w:val="19"/>
                <w:b/>
                <w:color w:val="000000"/>
              </w:rPr>
              <w:t xml:space="preserve">2750×2850- </w:t>
            </w:r>
            <w:r>
              <w:rPr>
                <w:rFonts w:ascii="仿宋_GB2312" w:hAnsi="仿宋_GB2312" w:cs="仿宋_GB2312" w:eastAsia="仿宋_GB2312"/>
                <w:sz w:val="19"/>
                <w:b/>
                <w:color w:val="000000"/>
              </w:rPr>
              <w:t>2970</w:t>
            </w:r>
          </w:p>
          <w:p>
            <w:pPr>
              <w:pStyle w:val="null3"/>
            </w:pPr>
            <w:r>
              <w:rPr>
                <w:rFonts w:ascii="仿宋_GB2312" w:hAnsi="仿宋_GB2312" w:cs="仿宋_GB2312" w:eastAsia="仿宋_GB2312"/>
                <w:sz w:val="19"/>
                <w:b/>
                <w:color w:val="000000"/>
              </w:rPr>
              <w:t xml:space="preserve">8.整机质量kg: </w:t>
            </w:r>
            <w:r>
              <w:rPr>
                <w:rFonts w:ascii="仿宋_GB2312" w:hAnsi="仿宋_GB2312" w:cs="仿宋_GB2312" w:eastAsia="仿宋_GB2312"/>
                <w:sz w:val="19"/>
                <w:b/>
                <w:color w:val="000000"/>
              </w:rPr>
              <w:t>3750-4250</w:t>
            </w:r>
          </w:p>
          <w:p>
            <w:pPr>
              <w:pStyle w:val="null3"/>
            </w:pPr>
            <w:r>
              <w:rPr>
                <w:rFonts w:ascii="仿宋_GB2312" w:hAnsi="仿宋_GB2312" w:cs="仿宋_GB2312" w:eastAsia="仿宋_GB2312"/>
                <w:sz w:val="19"/>
                <w:b/>
                <w:color w:val="000000"/>
              </w:rPr>
              <w:t>9.</w:t>
            </w:r>
            <w:r>
              <w:rPr>
                <w:rFonts w:ascii="仿宋_GB2312" w:hAnsi="仿宋_GB2312" w:cs="仿宋_GB2312" w:eastAsia="仿宋_GB2312"/>
                <w:sz w:val="19"/>
                <w:b/>
                <w:color w:val="000000"/>
              </w:rPr>
              <w:t xml:space="preserve">割台工作幅宽 </w:t>
            </w:r>
            <w:r>
              <w:rPr>
                <w:rFonts w:ascii="仿宋_GB2312" w:hAnsi="仿宋_GB2312" w:cs="仿宋_GB2312" w:eastAsia="仿宋_GB2312"/>
                <w:sz w:val="19"/>
                <w:b/>
                <w:color w:val="000000"/>
              </w:rPr>
              <w:t>mm:2200-2400</w:t>
            </w:r>
          </w:p>
          <w:p>
            <w:pPr>
              <w:pStyle w:val="null3"/>
            </w:pPr>
            <w:r>
              <w:rPr>
                <w:rFonts w:ascii="仿宋_GB2312" w:hAnsi="仿宋_GB2312" w:cs="仿宋_GB2312" w:eastAsia="仿宋_GB2312"/>
                <w:sz w:val="19"/>
                <w:b/>
                <w:color w:val="000000"/>
              </w:rPr>
              <w:t>10.</w:t>
            </w:r>
            <w:r>
              <w:rPr>
                <w:rFonts w:ascii="仿宋_GB2312" w:hAnsi="仿宋_GB2312" w:cs="仿宋_GB2312" w:eastAsia="仿宋_GB2312"/>
                <w:sz w:val="21"/>
                <w:color w:val="000000"/>
              </w:rPr>
              <w:t>▲</w:t>
            </w:r>
            <w:r>
              <w:rPr>
                <w:rFonts w:ascii="仿宋_GB2312" w:hAnsi="仿宋_GB2312" w:cs="仿宋_GB2312" w:eastAsia="仿宋_GB2312"/>
                <w:sz w:val="19"/>
                <w:b/>
                <w:color w:val="000000"/>
              </w:rPr>
              <w:t xml:space="preserve">最小离地间隙 </w:t>
            </w:r>
            <w:r>
              <w:rPr>
                <w:rFonts w:ascii="仿宋_GB2312" w:hAnsi="仿宋_GB2312" w:cs="仿宋_GB2312" w:eastAsia="仿宋_GB2312"/>
                <w:sz w:val="19"/>
                <w:b/>
                <w:color w:val="000000"/>
              </w:rPr>
              <w:t>mm:300-350</w:t>
            </w:r>
          </w:p>
          <w:p>
            <w:pPr>
              <w:pStyle w:val="null3"/>
            </w:pPr>
            <w:r>
              <w:rPr>
                <w:rFonts w:ascii="仿宋_GB2312" w:hAnsi="仿宋_GB2312" w:cs="仿宋_GB2312" w:eastAsia="仿宋_GB2312"/>
                <w:sz w:val="19"/>
                <w:b/>
                <w:color w:val="000000"/>
              </w:rPr>
              <w:t xml:space="preserve">11.割刀型式:II </w:t>
            </w:r>
            <w:r>
              <w:rPr>
                <w:rFonts w:ascii="仿宋_GB2312" w:hAnsi="仿宋_GB2312" w:cs="仿宋_GB2312" w:eastAsia="仿宋_GB2312"/>
                <w:sz w:val="19"/>
                <w:b/>
                <w:color w:val="000000"/>
              </w:rPr>
              <w:t>型、</w:t>
            </w:r>
            <w:r>
              <w:rPr>
                <w:rFonts w:ascii="仿宋_GB2312" w:hAnsi="仿宋_GB2312" w:cs="仿宋_GB2312" w:eastAsia="仿宋_GB2312"/>
                <w:sz w:val="18"/>
                <w:b/>
                <w:color w:val="000000"/>
              </w:rPr>
              <w:t>Ⅳ</w:t>
            </w:r>
            <w:r>
              <w:rPr>
                <w:rFonts w:ascii="仿宋_GB2312" w:hAnsi="仿宋_GB2312" w:cs="仿宋_GB2312" w:eastAsia="仿宋_GB2312"/>
                <w:sz w:val="18"/>
                <w:b/>
                <w:color w:val="000000"/>
              </w:rPr>
              <w:t>型</w:t>
            </w:r>
          </w:p>
          <w:p>
            <w:pPr>
              <w:pStyle w:val="null3"/>
            </w:pPr>
            <w:r>
              <w:rPr>
                <w:rFonts w:ascii="仿宋_GB2312" w:hAnsi="仿宋_GB2312" w:cs="仿宋_GB2312" w:eastAsia="仿宋_GB2312"/>
                <w:sz w:val="19"/>
                <w:b/>
                <w:color w:val="000000"/>
              </w:rPr>
              <w:t>12</w:t>
            </w:r>
            <w:r>
              <w:rPr>
                <w:rFonts w:ascii="仿宋_GB2312" w:hAnsi="仿宋_GB2312" w:cs="仿宋_GB2312" w:eastAsia="仿宋_GB2312"/>
                <w:sz w:val="19"/>
                <w:b/>
                <w:color w:val="000000"/>
              </w:rPr>
              <w:t>.</w:t>
            </w:r>
            <w:r>
              <w:rPr>
                <w:rFonts w:ascii="仿宋_GB2312" w:hAnsi="仿宋_GB2312" w:cs="仿宋_GB2312" w:eastAsia="仿宋_GB2312"/>
              </w:rPr>
              <w:t>▲</w:t>
            </w:r>
            <w:r>
              <w:rPr>
                <w:rFonts w:ascii="仿宋_GB2312" w:hAnsi="仿宋_GB2312" w:cs="仿宋_GB2312" w:eastAsia="仿宋_GB2312"/>
                <w:sz w:val="19"/>
                <w:b/>
                <w:color w:val="000000"/>
              </w:rPr>
              <w:t xml:space="preserve">喂入量kg/s: </w:t>
            </w:r>
            <w:r>
              <w:rPr>
                <w:rFonts w:ascii="仿宋_GB2312" w:hAnsi="仿宋_GB2312" w:cs="仿宋_GB2312" w:eastAsia="仿宋_GB2312"/>
                <w:sz w:val="19"/>
                <w:b/>
                <w:color w:val="000000"/>
              </w:rPr>
              <w:t>6-8</w:t>
            </w:r>
          </w:p>
          <w:p>
            <w:pPr>
              <w:pStyle w:val="null3"/>
            </w:pPr>
            <w:r>
              <w:rPr>
                <w:rFonts w:ascii="仿宋_GB2312" w:hAnsi="仿宋_GB2312" w:cs="仿宋_GB2312" w:eastAsia="仿宋_GB2312"/>
                <w:sz w:val="19"/>
                <w:b/>
                <w:color w:val="000000"/>
              </w:rPr>
              <w:t>13.作业挡位:2-3</w:t>
            </w:r>
          </w:p>
          <w:p>
            <w:pPr>
              <w:pStyle w:val="null3"/>
            </w:pPr>
            <w:r>
              <w:rPr>
                <w:rFonts w:ascii="仿宋_GB2312" w:hAnsi="仿宋_GB2312" w:cs="仿宋_GB2312" w:eastAsia="仿宋_GB2312"/>
                <w:sz w:val="19"/>
                <w:b/>
                <w:color w:val="000000"/>
              </w:rPr>
              <w:t>14.</w:t>
            </w:r>
            <w:r>
              <w:rPr>
                <w:rFonts w:ascii="仿宋_GB2312" w:hAnsi="仿宋_GB2312" w:cs="仿宋_GB2312" w:eastAsia="仿宋_GB2312"/>
                <w:b/>
              </w:rPr>
              <w:t>.</w:t>
            </w:r>
            <w:r>
              <w:rPr>
                <w:rFonts w:ascii="仿宋_GB2312" w:hAnsi="仿宋_GB2312" w:cs="仿宋_GB2312" w:eastAsia="仿宋_GB2312"/>
              </w:rPr>
              <w:t>▲</w:t>
            </w:r>
            <w:r>
              <w:rPr>
                <w:rFonts w:ascii="仿宋_GB2312" w:hAnsi="仿宋_GB2312" w:cs="仿宋_GB2312" w:eastAsia="仿宋_GB2312"/>
                <w:sz w:val="19"/>
                <w:b/>
                <w:color w:val="000000"/>
              </w:rPr>
              <w:t xml:space="preserve">作业速度km/h </w:t>
            </w:r>
            <w:r>
              <w:rPr>
                <w:rFonts w:ascii="仿宋_GB2312" w:hAnsi="仿宋_GB2312" w:cs="仿宋_GB2312" w:eastAsia="仿宋_GB2312"/>
                <w:sz w:val="19"/>
                <w:b/>
                <w:color w:val="000000"/>
              </w:rPr>
              <w:t>:0-8</w:t>
            </w:r>
          </w:p>
          <w:p>
            <w:pPr>
              <w:pStyle w:val="null3"/>
            </w:pPr>
            <w:r>
              <w:rPr>
                <w:rFonts w:ascii="仿宋_GB2312" w:hAnsi="仿宋_GB2312" w:cs="仿宋_GB2312" w:eastAsia="仿宋_GB2312"/>
                <w:sz w:val="19"/>
                <w:b/>
                <w:color w:val="000000"/>
              </w:rPr>
              <w:t>15.</w:t>
            </w:r>
            <w:r>
              <w:rPr>
                <w:rFonts w:ascii="仿宋_GB2312" w:hAnsi="仿宋_GB2312" w:cs="仿宋_GB2312" w:eastAsia="仿宋_GB2312"/>
              </w:rPr>
              <w:t>▲</w:t>
            </w:r>
            <w:r>
              <w:rPr>
                <w:rFonts w:ascii="仿宋_GB2312" w:hAnsi="仿宋_GB2312" w:cs="仿宋_GB2312" w:eastAsia="仿宋_GB2312"/>
                <w:sz w:val="19"/>
                <w:b/>
                <w:color w:val="000000"/>
              </w:rPr>
              <w:t xml:space="preserve">作业小时生产 </w:t>
            </w:r>
            <w:r>
              <w:rPr>
                <w:rFonts w:ascii="仿宋_GB2312" w:hAnsi="仿宋_GB2312" w:cs="仿宋_GB2312" w:eastAsia="仿宋_GB2312"/>
                <w:sz w:val="19"/>
                <w:b/>
                <w:color w:val="000000"/>
              </w:rPr>
              <w:t>率hm²/h:0-1.1</w:t>
            </w:r>
          </w:p>
          <w:p>
            <w:pPr>
              <w:pStyle w:val="null3"/>
            </w:pPr>
            <w:r>
              <w:rPr>
                <w:rFonts w:ascii="仿宋_GB2312" w:hAnsi="仿宋_GB2312" w:cs="仿宋_GB2312" w:eastAsia="仿宋_GB2312"/>
                <w:sz w:val="19"/>
                <w:b/>
                <w:color w:val="000000"/>
              </w:rPr>
              <w:t xml:space="preserve">16.单位作业量燃 </w:t>
            </w:r>
            <w:r>
              <w:rPr>
                <w:rFonts w:ascii="仿宋_GB2312" w:hAnsi="仿宋_GB2312" w:cs="仿宋_GB2312" w:eastAsia="仿宋_GB2312"/>
                <w:sz w:val="19"/>
                <w:b/>
                <w:color w:val="000000"/>
              </w:rPr>
              <w:t xml:space="preserve">油消耗量kg/hm²: </w:t>
            </w:r>
            <w:r>
              <w:rPr>
                <w:rFonts w:ascii="仿宋_GB2312" w:hAnsi="仿宋_GB2312" w:cs="仿宋_GB2312" w:eastAsia="仿宋_GB2312"/>
                <w:sz w:val="18"/>
                <w:b/>
                <w:color w:val="000000"/>
              </w:rPr>
              <w:t>≤35</w:t>
            </w:r>
          </w:p>
          <w:p>
            <w:pPr>
              <w:pStyle w:val="null3"/>
            </w:pPr>
            <w:r>
              <w:rPr>
                <w:rFonts w:ascii="仿宋_GB2312" w:hAnsi="仿宋_GB2312" w:cs="仿宋_GB2312" w:eastAsia="仿宋_GB2312"/>
                <w:sz w:val="19"/>
                <w:b/>
                <w:color w:val="000000"/>
              </w:rPr>
              <w:t xml:space="preserve">17.割台搅龙型式 </w:t>
            </w:r>
            <w:r>
              <w:rPr>
                <w:rFonts w:ascii="仿宋_GB2312" w:hAnsi="仿宋_GB2312" w:cs="仿宋_GB2312" w:eastAsia="仿宋_GB2312"/>
                <w:sz w:val="19"/>
                <w:b/>
                <w:color w:val="000000"/>
              </w:rPr>
              <w:t>:螺旋式、螺旋</w:t>
            </w:r>
            <w:r>
              <w:rPr>
                <w:rFonts w:ascii="仿宋_GB2312" w:hAnsi="仿宋_GB2312" w:cs="仿宋_GB2312" w:eastAsia="仿宋_GB2312"/>
                <w:sz w:val="19"/>
                <w:b/>
                <w:color w:val="000000"/>
              </w:rPr>
              <w:t>拔</w:t>
            </w:r>
            <w:r>
              <w:rPr>
                <w:rFonts w:ascii="仿宋_GB2312" w:hAnsi="仿宋_GB2312" w:cs="仿宋_GB2312" w:eastAsia="仿宋_GB2312"/>
                <w:sz w:val="19"/>
                <w:b/>
                <w:color w:val="000000"/>
              </w:rPr>
              <w:t>齿式、浮动式</w:t>
            </w:r>
          </w:p>
          <w:p>
            <w:pPr>
              <w:pStyle w:val="null3"/>
            </w:pPr>
            <w:r>
              <w:rPr>
                <w:rFonts w:ascii="仿宋_GB2312" w:hAnsi="仿宋_GB2312" w:cs="仿宋_GB2312" w:eastAsia="仿宋_GB2312"/>
                <w:sz w:val="19"/>
                <w:b/>
                <w:color w:val="000000"/>
              </w:rPr>
              <w:t>18.</w:t>
            </w:r>
            <w:r>
              <w:rPr>
                <w:rFonts w:ascii="仿宋_GB2312" w:hAnsi="仿宋_GB2312" w:cs="仿宋_GB2312" w:eastAsia="仿宋_GB2312"/>
              </w:rPr>
              <w:t>▲</w:t>
            </w:r>
            <w:r>
              <w:rPr>
                <w:rFonts w:ascii="仿宋_GB2312" w:hAnsi="仿宋_GB2312" w:cs="仿宋_GB2312" w:eastAsia="仿宋_GB2312"/>
                <w:sz w:val="19"/>
                <w:b/>
                <w:color w:val="000000"/>
              </w:rPr>
              <w:t xml:space="preserve">履带接地压力 </w:t>
            </w:r>
            <w:r>
              <w:rPr>
                <w:rFonts w:ascii="仿宋_GB2312" w:hAnsi="仿宋_GB2312" w:cs="仿宋_GB2312" w:eastAsia="仿宋_GB2312"/>
                <w:sz w:val="19"/>
                <w:b/>
                <w:color w:val="000000"/>
              </w:rPr>
              <w:t>kPa:</w:t>
            </w:r>
            <w:r>
              <w:rPr>
                <w:rFonts w:ascii="仿宋_GB2312" w:hAnsi="仿宋_GB2312" w:cs="仿宋_GB2312" w:eastAsia="仿宋_GB2312"/>
                <w:sz w:val="18"/>
                <w:b/>
                <w:color w:val="000000"/>
              </w:rPr>
              <w:t>≤24</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玉米收割机（2台）</w:t>
            </w:r>
          </w:p>
          <w:p>
            <w:pPr>
              <w:pStyle w:val="null3"/>
            </w:pPr>
            <w:r>
              <w:rPr>
                <w:rFonts w:ascii="仿宋_GB2312" w:hAnsi="仿宋_GB2312" w:cs="仿宋_GB2312" w:eastAsia="仿宋_GB2312"/>
                <w:sz w:val="21"/>
                <w:b/>
                <w:color w:val="000000"/>
              </w:rPr>
              <w:t>1.▲整机重量:4.0-</w:t>
            </w:r>
            <w:r>
              <w:rPr>
                <w:rFonts w:ascii="仿宋_GB2312" w:hAnsi="仿宋_GB2312" w:cs="仿宋_GB2312" w:eastAsia="仿宋_GB2312"/>
                <w:sz w:val="21"/>
                <w:b/>
                <w:color w:val="000000"/>
              </w:rPr>
              <w:t>4.9吨；</w:t>
            </w:r>
          </w:p>
          <w:p>
            <w:pPr>
              <w:pStyle w:val="null3"/>
            </w:pPr>
            <w:r>
              <w:rPr>
                <w:rFonts w:ascii="仿宋_GB2312" w:hAnsi="仿宋_GB2312" w:cs="仿宋_GB2312" w:eastAsia="仿宋_GB2312"/>
                <w:sz w:val="21"/>
                <w:b/>
                <w:color w:val="000000"/>
              </w:rPr>
              <w:t>2.轮胎规格:9.5一</w:t>
            </w:r>
            <w:r>
              <w:rPr>
                <w:rFonts w:ascii="仿宋_GB2312" w:hAnsi="仿宋_GB2312" w:cs="仿宋_GB2312" w:eastAsia="仿宋_GB2312"/>
                <w:sz w:val="21"/>
                <w:b/>
                <w:color w:val="000000"/>
              </w:rPr>
              <w:t>20mm，轮距</w:t>
            </w:r>
            <w:r>
              <w:rPr>
                <w:rFonts w:ascii="仿宋_GB2312" w:hAnsi="仿宋_GB2312" w:cs="仿宋_GB2312" w:eastAsia="仿宋_GB2312"/>
                <w:sz w:val="21"/>
                <w:b/>
                <w:color w:val="000000"/>
              </w:rPr>
              <w:t>1700一1860mm；</w:t>
            </w:r>
          </w:p>
          <w:p>
            <w:pPr>
              <w:pStyle w:val="null3"/>
            </w:pPr>
            <w:r>
              <w:rPr>
                <w:rFonts w:ascii="仿宋_GB2312" w:hAnsi="仿宋_GB2312" w:cs="仿宋_GB2312" w:eastAsia="仿宋_GB2312"/>
                <w:sz w:val="21"/>
                <w:b/>
                <w:color w:val="000000"/>
              </w:rPr>
              <w:t>3.离地间隙:300</w:t>
            </w:r>
            <w:r>
              <w:rPr>
                <w:rFonts w:ascii="仿宋_GB2312" w:hAnsi="仿宋_GB2312" w:cs="仿宋_GB2312" w:eastAsia="仿宋_GB2312"/>
                <w:sz w:val="21"/>
                <w:b/>
                <w:color w:val="000000"/>
              </w:rPr>
              <w:t>一400mm；</w:t>
            </w:r>
          </w:p>
          <w:p>
            <w:pPr>
              <w:pStyle w:val="null3"/>
            </w:pPr>
            <w:r>
              <w:rPr>
                <w:rFonts w:ascii="仿宋_GB2312" w:hAnsi="仿宋_GB2312" w:cs="仿宋_GB2312" w:eastAsia="仿宋_GB2312"/>
                <w:sz w:val="21"/>
                <w:b/>
                <w:color w:val="000000"/>
              </w:rPr>
              <w:t>4.外形尺寸:6000</w:t>
            </w:r>
            <w:r>
              <w:rPr>
                <w:rFonts w:ascii="仿宋_GB2312" w:hAnsi="仿宋_GB2312" w:cs="仿宋_GB2312" w:eastAsia="仿宋_GB2312"/>
                <w:sz w:val="21"/>
                <w:b/>
                <w:color w:val="000000"/>
              </w:rPr>
              <w:t>-6700mm×1900-</w:t>
            </w:r>
            <w:r>
              <w:rPr>
                <w:rFonts w:ascii="仿宋_GB2312" w:hAnsi="仿宋_GB2312" w:cs="仿宋_GB2312" w:eastAsia="仿宋_GB2312"/>
                <w:sz w:val="21"/>
                <w:b/>
                <w:color w:val="000000"/>
              </w:rPr>
              <w:t>2300mm×2900-</w:t>
            </w:r>
            <w:r>
              <w:rPr>
                <w:rFonts w:ascii="仿宋_GB2312" w:hAnsi="仿宋_GB2312" w:cs="仿宋_GB2312" w:eastAsia="仿宋_GB2312"/>
                <w:sz w:val="21"/>
                <w:b/>
                <w:color w:val="000000"/>
              </w:rPr>
              <w:t>3300mm；</w:t>
            </w:r>
          </w:p>
          <w:p>
            <w:pPr>
              <w:pStyle w:val="null3"/>
            </w:pPr>
            <w:r>
              <w:rPr>
                <w:rFonts w:ascii="仿宋_GB2312" w:hAnsi="仿宋_GB2312" w:cs="仿宋_GB2312" w:eastAsia="仿宋_GB2312"/>
                <w:sz w:val="21"/>
                <w:b/>
                <w:color w:val="000000"/>
              </w:rPr>
              <w:t>5.发动</w:t>
            </w:r>
            <w:r>
              <w:rPr>
                <w:rFonts w:ascii="仿宋_GB2312" w:hAnsi="仿宋_GB2312" w:cs="仿宋_GB2312" w:eastAsia="仿宋_GB2312"/>
                <w:sz w:val="21"/>
                <w:b/>
                <w:color w:val="000000"/>
              </w:rPr>
              <w:t>机:全柴/玉柴四</w:t>
            </w:r>
            <w:r>
              <w:rPr>
                <w:rFonts w:ascii="仿宋_GB2312" w:hAnsi="仿宋_GB2312" w:cs="仿宋_GB2312" w:eastAsia="仿宋_GB2312"/>
                <w:sz w:val="21"/>
                <w:b/>
                <w:color w:val="000000"/>
              </w:rPr>
              <w:t>缸国四/国六，无六</w:t>
            </w:r>
            <w:r>
              <w:rPr>
                <w:rFonts w:ascii="仿宋_GB2312" w:hAnsi="仿宋_GB2312" w:cs="仿宋_GB2312" w:eastAsia="仿宋_GB2312"/>
                <w:sz w:val="21"/>
                <w:b/>
                <w:color w:val="000000"/>
              </w:rPr>
              <w:t>缸；</w:t>
            </w:r>
          </w:p>
          <w:p>
            <w:pPr>
              <w:pStyle w:val="null3"/>
            </w:pPr>
            <w:r>
              <w:rPr>
                <w:rFonts w:ascii="仿宋_GB2312" w:hAnsi="仿宋_GB2312" w:cs="仿宋_GB2312" w:eastAsia="仿宋_GB2312"/>
                <w:sz w:val="21"/>
                <w:b/>
                <w:color w:val="000000"/>
              </w:rPr>
              <w:t>6</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 xml:space="preserve">★马力范围:110- </w:t>
            </w:r>
            <w:r>
              <w:rPr>
                <w:rFonts w:ascii="仿宋_GB2312" w:hAnsi="仿宋_GB2312" w:cs="仿宋_GB2312" w:eastAsia="仿宋_GB2312"/>
                <w:sz w:val="21"/>
                <w:b/>
                <w:color w:val="000000"/>
              </w:rPr>
              <w:t>160马力，主流</w:t>
            </w:r>
            <w:r>
              <w:rPr>
                <w:rFonts w:ascii="仿宋_GB2312" w:hAnsi="仿宋_GB2312" w:cs="仿宋_GB2312" w:eastAsia="仿宋_GB2312"/>
                <w:sz w:val="21"/>
                <w:b/>
                <w:color w:val="000000"/>
              </w:rPr>
              <w:t>120-150马力；</w:t>
            </w:r>
          </w:p>
          <w:p>
            <w:pPr>
              <w:pStyle w:val="null3"/>
            </w:pPr>
            <w:r>
              <w:rPr>
                <w:rFonts w:ascii="仿宋_GB2312" w:hAnsi="仿宋_GB2312" w:cs="仿宋_GB2312" w:eastAsia="仿宋_GB2312"/>
                <w:sz w:val="21"/>
                <w:b/>
                <w:color w:val="000000"/>
              </w:rPr>
              <w:t>7</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★额定功率:88一</w:t>
            </w:r>
            <w:r>
              <w:rPr>
                <w:rFonts w:ascii="仿宋_GB2312" w:hAnsi="仿宋_GB2312" w:cs="仿宋_GB2312" w:eastAsia="仿宋_GB2312"/>
                <w:sz w:val="21"/>
                <w:b/>
                <w:color w:val="000000"/>
              </w:rPr>
              <w:t xml:space="preserve">118kW，转速2200 </w:t>
            </w:r>
            <w:r>
              <w:rPr>
                <w:rFonts w:ascii="仿宋_GB2312" w:hAnsi="仿宋_GB2312" w:cs="仿宋_GB2312" w:eastAsia="仿宋_GB2312"/>
                <w:sz w:val="21"/>
                <w:b/>
                <w:color w:val="000000"/>
              </w:rPr>
              <w:t>一2400r/min；</w:t>
            </w:r>
          </w:p>
          <w:p>
            <w:pPr>
              <w:pStyle w:val="null3"/>
            </w:pPr>
            <w:r>
              <w:rPr>
                <w:rFonts w:ascii="仿宋_GB2312" w:hAnsi="仿宋_GB2312" w:cs="仿宋_GB2312" w:eastAsia="仿宋_GB2312"/>
                <w:sz w:val="21"/>
                <w:b/>
                <w:color w:val="000000"/>
              </w:rPr>
              <w:t>8.</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油箱容积:130</w:t>
            </w:r>
            <w:r>
              <w:rPr>
                <w:rFonts w:ascii="仿宋_GB2312" w:hAnsi="仿宋_GB2312" w:cs="仿宋_GB2312" w:eastAsia="仿宋_GB2312"/>
                <w:sz w:val="21"/>
                <w:b/>
                <w:color w:val="000000"/>
              </w:rPr>
              <w:t>一220L，单日续</w:t>
            </w:r>
            <w:r>
              <w:rPr>
                <w:rFonts w:ascii="仿宋_GB2312" w:hAnsi="仿宋_GB2312" w:cs="仿宋_GB2312" w:eastAsia="仿宋_GB2312"/>
                <w:sz w:val="21"/>
                <w:b/>
                <w:color w:val="000000"/>
              </w:rPr>
              <w:t>航80一120亩；</w:t>
            </w:r>
          </w:p>
          <w:p>
            <w:pPr>
              <w:pStyle w:val="null3"/>
            </w:pPr>
            <w:r>
              <w:rPr>
                <w:rFonts w:ascii="仿宋_GB2312" w:hAnsi="仿宋_GB2312" w:cs="仿宋_GB2312" w:eastAsia="仿宋_GB2312"/>
                <w:sz w:val="21"/>
                <w:b/>
                <w:color w:val="000000"/>
              </w:rPr>
              <w:t>9.变速箱:机械三</w:t>
            </w:r>
            <w:r>
              <w:rPr>
                <w:rFonts w:ascii="仿宋_GB2312" w:hAnsi="仿宋_GB2312" w:cs="仿宋_GB2312" w:eastAsia="仿宋_GB2312"/>
                <w:sz w:val="21"/>
                <w:b/>
                <w:color w:val="000000"/>
              </w:rPr>
              <w:t>档+静液压无级变</w:t>
            </w:r>
            <w:r>
              <w:rPr>
                <w:rFonts w:ascii="仿宋_GB2312" w:hAnsi="仿宋_GB2312" w:cs="仿宋_GB2312" w:eastAsia="仿宋_GB2312"/>
                <w:sz w:val="21"/>
                <w:b/>
                <w:color w:val="000000"/>
              </w:rPr>
              <w:t>速(低配纯机械5</w:t>
            </w:r>
            <w:r>
              <w:rPr>
                <w:rFonts w:ascii="仿宋_GB2312" w:hAnsi="仿宋_GB2312" w:cs="仿宋_GB2312" w:eastAsia="仿宋_GB2312"/>
                <w:sz w:val="21"/>
                <w:b/>
                <w:color w:val="000000"/>
              </w:rPr>
              <w:t>档)；</w:t>
            </w:r>
          </w:p>
          <w:p>
            <w:pPr>
              <w:pStyle w:val="null3"/>
            </w:pPr>
            <w:r>
              <w:rPr>
                <w:rFonts w:ascii="仿宋_GB2312" w:hAnsi="仿宋_GB2312" w:cs="仿宋_GB2312" w:eastAsia="仿宋_GB2312"/>
                <w:sz w:val="21"/>
                <w:b/>
                <w:color w:val="000000"/>
              </w:rPr>
              <w:t>10.</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驱动形</w:t>
            </w:r>
            <w:r>
              <w:rPr>
                <w:rFonts w:ascii="仿宋_GB2312" w:hAnsi="仿宋_GB2312" w:cs="仿宋_GB2312" w:eastAsia="仿宋_GB2312"/>
                <w:sz w:val="21"/>
                <w:b/>
                <w:color w:val="000000"/>
              </w:rPr>
              <w:t>式：全部两驱，</w:t>
            </w:r>
            <w:r>
              <w:rPr>
                <w:rFonts w:ascii="仿宋_GB2312" w:hAnsi="仿宋_GB2312" w:cs="仿宋_GB2312" w:eastAsia="仿宋_GB2312"/>
                <w:sz w:val="21"/>
                <w:b/>
                <w:color w:val="000000"/>
              </w:rPr>
              <w:t>无四驱配置</w:t>
            </w:r>
          </w:p>
          <w:p>
            <w:pPr>
              <w:pStyle w:val="null3"/>
            </w:pPr>
            <w:r>
              <w:rPr>
                <w:rFonts w:ascii="仿宋_GB2312" w:hAnsi="仿宋_GB2312" w:cs="仿宋_GB2312" w:eastAsia="仿宋_GB2312"/>
                <w:sz w:val="21"/>
                <w:b/>
                <w:color w:val="000000"/>
              </w:rPr>
              <w:t>11.▲收获行数:3行</w:t>
            </w:r>
            <w:r>
              <w:rPr>
                <w:rFonts w:ascii="仿宋_GB2312" w:hAnsi="仿宋_GB2312" w:cs="仿宋_GB2312" w:eastAsia="仿宋_GB2312"/>
                <w:sz w:val="21"/>
                <w:b/>
                <w:color w:val="000000"/>
              </w:rPr>
              <w:t>-4行；</w:t>
            </w:r>
          </w:p>
          <w:p>
            <w:pPr>
              <w:pStyle w:val="null3"/>
            </w:pPr>
            <w:r>
              <w:rPr>
                <w:rFonts w:ascii="仿宋_GB2312" w:hAnsi="仿宋_GB2312" w:cs="仿宋_GB2312" w:eastAsia="仿宋_GB2312"/>
                <w:sz w:val="21"/>
                <w:b/>
                <w:color w:val="000000"/>
              </w:rPr>
              <w:t>12.适配行距:520</w:t>
            </w:r>
            <w:r>
              <w:rPr>
                <w:rFonts w:ascii="仿宋_GB2312" w:hAnsi="仿宋_GB2312" w:cs="仿宋_GB2312" w:eastAsia="仿宋_GB2312"/>
                <w:sz w:val="21"/>
                <w:b/>
                <w:color w:val="000000"/>
              </w:rPr>
              <w:t xml:space="preserve">/550/580/600/ </w:t>
            </w:r>
            <w:r>
              <w:rPr>
                <w:rFonts w:ascii="仿宋_GB2312" w:hAnsi="仿宋_GB2312" w:cs="仿宋_GB2312" w:eastAsia="仿宋_GB2312"/>
                <w:sz w:val="21"/>
                <w:b/>
                <w:color w:val="000000"/>
              </w:rPr>
              <w:t>650mm可调；</w:t>
            </w:r>
          </w:p>
          <w:p>
            <w:pPr>
              <w:pStyle w:val="null3"/>
            </w:pPr>
            <w:r>
              <w:rPr>
                <w:rFonts w:ascii="仿宋_GB2312" w:hAnsi="仿宋_GB2312" w:cs="仿宋_GB2312" w:eastAsia="仿宋_GB2312"/>
                <w:sz w:val="21"/>
                <w:b/>
                <w:color w:val="000000"/>
              </w:rPr>
              <w:t xml:space="preserve">13.▲割台总幅宽: </w:t>
            </w:r>
            <w:r>
              <w:rPr>
                <w:rFonts w:ascii="仿宋_GB2312" w:hAnsi="仿宋_GB2312" w:cs="仿宋_GB2312" w:eastAsia="仿宋_GB2312"/>
                <w:sz w:val="21"/>
                <w:b/>
                <w:color w:val="000000"/>
              </w:rPr>
              <w:t>1750-2050mm；</w:t>
            </w:r>
          </w:p>
          <w:p>
            <w:pPr>
              <w:pStyle w:val="null3"/>
            </w:pPr>
            <w:r>
              <w:rPr>
                <w:rFonts w:ascii="仿宋_GB2312" w:hAnsi="仿宋_GB2312" w:cs="仿宋_GB2312" w:eastAsia="仿宋_GB2312"/>
                <w:sz w:val="21"/>
                <w:b/>
                <w:color w:val="000000"/>
              </w:rPr>
              <w:t>14.摘穗结构:板</w:t>
            </w:r>
            <w:r>
              <w:rPr>
                <w:rFonts w:ascii="仿宋_GB2312" w:hAnsi="仿宋_GB2312" w:cs="仿宋_GB2312" w:eastAsia="仿宋_GB2312"/>
                <w:sz w:val="21"/>
                <w:b/>
                <w:color w:val="000000"/>
              </w:rPr>
              <w:t>式/辊式摘穗，带</w:t>
            </w:r>
            <w:r>
              <w:rPr>
                <w:rFonts w:ascii="仿宋_GB2312" w:hAnsi="仿宋_GB2312" w:cs="仿宋_GB2312" w:eastAsia="仿宋_GB2312"/>
                <w:sz w:val="21"/>
                <w:b/>
                <w:color w:val="000000"/>
              </w:rPr>
              <w:t>倒伏扶禾器，割</w:t>
            </w:r>
            <w:r>
              <w:rPr>
                <w:rFonts w:ascii="仿宋_GB2312" w:hAnsi="仿宋_GB2312" w:cs="仿宋_GB2312" w:eastAsia="仿宋_GB2312"/>
                <w:sz w:val="21"/>
                <w:b/>
                <w:color w:val="000000"/>
              </w:rPr>
              <w:t>台传动采用双排</w:t>
            </w:r>
            <w:r>
              <w:rPr>
                <w:rFonts w:ascii="仿宋_GB2312" w:hAnsi="仿宋_GB2312" w:cs="仿宋_GB2312" w:eastAsia="仿宋_GB2312"/>
                <w:sz w:val="21"/>
                <w:b/>
                <w:color w:val="000000"/>
              </w:rPr>
              <w:t>链；</w:t>
            </w:r>
          </w:p>
          <w:p>
            <w:pPr>
              <w:pStyle w:val="null3"/>
            </w:pPr>
            <w:r>
              <w:rPr>
                <w:rFonts w:ascii="仿宋_GB2312" w:hAnsi="仿宋_GB2312" w:cs="仿宋_GB2312" w:eastAsia="仿宋_GB2312"/>
                <w:sz w:val="21"/>
                <w:b/>
                <w:color w:val="000000"/>
              </w:rPr>
              <w:t>15.升运器宽</w:t>
            </w:r>
            <w:r>
              <w:rPr>
                <w:rFonts w:ascii="仿宋_GB2312" w:hAnsi="仿宋_GB2312" w:cs="仿宋_GB2312" w:eastAsia="仿宋_GB2312"/>
                <w:sz w:val="21"/>
                <w:b/>
                <w:color w:val="000000"/>
              </w:rPr>
              <w:t>度:400-600mm，基</w:t>
            </w:r>
            <w:r>
              <w:rPr>
                <w:rFonts w:ascii="仿宋_GB2312" w:hAnsi="仿宋_GB2312" w:cs="仿宋_GB2312" w:eastAsia="仿宋_GB2312"/>
                <w:sz w:val="21"/>
                <w:b/>
                <w:color w:val="000000"/>
              </w:rPr>
              <w:t>础款无加宽防</w:t>
            </w:r>
            <w:r>
              <w:rPr>
                <w:rFonts w:ascii="仿宋_GB2312" w:hAnsi="仿宋_GB2312" w:cs="仿宋_GB2312" w:eastAsia="仿宋_GB2312"/>
                <w:sz w:val="21"/>
                <w:b/>
                <w:color w:val="000000"/>
              </w:rPr>
              <w:t>堵通道</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⾃合同签订之⽇起30⽇历天内供货、安装、调试完毕。（具体起⽌⽇期可随合同签订时间相应顺延）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洋县戚⽒街道陶岭村农事服务中⼼</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进度款，产品交货、安装、调试验收合格、进度达到总项⽬的百分之⼋⼗，达到付款条件起15个工作日内，支付合同总金额的50.0%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进度款，项⽬验收合格后，达到付款条件起15个工作日内，支付合同总金额的20.0%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1、所有货物安装调试完后，由采购⼈进⾏最终验收，合格后签发《验收单》。 2、验收不合格的中标单位，必须在接到通知后7个⽇历⽇内确保货物通过验收。如接到通知后7个⽇历⽇内验收仍不合格，采购⼈可提出索赔或取消其供货合同。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1、质保期为终验合格后不少于12个⽉(参数中有具体要求的，按参数要求提供质保)。中 标企业承诺的质保时间超过磋商⽂件要的按其承诺时间质保。2、中标企业承诺的质保期起始时间为终验合格之⽇。3、所有产品质量必须符合国家有关规范和相关政策。所有货物及辅材必须是未使⽤过的新产品质量优良。4、质保期出现的质量问题由中标企业负责解决并承担所有费⽤。</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1、按《中华⼈⺠共和国⺠法典》中的相关条款执⾏。 2、未按合同要求提供产品或货物质量不能满⾜技术要求，采购⼈有权终⽌合同，并对供⽅违约⾏为进⾏追究，同时按《政府采购法》的有关规定进⾏处罚。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 xml:space="preserve"> 为⽅便采购⼈备案留存⼯作，成交供应商需向采购代理机构提交签章⻬全的纸质版（⼀正⼀副）及电⼦版，成交供应商应保持响应⽂件纸质版内容、电⼦版内容与系统上传内容完全⼀致，否则将承担⼀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供应商为具有独⽴承担⺠事责任能⼒的法⼈或其他组织或⾃然⼈</w:t>
            </w:r>
          </w:p>
        </w:tc>
        <w:tc>
          <w:tcPr>
            <w:tcW w:type="dxa" w:w="3322"/>
          </w:tcPr>
          <w:p>
            <w:pPr>
              <w:pStyle w:val="null3"/>
            </w:pPr>
            <w:r>
              <w:rPr>
                <w:rFonts w:ascii="仿宋_GB2312" w:hAnsi="仿宋_GB2312" w:cs="仿宋_GB2312" w:eastAsia="仿宋_GB2312"/>
              </w:rPr>
              <w:t>供应商为具有独⽴承担⺠事责任能⼒的法⼈或其他组织或⾃然⼈，并出具合法有效的营业执照或事 业法⼈证书等国家规定的相关证明，⾃然⼈参与的提供其⾝份证明；供应商需在项⽬电⼦化交易系 统中按要求上传相应证明⽂件并进⾏电⼦签章；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法定代表⼈证明或法定代表⼈授权书</w:t>
            </w:r>
          </w:p>
        </w:tc>
        <w:tc>
          <w:tcPr>
            <w:tcW w:type="dxa" w:w="3322"/>
          </w:tcPr>
          <w:p>
            <w:pPr>
              <w:pStyle w:val="null3"/>
            </w:pPr>
            <w:r>
              <w:rPr>
                <w:rFonts w:ascii="仿宋_GB2312" w:hAnsi="仿宋_GB2312" w:cs="仿宋_GB2312" w:eastAsia="仿宋_GB2312"/>
              </w:rPr>
              <w:t>法定代表⼈参加投标须提供《法定代表⼈⾝份证明》及⾝份证复印件；法定代表⼈授权委托⼈参加 投标，须提供《法定代表⼈授权委托书》、被授权⼈⾝份证复印件；供应商需在项⽬电⼦化交易系 统中按要求上传相应证明⽂件并进⾏电⼦签章；</w:t>
            </w:r>
          </w:p>
        </w:tc>
        <w:tc>
          <w:tcPr>
            <w:tcW w:type="dxa" w:w="1661"/>
          </w:tcPr>
          <w:p>
            <w:pPr>
              <w:pStyle w:val="null3"/>
            </w:pPr>
            <w:r>
              <w:rPr>
                <w:rFonts w:ascii="仿宋_GB2312" w:hAnsi="仿宋_GB2312" w:cs="仿宋_GB2312" w:eastAsia="仿宋_GB2312"/>
              </w:rPr>
              <w:t>法定代表人证明或法定代表人授权书.docx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供应商须具有健全的财务会计制度、具有履⾏合同所必需的设备和专业技术能⼒、具有依法缴纳税 收和社会保障资⾦的良好记录，参加本项⽬采购活动前三年内在经营活动中⽆重⼤违法活动记录， 未列⼊在信⽤中国⽹站“失信被执⾏⼈”、“重⼤税收违法案件当事⼈名单”中，未列⼊中国政府采购⽹“政府采购严重违法失信⾏为记录名单”中；需提供《汉中市政府采购供应商资格承诺函》，供应商需在项⽬电⼦化交易系统中按要求上传相应证明⽂件并进⾏电⼦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⾮联合体投标声明</w:t>
            </w:r>
          </w:p>
        </w:tc>
        <w:tc>
          <w:tcPr>
            <w:tcW w:type="dxa" w:w="3322"/>
          </w:tcPr>
          <w:p>
            <w:pPr>
              <w:pStyle w:val="null3"/>
            </w:pPr>
            <w:r>
              <w:rPr>
                <w:rFonts w:ascii="仿宋_GB2312" w:hAnsi="仿宋_GB2312" w:cs="仿宋_GB2312" w:eastAsia="仿宋_GB2312"/>
              </w:rPr>
              <w:t>本项⽬不接受联合体投标，供应商需提供⾮联合体书⾯声明。</w:t>
            </w:r>
          </w:p>
        </w:tc>
        <w:tc>
          <w:tcPr>
            <w:tcW w:type="dxa" w:w="1661"/>
          </w:tcPr>
          <w:p>
            <w:pPr>
              <w:pStyle w:val="null3"/>
            </w:pPr>
            <w:r>
              <w:rPr>
                <w:rFonts w:ascii="仿宋_GB2312" w:hAnsi="仿宋_GB2312" w:cs="仿宋_GB2312" w:eastAsia="仿宋_GB2312"/>
              </w:rPr>
              <w:t>供应商非联合体声明.docx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1.报价唯⼀；2.报价货币符合招标⽂件要求; 3.未超出采购预算或招标⽂件规定的最⾼限价。</w:t>
            </w:r>
          </w:p>
        </w:tc>
        <w:tc>
          <w:tcPr>
            <w:tcW w:type="dxa" w:w="1661"/>
          </w:tcPr>
          <w:p>
            <w:pPr>
              <w:pStyle w:val="null3"/>
            </w:pPr>
            <w:r>
              <w:rPr>
                <w:rFonts w:ascii="仿宋_GB2312" w:hAnsi="仿宋_GB2312" w:cs="仿宋_GB2312" w:eastAsia="仿宋_GB2312"/>
              </w:rPr>
              <w:t>开标一览表 包(1)_报价表.pdf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应满⾜磋商⽂件的要求，30日历天</w:t>
            </w:r>
          </w:p>
        </w:tc>
        <w:tc>
          <w:tcPr>
            <w:tcW w:type="dxa" w:w="1661"/>
          </w:tcPr>
          <w:p>
            <w:pPr>
              <w:pStyle w:val="null3"/>
            </w:pPr>
            <w:r>
              <w:rPr>
                <w:rFonts w:ascii="仿宋_GB2312" w:hAnsi="仿宋_GB2312" w:cs="仿宋_GB2312" w:eastAsia="仿宋_GB2312"/>
              </w:rPr>
              <w:t>投标文件封面 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响应⽂件有效期符合磋商⽂件要求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由投标⼈的法定代表⼈或其委托代理⼈在正⽂内容有要求的位置按要求签字或盖章，并逐⻚加盖投标⼈单位章（本⻚正⽂内容已加盖单位章的除外）。</w:t>
            </w:r>
          </w:p>
        </w:tc>
        <w:tc>
          <w:tcPr>
            <w:tcW w:type="dxa" w:w="1661"/>
          </w:tcPr>
          <w:p>
            <w:pPr>
              <w:pStyle w:val="null3"/>
            </w:pPr>
            <w:r>
              <w:rPr>
                <w:rFonts w:ascii="仿宋_GB2312" w:hAnsi="仿宋_GB2312" w:cs="仿宋_GB2312" w:eastAsia="仿宋_GB2312"/>
              </w:rPr>
              <w:t>开标一览表 供应商类似项目业绩一览表.docx 中小企业声明函 商务应答表 汉中市政府采购供应商资格承诺函.docx 法定代表人证明或法定代表人授权书.docx 投标人应提交的相关资格证明材料 产品技术参数表 投标函 包(1)_报价表.pdf 残疾人福利性单位声明函 标的清单 关于符合本国产品标准的声明函 投标文件封面 服务方案.docx 监狱企业的证明文件 供应商非联合体声明.docx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参数响应</w:t>
            </w:r>
          </w:p>
        </w:tc>
        <w:tc>
          <w:tcPr>
            <w:tcW w:type="dxa" w:w="2492"/>
          </w:tcPr>
          <w:p>
            <w:pPr>
              <w:pStyle w:val="null3"/>
            </w:pPr>
            <w:r>
              <w:rPr>
                <w:rFonts w:ascii="仿宋_GB2312" w:hAnsi="仿宋_GB2312" w:cs="仿宋_GB2312" w:eastAsia="仿宋_GB2312"/>
              </w:rPr>
              <w:t>依据招标⽂件技术参数对投标⼈响应内容逐项开展评审：标注★为实质性条款，不满⾜直接判定⽆效投标；本技术评审分项满分40分，▲重要条款、⽆标识普通条款出现未响应、达不到技术标准、负偏离均予以扣分，技术正偏离不给予加分。（1）实质性条款（★）：本项⽬设置4项★实质性条款，未完全响应要求的，投标⽂件按⽆效投标处理； （2）标注（▲）重要技术条款共11项，分值33分，每有1项未响应、不满⾜或负偏离扣1.5分，扣⾄0分为⽌； （3）⽆标识普通技术条款，分值7分，每有1项未响应、不满⾜或负偏离扣1分，扣⾄0分为⽌； 注：投标⼈须在技术偏离表对全部技术参数逐项填报响应说明；★实质性条款、▲重要条款须附上对应佐证材料（包括但不限于检测报告、技术⽩⽪书、⼚家产品说明资料等）并标注材料⻚码，普通条款仅需在表格中作出响应，⽆需另⾏提供佐证材料。</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应急保障承诺</w:t>
            </w:r>
          </w:p>
        </w:tc>
        <w:tc>
          <w:tcPr>
            <w:tcW w:type="dxa" w:w="2492"/>
          </w:tcPr>
          <w:p>
            <w:pPr>
              <w:pStyle w:val="null3"/>
            </w:pPr>
            <w:r>
              <w:rPr>
                <w:rFonts w:ascii="仿宋_GB2312" w:hAnsi="仿宋_GB2312" w:cs="仿宋_GB2312" w:eastAsia="仿宋_GB2312"/>
              </w:rPr>
              <w:t>投标⼈须出具加盖单位公章的书⾯应急保障承诺，承诺完整覆盖以下3 项内容，各项独⽴计分： 1、承诺建⽴项⽬专属应急组织架构、配备 24 ⼩时应急联络⼈并明确全流程分级响应机制，得3分； 2、承诺针对原⼚配件短缺、物流延期供货、设备参数不符、偷⼯减料问题制定处置⽅案及赔付保障条款，得2分； 注：须附上对应有效承诺书，承诺内容不全、未提交承诺书的，该项不予计分。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服务⽅案</w:t>
            </w:r>
          </w:p>
        </w:tc>
        <w:tc>
          <w:tcPr>
            <w:tcW w:type="dxa" w:w="2492"/>
          </w:tcPr>
          <w:p>
            <w:pPr>
              <w:pStyle w:val="null3"/>
            </w:pPr>
            <w:r>
              <w:rPr>
                <w:rFonts w:ascii="仿宋_GB2312" w:hAnsi="仿宋_GB2312" w:cs="仿宋_GB2312" w:eastAsia="仿宋_GB2312"/>
              </w:rPr>
              <w:t>评审内容 针对本项⽬提供完整、合理、详细的服务⽅案，⽅案包含：①项⽬整体⽬标；②供货进度计划 ；③安装运输调试⽅案；④供货⼈员配备；⑤物流保障措施。 评审标准 、完整性：⽅案内容完整全⾯， 对上述各项内容均有描述及说明；可操作性：实施流程清晰，质量控制、应急等措施切实可⾏，可直接 落地； 针对性：契合本项⽬⻓效运⾏的专属实施要求。 赋分标准（满分 10 分） 评审内容共计五项，⽅ 案内容详实完整、逻辑清晰、贴合项⽬实际、全⾯满⾜采购要求的，得 10 分。每缺失⼀项内容扣 2分，每项内容存在 1 处缺陷扣 0.5分，扣完即⽌。 未提供本项⽬实施⽅案不得分。 注：缺陷是指该项⽅案已有内容，但内容过于简单、不完善、前后表述不⼀致、套⽤其他项⽬⽅案或与项⽬需求不匹配、凭空编造、出现常识性错误及其他不利于项⽬实施等任意⼀种情形。⽆对应分项内容按整项缺失扣分，不按缺陷扣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评审内容 本项⽬质量保障⽅案需满⾜本项⽬设备供货、系统调试、试运⾏、验收全流程质量管控需求。 根据投标⼈提供的质量保障专项⽅案进⾏评审，内容包含但不限于：①设备出⼚及到货质检管控措施； ②设备组装调试、系统匹配精度控制措施；③全流程质量追溯与整改机制。 评审标准 完整性：涵盖全 部三项质量管控模块，内容完整详实，关键质控环节⽆遗漏； 可操作性：质量管控流程清晰，检验⼿段 、管控节点、责任机制切实可⾏；针对性：契合本项⽬系统集成、配套设施布设的专项质量管控要求。 赋分标准（满分 6 分） 评审内容共计三项，⽅案内容详实完整、逻辑清晰、贴合项⽬实际、全⾯满⾜ 采购要求的，得 2 分。每缺失⼀项内容扣 2 分，每项内容存在 1 处缺陷扣 0.5 分，扣完即⽌。 未提 供本质量保障⽅案不得分。 注：缺陷是指该项⽅案已有内容，但内容过于简单、不完善、前后表述不⼀ 致、套⽤其他项⽬⽅案或与项⽬需求不匹配、凭空编造、出现常识性错误及其他不利于项⽬实施等任意⼀种情形。⽆对应分项内容按整项 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评审内容 针对本项⽬实际情况提出切实可⾏的培训计划，应包括：①⼈员培训计划；②培训⽬标及效果 。 评审标准： 1、完整性:⽅案内容完整全⾯，对上述两项内容均有描述及说明 2、针对性：针对性强 ， 3、可实施性:可实施性强。 赋分标准（满分 4 分） 评审内容共计两项，⽅案内容详实完整、逻辑清晰、贴合项⽬实际、全⾯满⾜采购要求的，得 4 分。每缺失⼀项内容扣 2 分，每项内容存在 1 处缺陷扣 0.5 分，扣完即⽌。 未提供本项⽬培训计划不得分。 注：缺陷是指该项⽅案已有内容，但内容过于简单、不完善、前后表述不⼀致、套⽤其他项⽬计划或与项⽬需求不匹配、凭空编造、出现常识性错误及其他不利于项⽬实施等任意⼀种情形。⽆对应分项内容按整项缺失扣分，不按缺陷扣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评审内容：投标⼈或拟供产品制造⼚商提供2023年1⽉1⽇⾄今类似项⽬业绩。 赋分标准： 每提供1份 得分2.5分，最⾼得5分。⽆此项内容不得分。（注：业绩证明材料以中标（成交）通知书或合同协议书为准 ，投标⽂件中附中标（成交）通知书或合同协议书扫描件。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包(1)_报价表.pdf</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包(1)_报价表.pdf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详见附件：包(1)_报价表.pdf</w:t>
      </w:r>
    </w:p>
    <w:p>
      <w:pPr>
        <w:pStyle w:val="null3"/>
        <w:ind w:firstLine="960"/>
      </w:pPr>
      <w:r>
        <w:rPr>
          <w:rFonts w:ascii="仿宋_GB2312" w:hAnsi="仿宋_GB2312" w:cs="仿宋_GB2312" w:eastAsia="仿宋_GB2312"/>
        </w:rPr>
        <w:t>详见附件：法定代表人证明或法定代表人授权书.docx</w:t>
      </w:r>
    </w:p>
    <w:p>
      <w:pPr>
        <w:pStyle w:val="null3"/>
        <w:ind w:firstLine="960"/>
      </w:pPr>
      <w:r>
        <w:rPr>
          <w:rFonts w:ascii="仿宋_GB2312" w:hAnsi="仿宋_GB2312" w:cs="仿宋_GB2312" w:eastAsia="仿宋_GB2312"/>
        </w:rPr>
        <w:t>详见附件：供应商非联合体声明.docx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详见附件：货物合同.docx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