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版本号：KY2026-3-20220260611001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抖音号“陕西省文化和旅游厅”技术服务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KY2026-3-202</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抖音号“陕西省文化和旅游厅”技术服务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抖音号“陕西省文化和旅游厅”技术服务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抖音号“陕西省文化和旅游厅”技术服务；简要技术要求：详见磋商文件第三章。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采购包1（抖音号“陕西省文化和旅游厅”技术服务）：属于专门面向中小企业采购。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029-85217977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采购包1：1,200,750.00元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代理服务费收费标准：交费金额参照国家计委颁布的《招标代理服务收费管理暂行办法》（计价格[2002]1980号）及发改办价格[2003]857号文件的规定标准按服务计取，不足8000元按定额8000元收取。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联系人：张娜、黄梦迪、戈迪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抖音号“陕西省文化和旅游厅”技术服务；简要技术要求：详见磋商文件第三章。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1,200,750.00</w:t>
      </w:r>
    </w:p>
    <w:p>
      <w:pPr>
        <w:pStyle w:val="null3"/>
      </w:pPr>
      <w:r>
        <w:rPr>
          <w:rFonts w:ascii="仿宋_GB2312" w:hAnsi="仿宋_GB2312" w:cs="仿宋_GB2312" w:eastAsia="仿宋_GB2312"/>
        </w:rPr>
        <w:t>采购包最高限价（元）: 1,200,750.00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抖音号技术服务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标的名称：抖音号技术服务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1.每月制作发布原创短视频不少于30条，全年不少于360条；</w:t>
            </w:r>
          </w:p>
          <w:p>
            <w:pPr>
              <w:pStyle w:val="null3"/>
            </w:pPr>
            <w:r>
              <w:rPr>
                <w:rFonts w:ascii="仿宋_GB2312" w:hAnsi="仿宋_GB2312" w:cs="仿宋_GB2312" w:eastAsia="仿宋_GB2312"/>
              </w:rPr>
              <w:t>2.点击量:每月抖音短视频点击量不少于100万人次，12个月不少于1200万人次；</w:t>
            </w:r>
          </w:p>
          <w:p>
            <w:pPr>
              <w:pStyle w:val="null3"/>
            </w:pPr>
            <w:r>
              <w:rPr>
                <w:rFonts w:ascii="仿宋_GB2312" w:hAnsi="仿宋_GB2312" w:cs="仿宋_GB2312" w:eastAsia="仿宋_GB2312"/>
              </w:rPr>
              <w:t>3.爆款视频:12个月爆款视频(观看4万+)不少于120条；</w:t>
            </w:r>
          </w:p>
          <w:p>
            <w:pPr>
              <w:pStyle w:val="null3"/>
            </w:pPr>
            <w:r>
              <w:rPr>
                <w:rFonts w:ascii="仿宋_GB2312" w:hAnsi="仿宋_GB2312" w:cs="仿宋_GB2312" w:eastAsia="仿宋_GB2312"/>
              </w:rPr>
              <w:t>4.粉丝增长:12个月粉丝增长不少于5%，达到157万；</w:t>
            </w:r>
          </w:p>
          <w:p>
            <w:pPr>
              <w:pStyle w:val="null3"/>
            </w:pPr>
            <w:r>
              <w:rPr>
                <w:rFonts w:ascii="仿宋_GB2312" w:hAnsi="仿宋_GB2312" w:cs="仿宋_GB2312" w:eastAsia="仿宋_GB2312"/>
              </w:rPr>
              <w:t>5.同步更新陕西省文化和旅游厅视频号内容，全年不少于80条；</w:t>
            </w:r>
          </w:p>
          <w:p>
            <w:pPr>
              <w:pStyle w:val="null3"/>
            </w:pPr>
            <w:r>
              <w:rPr>
                <w:rFonts w:ascii="仿宋_GB2312" w:hAnsi="仿宋_GB2312" w:cs="仿宋_GB2312" w:eastAsia="仿宋_GB2312"/>
              </w:rPr>
              <w:t>6.开展一场线上主题互动活动，面向全网用户赠送不少于 300 份陕西特色文旅产品大礼包；</w:t>
            </w:r>
          </w:p>
          <w:p>
            <w:pPr>
              <w:pStyle w:val="null3"/>
            </w:pPr>
            <w:r>
              <w:rPr>
                <w:rFonts w:ascii="仿宋_GB2312" w:hAnsi="仿宋_GB2312" w:cs="仿宋_GB2312" w:eastAsia="仿宋_GB2312"/>
              </w:rPr>
              <w:t>7.筛选自媒体创作者（全网粉丝不低于400万）探访不少于5个陕西文旅地标，突出文化内核与诗意表达，各拍摄制作1条3分钟左右文旅短视频（总计不少于15分钟），覆盖抖音、学习强国、微信视频号、快手等主流新媒体平台。</w:t>
            </w:r>
          </w:p>
          <w:p>
            <w:pPr>
              <w:pStyle w:val="null3"/>
            </w:pPr>
            <w:r>
              <w:rPr>
                <w:rFonts w:ascii="仿宋_GB2312" w:hAnsi="仿宋_GB2312" w:cs="仿宋_GB2312" w:eastAsia="仿宋_GB2312"/>
              </w:rPr>
              <w:t>8.发布内容经省文化和旅游厅审核后发布，策划举办活动经省文化和旅游厅审核后实施；</w:t>
            </w:r>
          </w:p>
          <w:p>
            <w:pPr>
              <w:pStyle w:val="null3"/>
            </w:pPr>
            <w:r>
              <w:rPr>
                <w:rFonts w:ascii="仿宋_GB2312" w:hAnsi="仿宋_GB2312" w:cs="仿宋_GB2312" w:eastAsia="仿宋_GB2312"/>
                <w:sz w:val="21"/>
              </w:rPr>
              <w:t>9.服务中所涉及的任何知识产权法律诉讼的责任，均由乙方承担。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陕西省文化和旅游厅指定地点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其他，所有服务验收合格后，达到付款条件起15个工作日内，支付合同总金额的30.0%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⑦《关于进一步加大政府采购支持中小企业力度的通知》（财库〔2022〕19号）；⑧ 《关于扩大政府采购支持绿色建材促进建筑品质提升政策实施范围的通知》（财库〔2022〕35号）；⑨ 《关于推动解决政府采购异常低价问题的通知》财库〔2026〕2号；⑩《国务院办公厅关于在政府采购中实施本国产品标准及相关政策的通知》国办发〔2025〕34号； ⑪ 若享受以上政策优惠的企业，提供相应声明函或品目范围内产品有效认证证书。如有最新颁布的政府采购政策，按最新的文件执行。2、保证金的退还：自中标通知书发出之日起5个工作日内退还未中标人的投标保证金,自采购合同签订之日起5个工作日内退还中标人的投标保证金。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张娜，联系电话029-81206622/81206633-835）。 若电子响应文件与纸质响应文件不一致的，以电子响应文件为准。4、竞争性磋商文件中所有的商务要求均为实质性要求，供应商必须响应并满足。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标的清单 服务内容及服务要求应答表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服务内容及服务要求应答表 标的清单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项目理解和重点分析</w:t>
            </w:r>
          </w:p>
        </w:tc>
        <w:tc>
          <w:tcPr>
            <w:tcW w:type="dxa" w:w="2492"/>
          </w:tcPr>
          <w:p>
            <w:pPr>
              <w:pStyle w:val="null3"/>
            </w:pPr>
            <w:r>
              <w:rPr>
                <w:rFonts w:ascii="仿宋_GB2312" w:hAnsi="仿宋_GB2312" w:cs="仿宋_GB2312" w:eastAsia="仿宋_GB2312"/>
              </w:rPr>
              <w:t>提供对项目的理解和认识分析，需至少包含：①项目背景与核心需求分析；②重难点分析及应对思路；以上方案每缺一项扣2分，每有1处描述有缺陷扣1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1、详细评审---项目理解和重点分析.docx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需至少包含：①原创短视频生产方案（包含选题策划、制作排期、人员分工、质量保障等）；②点击量保障方案（包含内容优化、投流策略、热点跟进、数据分析与调整机制）；③爆款视频打造方案（包含选题库建设、模仿与创新策略、数据复盘与迭代机制）；④粉丝增长方案（包含粉丝互动、活动拉新、跨平台导流等策略）；⑤视频号同步运营方案（包含内容同步或改编计划、发布时间安排）。⑥线上主题活动方案（包含活动主题、创意玩法、选品方案、物流配送、投诉处理等）；⑦自媒体创作者合作方案（包含创作者筛选标准、内容预审与调性把控、拍摄计划、多平台发布安排、知识产权约定等）；以上方案每缺一项扣4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供应商针对本项目提供详细的服务保障方案，需至少包含：①成果保障措施；②审核与合规方案【包含具体审核流程（对接人、时限、修改机制）、知识产权归属条款等】；③账号安全与资产交接方案；④应急与服务承诺【包含平台规则突变应对策略、负面舆论处置、数据造假防范、人员响应时间承诺等】；以上方案每缺一项扣2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3、详细评审---服务保障.docx</w:t>
            </w:r>
          </w:p>
        </w:tc>
      </w:tr>
      <w:tr>
        <w:tc>
          <w:tcPr>
            <w:tcW w:type="dxa" w:w="831"/>
            <w:vMerge/>
          </w:tcPr>
          <w:p/>
        </w:tc>
        <w:tc>
          <w:tcPr>
            <w:tcW w:type="dxa" w:w="1661"/>
          </w:tcPr>
          <w:p>
            <w:pPr>
              <w:pStyle w:val="null3"/>
            </w:pPr>
            <w:r>
              <w:rPr>
                <w:rFonts w:ascii="仿宋_GB2312" w:hAnsi="仿宋_GB2312" w:cs="仿宋_GB2312" w:eastAsia="仿宋_GB2312"/>
              </w:rPr>
              <w:t>原创生产能力</w:t>
            </w:r>
          </w:p>
        </w:tc>
        <w:tc>
          <w:tcPr>
            <w:tcW w:type="dxa" w:w="2492"/>
          </w:tcPr>
          <w:p>
            <w:pPr>
              <w:pStyle w:val="null3"/>
            </w:pPr>
            <w:r>
              <w:rPr>
                <w:rFonts w:ascii="仿宋_GB2312" w:hAnsi="仿宋_GB2312" w:cs="仿宋_GB2312" w:eastAsia="仿宋_GB2312"/>
              </w:rPr>
              <w:t>供应商提供2025年1月1日至今，任意连续3个月运营的同类账号后台截图（抖音或视频号），证明月均原创短视频发布量≥30条的，得5分；月均≥20条得2分；低于20条得1分，未提供不得分。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4、详细评审---原创生产能力.docx</w:t>
            </w:r>
          </w:p>
        </w:tc>
      </w:tr>
      <w:tr>
        <w:tc>
          <w:tcPr>
            <w:tcW w:type="dxa" w:w="831"/>
            <w:vMerge/>
          </w:tcPr>
          <w:p/>
        </w:tc>
        <w:tc>
          <w:tcPr>
            <w:tcW w:type="dxa" w:w="1661"/>
          </w:tcPr>
          <w:p>
            <w:pPr>
              <w:pStyle w:val="null3"/>
            </w:pPr>
            <w:r>
              <w:rPr>
                <w:rFonts w:ascii="仿宋_GB2312" w:hAnsi="仿宋_GB2312" w:cs="仿宋_GB2312" w:eastAsia="仿宋_GB2312"/>
              </w:rPr>
              <w:t>点击量能力</w:t>
            </w:r>
          </w:p>
        </w:tc>
        <w:tc>
          <w:tcPr>
            <w:tcW w:type="dxa" w:w="2492"/>
          </w:tcPr>
          <w:p>
            <w:pPr>
              <w:pStyle w:val="null3"/>
            </w:pPr>
            <w:r>
              <w:rPr>
                <w:rFonts w:ascii="仿宋_GB2312" w:hAnsi="仿宋_GB2312" w:cs="仿宋_GB2312" w:eastAsia="仿宋_GB2312"/>
              </w:rPr>
              <w:t>供应商提供2025年1月1日至今任意账号不少于2个月的后台截图，证明月均点击量≥110万人次的，得5分；月均≥100万人次得3分；月均≥70万人次得2分；低于70万得1分，未提供不得分。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5、详细评审---点击量能力.docx</w:t>
            </w:r>
          </w:p>
        </w:tc>
      </w:tr>
      <w:tr>
        <w:tc>
          <w:tcPr>
            <w:tcW w:type="dxa" w:w="831"/>
            <w:vMerge/>
          </w:tcPr>
          <w:p/>
        </w:tc>
        <w:tc>
          <w:tcPr>
            <w:tcW w:type="dxa" w:w="1661"/>
          </w:tcPr>
          <w:p>
            <w:pPr>
              <w:pStyle w:val="null3"/>
            </w:pPr>
            <w:r>
              <w:rPr>
                <w:rFonts w:ascii="仿宋_GB2312" w:hAnsi="仿宋_GB2312" w:cs="仿宋_GB2312" w:eastAsia="仿宋_GB2312"/>
              </w:rPr>
              <w:t>爆款能力</w:t>
            </w:r>
          </w:p>
        </w:tc>
        <w:tc>
          <w:tcPr>
            <w:tcW w:type="dxa" w:w="2492"/>
          </w:tcPr>
          <w:p>
            <w:pPr>
              <w:pStyle w:val="null3"/>
            </w:pPr>
            <w:r>
              <w:rPr>
                <w:rFonts w:ascii="仿宋_GB2312" w:hAnsi="仿宋_GB2312" w:cs="仿宋_GB2312" w:eastAsia="仿宋_GB2312"/>
              </w:rPr>
              <w:t>供应商提供2025年1月1日至今同一账号内单条播放量≥4万的短视频链接及截图，每提供3条得1分，最高得3分（不足3条不计分）。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6、详细评审---爆款能力.docx</w:t>
            </w:r>
          </w:p>
        </w:tc>
      </w:tr>
      <w:tr>
        <w:tc>
          <w:tcPr>
            <w:tcW w:type="dxa" w:w="831"/>
            <w:vMerge/>
          </w:tcPr>
          <w:p/>
        </w:tc>
        <w:tc>
          <w:tcPr>
            <w:tcW w:type="dxa" w:w="1661"/>
          </w:tcPr>
          <w:p>
            <w:pPr>
              <w:pStyle w:val="null3"/>
            </w:pPr>
            <w:r>
              <w:rPr>
                <w:rFonts w:ascii="仿宋_GB2312" w:hAnsi="仿宋_GB2312" w:cs="仿宋_GB2312" w:eastAsia="仿宋_GB2312"/>
              </w:rPr>
              <w:t>自媒体创作者资源</w:t>
            </w:r>
          </w:p>
        </w:tc>
        <w:tc>
          <w:tcPr>
            <w:tcW w:type="dxa" w:w="2492"/>
          </w:tcPr>
          <w:p>
            <w:pPr>
              <w:pStyle w:val="null3"/>
            </w:pPr>
            <w:r>
              <w:rPr>
                <w:rFonts w:ascii="仿宋_GB2312" w:hAnsi="仿宋_GB2312" w:cs="仿宋_GB2312" w:eastAsia="仿宋_GB2312"/>
              </w:rPr>
              <w:t>提供与全网自媒体创作者签订的合作协议或意向书（或过往合作证明），每1份得2分，最高得4分。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7、详细评审---自媒体创作者资源.docx</w:t>
            </w:r>
          </w:p>
        </w:tc>
      </w:tr>
      <w:tr>
        <w:tc>
          <w:tcPr>
            <w:tcW w:type="dxa" w:w="831"/>
            <w:vMerge/>
          </w:tcPr>
          <w:p/>
        </w:tc>
        <w:tc>
          <w:tcPr>
            <w:tcW w:type="dxa" w:w="1661"/>
          </w:tcPr>
          <w:p>
            <w:pPr>
              <w:pStyle w:val="null3"/>
            </w:pPr>
            <w:r>
              <w:rPr>
                <w:rFonts w:ascii="仿宋_GB2312" w:hAnsi="仿宋_GB2312" w:cs="仿宋_GB2312" w:eastAsia="仿宋_GB2312"/>
              </w:rPr>
              <w:t>服务团队人员配置</w:t>
            </w:r>
          </w:p>
        </w:tc>
        <w:tc>
          <w:tcPr>
            <w:tcW w:type="dxa" w:w="2492"/>
          </w:tcPr>
          <w:p>
            <w:pPr>
              <w:pStyle w:val="null3"/>
            </w:pPr>
            <w:r>
              <w:rPr>
                <w:rFonts w:ascii="仿宋_GB2312" w:hAnsi="仿宋_GB2312" w:cs="仿宋_GB2312" w:eastAsia="仿宋_GB2312"/>
              </w:rPr>
              <w:t>1. 项目负责人具有5年以上新闻媒体负责经验的得3分，5年以下得1分； 2.项目组成员每提供一份媒体运营类相关职业能力证书或职称得1分，满分4分； 3.供应商提供针对本项目拟投入的团队人员，包括：①团队人员分工明确、责任清晰；②人员数量及组成结构合理；满分4分；有一项缺项扣2分，每项描述内容有缺陷扣1分。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 （注：1、2人员需提供供应商为其缴纳的2026年1月至今任意一个月社保缴纳证明或劳动合同，未提供或提供不全不得分）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8、详细评审---服务团队人员配置.docx</w:t>
            </w:r>
          </w:p>
        </w:tc>
      </w:tr>
      <w:tr>
        <w:tc>
          <w:tcPr>
            <w:tcW w:type="dxa" w:w="831"/>
            <w:vMerge/>
          </w:tcPr>
          <w:p/>
        </w:tc>
        <w:tc>
          <w:tcPr>
            <w:tcW w:type="dxa" w:w="1661"/>
          </w:tcPr>
          <w:p>
            <w:pPr>
              <w:pStyle w:val="null3"/>
            </w:pPr>
            <w:r>
              <w:rPr>
                <w:rFonts w:ascii="仿宋_GB2312" w:hAnsi="仿宋_GB2312" w:cs="仿宋_GB2312" w:eastAsia="仿宋_GB2312"/>
              </w:rPr>
              <w:t>技术设备</w:t>
            </w:r>
          </w:p>
        </w:tc>
        <w:tc>
          <w:tcPr>
            <w:tcW w:type="dxa" w:w="2492"/>
          </w:tcPr>
          <w:p>
            <w:pPr>
              <w:pStyle w:val="null3"/>
            </w:pPr>
            <w:r>
              <w:rPr>
                <w:rFonts w:ascii="仿宋_GB2312" w:hAnsi="仿宋_GB2312" w:cs="仿宋_GB2312" w:eastAsia="仿宋_GB2312"/>
              </w:rPr>
              <w:t>1.供应商提供自有或租赁的专业摄影设备（专业摄像机/单反/微单、专业灯光设备、稳定器/三脚架/滑轨等辅助拍摄设备、收音设备、监看设备等）清单，满分5分，每缺一类设备扣1分，扣完为止。 2.提供剪辑与后期设备（高性能剪辑工作站、正版视频剪辑软件），满分2分，每缺一类扣1分，扣完为止。 注：需提供设备清单；软件需提供授权证书或订阅截图。上述证明材料若提供不全，本项不得分。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9、详细评审---技术设备.docx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提供供应商2023年1月1日至今（以合同签订日期为准）同类项目完整合同，每提供1个计2分，最高得10分，提供不全不计分。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详见附件：1、详细评审---项目理解和重点分析.docx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详见附件：3、详细评审---服务保障.docx</w:t>
      </w:r>
    </w:p>
    <w:p>
      <w:pPr>
        <w:pStyle w:val="null3"/>
        <w:ind w:firstLine="960"/>
      </w:pPr>
      <w:r>
        <w:rPr>
          <w:rFonts w:ascii="仿宋_GB2312" w:hAnsi="仿宋_GB2312" w:cs="仿宋_GB2312" w:eastAsia="仿宋_GB2312"/>
        </w:rPr>
        <w:t>详见附件：4、详细评审---原创生产能力.docx</w:t>
      </w:r>
    </w:p>
    <w:p>
      <w:pPr>
        <w:pStyle w:val="null3"/>
        <w:ind w:firstLine="960"/>
      </w:pPr>
      <w:r>
        <w:rPr>
          <w:rFonts w:ascii="仿宋_GB2312" w:hAnsi="仿宋_GB2312" w:cs="仿宋_GB2312" w:eastAsia="仿宋_GB2312"/>
        </w:rPr>
        <w:t>详见附件：5、详细评审---点击量能力.docx</w:t>
      </w:r>
    </w:p>
    <w:p>
      <w:pPr>
        <w:pStyle w:val="null3"/>
        <w:ind w:firstLine="960"/>
      </w:pPr>
      <w:r>
        <w:rPr>
          <w:rFonts w:ascii="仿宋_GB2312" w:hAnsi="仿宋_GB2312" w:cs="仿宋_GB2312" w:eastAsia="仿宋_GB2312"/>
        </w:rPr>
        <w:t>详见附件：6、详细评审---爆款能力.docx</w:t>
      </w:r>
    </w:p>
    <w:p>
      <w:pPr>
        <w:pStyle w:val="null3"/>
        <w:ind w:firstLine="960"/>
      </w:pPr>
      <w:r>
        <w:rPr>
          <w:rFonts w:ascii="仿宋_GB2312" w:hAnsi="仿宋_GB2312" w:cs="仿宋_GB2312" w:eastAsia="仿宋_GB2312"/>
        </w:rPr>
        <w:t>详见附件：7、详细评审---自媒体创作者资源.docx</w:t>
      </w:r>
    </w:p>
    <w:p>
      <w:pPr>
        <w:pStyle w:val="null3"/>
        <w:ind w:firstLine="960"/>
      </w:pPr>
      <w:r>
        <w:rPr>
          <w:rFonts w:ascii="仿宋_GB2312" w:hAnsi="仿宋_GB2312" w:cs="仿宋_GB2312" w:eastAsia="仿宋_GB2312"/>
        </w:rPr>
        <w:t>详见附件：8、详细评审---服务团队人员配置.docx</w:t>
      </w:r>
    </w:p>
    <w:p>
      <w:pPr>
        <w:pStyle w:val="null3"/>
        <w:ind w:firstLine="960"/>
      </w:pPr>
      <w:r>
        <w:rPr>
          <w:rFonts w:ascii="仿宋_GB2312" w:hAnsi="仿宋_GB2312" w:cs="仿宋_GB2312" w:eastAsia="仿宋_GB2312"/>
        </w:rPr>
        <w:t>详见附件：9、详细评审---技术设备.docx</w:t>
      </w:r>
    </w:p>
    <w:p>
      <w:pPr>
        <w:pStyle w:val="null3"/>
        <w:ind w:firstLine="960"/>
      </w:pPr>
      <w:r>
        <w:rPr>
          <w:rFonts w:ascii="仿宋_GB2312" w:hAnsi="仿宋_GB2312" w:cs="仿宋_GB2312" w:eastAsia="仿宋_GB2312"/>
        </w:rPr>
        <w:t>详见附件：10、详细评审---业绩.docx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