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9B86F">
      <w:pPr>
        <w:adjustRightInd w:val="0"/>
        <w:snapToGrid w:val="0"/>
        <w:spacing w:line="360" w:lineRule="auto"/>
        <w:jc w:val="center"/>
        <w:rPr>
          <w:b/>
          <w:color w:val="auto"/>
          <w:sz w:val="52"/>
          <w:szCs w:val="52"/>
          <w:highlight w:val="none"/>
        </w:rPr>
      </w:pPr>
      <w:r>
        <w:rPr>
          <w:rFonts w:hint="eastAsia"/>
          <w:b/>
          <w:color w:val="auto"/>
          <w:sz w:val="52"/>
          <w:szCs w:val="52"/>
          <w:highlight w:val="none"/>
        </w:rPr>
        <w:t>合</w:t>
      </w:r>
      <w:r>
        <w:rPr>
          <w:b/>
          <w:color w:val="auto"/>
          <w:sz w:val="52"/>
          <w:szCs w:val="52"/>
          <w:highlight w:val="none"/>
        </w:rPr>
        <w:t xml:space="preserve"> </w:t>
      </w:r>
      <w:r>
        <w:rPr>
          <w:rFonts w:hint="eastAsia"/>
          <w:b/>
          <w:color w:val="auto"/>
          <w:sz w:val="52"/>
          <w:szCs w:val="52"/>
          <w:highlight w:val="none"/>
        </w:rPr>
        <w:t>作</w:t>
      </w:r>
      <w:r>
        <w:rPr>
          <w:b/>
          <w:color w:val="auto"/>
          <w:sz w:val="52"/>
          <w:szCs w:val="52"/>
          <w:highlight w:val="none"/>
        </w:rPr>
        <w:t xml:space="preserve"> </w:t>
      </w:r>
      <w:r>
        <w:rPr>
          <w:rFonts w:hint="eastAsia"/>
          <w:b/>
          <w:color w:val="auto"/>
          <w:sz w:val="52"/>
          <w:szCs w:val="52"/>
          <w:highlight w:val="none"/>
        </w:rPr>
        <w:t>协</w:t>
      </w:r>
      <w:r>
        <w:rPr>
          <w:b/>
          <w:color w:val="auto"/>
          <w:sz w:val="52"/>
          <w:szCs w:val="52"/>
          <w:highlight w:val="none"/>
        </w:rPr>
        <w:t xml:space="preserve"> </w:t>
      </w:r>
      <w:r>
        <w:rPr>
          <w:rFonts w:hint="eastAsia"/>
          <w:b/>
          <w:color w:val="auto"/>
          <w:sz w:val="52"/>
          <w:szCs w:val="52"/>
          <w:highlight w:val="none"/>
        </w:rPr>
        <w:t>议</w:t>
      </w:r>
    </w:p>
    <w:p w14:paraId="7CE53F25">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甲方：陕西省第十八届运动会渭南市筹委会办公室</w:t>
      </w:r>
    </w:p>
    <w:p w14:paraId="0E937288">
      <w:pPr>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u w:val="single"/>
          <w:lang w:val="en-US" w:eastAsia="zh-CN"/>
        </w:rPr>
        <w:t xml:space="preserve">                    </w:t>
      </w:r>
    </w:p>
    <w:p w14:paraId="7F3C6878">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省第十八届运动会(以下简称“省十八运”)将于2026年在渭南举办。省运会四年一届，是全省经济社会发展中的大事，对推动我市经济社会和体育事业全面发展具有重要意义。为切实做好筹备阶段的新闻宣传工作，扩大省十八运的影响力和知晓率，积极营造浓厚的社会氛围，充分利用各自优势，全力保障陕西省第十八届运动会渭南筹备工作顺利开展，落实筹委会宣传方案部署安排，经双方协商，达成如下合作协议：</w:t>
      </w:r>
    </w:p>
    <w:p w14:paraId="30205BAC">
      <w:pPr>
        <w:adjustRightInd w:val="0"/>
        <w:snapToGri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一、总体要求</w:t>
      </w:r>
    </w:p>
    <w:p w14:paraId="0944B9E6">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坚持以习近平新时代中国特色社会主义思想为指导，深入学习贯彻党的二十大精神，始终把习近平总书记来陕重要讲话重要指示精神和关于体育工作的重要论述作为根本遵循，提高政治站位，把握正确导向，坚持团结稳定，强化正面宣传，突出“全市一条心 喜迎十八运 ”主题，统筹各类媒体、平台等资源力量，大力宣传办好省十八运的重要意义、筹办工作进展、全民参与的激情和各县（市、区）以“三个年”活动为抓手，推动经济与社会高质量发展取得的新成就，在全市营造“参与省运、奉献省运、共享省运”的浓厚氛围，为奋进中国式现代化新征程做出新的贡献。</w:t>
      </w:r>
    </w:p>
    <w:p w14:paraId="54E22D97">
      <w:pPr>
        <w:numPr>
          <w:ilvl w:val="0"/>
          <w:numId w:val="1"/>
        </w:numPr>
        <w:adjustRightInd w:val="0"/>
        <w:snapToGri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宣传内容与任务</w:t>
      </w:r>
    </w:p>
    <w:p w14:paraId="661A7B09">
      <w:pPr>
        <w:numPr>
          <w:ilvl w:val="0"/>
          <w:numId w:val="0"/>
        </w:num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全力配合本年度省十八运会全年重点工作，大力宣传办好省运会的重要意义，及时报道省运会筹备工作进展，大力宣传我市体育健儿积极备战省运相关情况，大力宣传各县（市、区）城市建设和经济社会发展成就。营造全社会关注、全社会支持、全社会参与的热烈氛围。</w:t>
      </w:r>
    </w:p>
    <w:p w14:paraId="137DC797">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2、在渭南日报正报、《体育周刊》刊登省十八运新闻报道，开设“走进省运”、“倒计时100天”省十八运专题专栏，公益广告等。稿件每周刊发，“倒计时100天”头版每天刊发，专题专栏一周最少三次。</w:t>
      </w:r>
    </w:p>
    <w:p w14:paraId="51277A3E">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紧扣本年度省十八运会筹备各项工作、各个节点，聚焦场馆建设、赛事筹备、宣传预热、系列活动等重要环节以及市体育局主办或承办的重大国际国内赛事和品牌赛事，渭南日报组织宣传团队进行进行高度的、有计划的宣传报道；</w:t>
      </w:r>
    </w:p>
    <w:p w14:paraId="443EA340">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4、在群众体育类赛事活动方面，以及以渭南市名义组队参加的重大比赛，渭南日报将派出文字与摄影记者积极配合新闻宣传；</w:t>
      </w:r>
    </w:p>
    <w:p w14:paraId="3DB9B80A">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5、根据省十八运会重大时间节点开展的体育活动内容，渭南日报及时安排专版进行图文并茂刊发。</w:t>
      </w:r>
    </w:p>
    <w:p w14:paraId="7517E569">
      <w:pPr>
        <w:adjustRightInd w:val="0"/>
        <w:snapToGri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三</w:t>
      </w:r>
      <w:r>
        <w:rPr>
          <w:rFonts w:hint="eastAsia" w:ascii="仿宋" w:hAnsi="仿宋" w:eastAsia="仿宋" w:cs="仿宋"/>
          <w:b/>
          <w:bCs/>
          <w:color w:val="auto"/>
          <w:sz w:val="24"/>
          <w:szCs w:val="24"/>
          <w:highlight w:val="none"/>
        </w:rPr>
        <w:t>、甲方权利与义务</w:t>
      </w:r>
    </w:p>
    <w:p w14:paraId="28979BE0">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1、及时提供省十八运会相关重点工作、重大赛事活动时间、地点、内容，专人对接；</w:t>
      </w:r>
    </w:p>
    <w:p w14:paraId="43C99D10">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2、协调渭南地区所有省十八运会方面的体育活动和记者之间的衔接工作；</w:t>
      </w:r>
    </w:p>
    <w:p w14:paraId="1808EE1D">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3、提供有新闻点的稿件；方便乙方及时采编；</w:t>
      </w:r>
    </w:p>
    <w:p w14:paraId="13987F9C">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4、各县市（区）及时提供县上赛事情况和工作重点；</w:t>
      </w:r>
    </w:p>
    <w:p w14:paraId="14B029F1">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5、赛事活动的合作，向产业化和赛事运营方面发展，发挥线上和线下整合营销的优势，推动赛事活动组织创新和体育产业发展。</w:t>
      </w:r>
    </w:p>
    <w:p w14:paraId="4A2E6EA5">
      <w:pPr>
        <w:adjustRightInd w:val="0"/>
        <w:snapToGri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四</w:t>
      </w:r>
      <w:r>
        <w:rPr>
          <w:rFonts w:hint="eastAsia" w:ascii="仿宋" w:hAnsi="仿宋" w:eastAsia="仿宋" w:cs="仿宋"/>
          <w:b/>
          <w:bCs/>
          <w:color w:val="auto"/>
          <w:sz w:val="24"/>
          <w:szCs w:val="24"/>
          <w:highlight w:val="none"/>
        </w:rPr>
        <w:t>、乙方权利与义务</w:t>
      </w:r>
    </w:p>
    <w:p w14:paraId="6B82705C">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有权要求甲方按时提供宣传所需的官方信息、素材与采访便利。</w:t>
      </w:r>
    </w:p>
    <w:p w14:paraId="330E6A90">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有权按照协议约定按时足额收取宣传服务费用。</w:t>
      </w:r>
    </w:p>
    <w:p w14:paraId="70686BF5">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在标注来源的前提下，有权使用甲方提供的省运会相关素材用于本次合作宣传。</w:t>
      </w:r>
    </w:p>
    <w:p w14:paraId="5D475354">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坚持正确舆论导向，严格遵守宣传纪律，所有宣传内容须符合官方口径，不得出现虚假、错误、负面、涉密信息。</w:t>
      </w:r>
    </w:p>
    <w:p w14:paraId="32E74A59">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按照本协议约定完成全部工作，保证宣传频次、质量与效果。</w:t>
      </w:r>
    </w:p>
    <w:p w14:paraId="2F52A963">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配合甲方做好媒体对接、外宣推送、舆情监测与应急处置工作。</w:t>
      </w:r>
    </w:p>
    <w:p w14:paraId="43043A12">
      <w:pPr>
        <w:adjustRightInd w:val="0"/>
        <w:snapToGri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五、协议期限</w:t>
      </w:r>
    </w:p>
    <w:p w14:paraId="7F13FA31">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自合同签订之日起至2026年12月31日止</w:t>
      </w:r>
    </w:p>
    <w:p w14:paraId="6AA66966">
      <w:pPr>
        <w:adjustRightInd w:val="0"/>
        <w:snapToGri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w:t>
      </w:r>
      <w:r>
        <w:rPr>
          <w:rFonts w:hint="eastAsia" w:ascii="仿宋" w:hAnsi="仿宋" w:eastAsia="仿宋" w:cs="仿宋"/>
          <w:b/>
          <w:bCs/>
          <w:color w:val="auto"/>
          <w:sz w:val="24"/>
          <w:szCs w:val="24"/>
          <w:highlight w:val="none"/>
          <w:lang w:eastAsia="zh-CN"/>
        </w:rPr>
        <w:t>合同金额</w:t>
      </w:r>
      <w:r>
        <w:rPr>
          <w:rFonts w:hint="eastAsia" w:ascii="仿宋" w:hAnsi="仿宋" w:eastAsia="仿宋" w:cs="仿宋"/>
          <w:b/>
          <w:bCs/>
          <w:color w:val="auto"/>
          <w:sz w:val="24"/>
          <w:szCs w:val="24"/>
          <w:highlight w:val="none"/>
        </w:rPr>
        <w:t>及支付方式</w:t>
      </w:r>
    </w:p>
    <w:p w14:paraId="5D976B5E">
      <w:pPr>
        <w:spacing w:line="360" w:lineRule="auto"/>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（一）</w:t>
      </w:r>
      <w:r>
        <w:rPr>
          <w:rFonts w:hint="eastAsia" w:ascii="仿宋" w:hAnsi="仿宋" w:eastAsia="仿宋"/>
          <w:color w:val="auto"/>
          <w:sz w:val="24"/>
          <w:szCs w:val="24"/>
          <w:highlight w:val="none"/>
        </w:rPr>
        <w:t>合同金额</w:t>
      </w:r>
    </w:p>
    <w:p w14:paraId="39918848">
      <w:pPr>
        <w:spacing w:line="360" w:lineRule="auto"/>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lang w:eastAsia="zh-CN"/>
        </w:rPr>
        <w:t>固定总价</w:t>
      </w:r>
      <w:r>
        <w:rPr>
          <w:rFonts w:ascii="仿宋" w:hAnsi="仿宋" w:eastAsia="仿宋"/>
          <w:color w:val="auto"/>
          <w:sz w:val="24"/>
          <w:szCs w:val="24"/>
          <w:highlight w:val="none"/>
        </w:rPr>
        <w:t>人民币</w:t>
      </w:r>
      <w:r>
        <w:rPr>
          <w:rFonts w:hint="eastAsia" w:ascii="仿宋" w:hAnsi="仿宋" w:eastAsia="仿宋"/>
          <w:color w:val="auto"/>
          <w:sz w:val="24"/>
          <w:szCs w:val="24"/>
          <w:highlight w:val="none"/>
          <w:u w:val="single"/>
          <w:lang w:val="en-US" w:eastAsia="zh-CN"/>
        </w:rPr>
        <w:t xml:space="preserve">             </w:t>
      </w:r>
      <w:r>
        <w:rPr>
          <w:rFonts w:ascii="仿宋" w:hAnsi="仿宋" w:eastAsia="仿宋"/>
          <w:color w:val="auto"/>
          <w:sz w:val="24"/>
          <w:szCs w:val="24"/>
          <w:highlight w:val="none"/>
        </w:rPr>
        <w:t>（</w:t>
      </w:r>
      <w:r>
        <w:rPr>
          <w:rFonts w:ascii="Calibri" w:hAnsi="Calibri" w:eastAsia="仿宋" w:cs="Calibri"/>
          <w:color w:val="auto"/>
          <w:sz w:val="24"/>
          <w:szCs w:val="24"/>
          <w:highlight w:val="none"/>
        </w:rPr>
        <w:t>¥</w:t>
      </w:r>
      <w:r>
        <w:rPr>
          <w:rFonts w:hint="eastAsia" w:ascii="仿宋" w:hAnsi="仿宋" w:eastAsia="仿宋"/>
          <w:color w:val="auto"/>
          <w:sz w:val="24"/>
          <w:szCs w:val="24"/>
          <w:highlight w:val="none"/>
          <w:u w:val="single"/>
          <w:lang w:val="en-US" w:eastAsia="zh-CN"/>
        </w:rPr>
        <w:t xml:space="preserve">              </w:t>
      </w:r>
      <w:r>
        <w:rPr>
          <w:rFonts w:hint="eastAsia" w:ascii="仿宋" w:hAnsi="仿宋" w:eastAsia="仿宋"/>
          <w:color w:val="auto"/>
          <w:sz w:val="24"/>
          <w:szCs w:val="24"/>
          <w:highlight w:val="none"/>
          <w:u w:val="none"/>
          <w:lang w:val="en-US" w:eastAsia="zh-CN"/>
        </w:rPr>
        <w:t>元</w:t>
      </w:r>
      <w:r>
        <w:rPr>
          <w:rFonts w:ascii="仿宋" w:hAnsi="仿宋" w:eastAsia="仿宋"/>
          <w:color w:val="auto"/>
          <w:sz w:val="24"/>
          <w:szCs w:val="24"/>
          <w:highlight w:val="none"/>
        </w:rPr>
        <w:t>）</w:t>
      </w:r>
      <w:r>
        <w:rPr>
          <w:rFonts w:hint="eastAsia" w:ascii="仿宋" w:hAnsi="仿宋" w:eastAsia="仿宋"/>
          <w:color w:val="auto"/>
          <w:sz w:val="24"/>
          <w:szCs w:val="24"/>
          <w:highlight w:val="none"/>
          <w:lang w:eastAsia="zh-CN"/>
        </w:rPr>
        <w:t>。</w:t>
      </w:r>
      <w:r>
        <w:rPr>
          <w:rFonts w:hint="eastAsia" w:ascii="仿宋" w:hAnsi="仿宋" w:eastAsia="仿宋"/>
          <w:color w:val="auto"/>
          <w:sz w:val="24"/>
          <w:szCs w:val="24"/>
          <w:highlight w:val="none"/>
        </w:rPr>
        <w:t>乙方负责项目实施过程中的所有费用，甲方不再另付任何费用。</w:t>
      </w:r>
    </w:p>
    <w:p w14:paraId="153FB7DA">
      <w:pPr>
        <w:spacing w:line="360" w:lineRule="auto"/>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w:t>
      </w:r>
      <w:r>
        <w:rPr>
          <w:rFonts w:hint="eastAsia" w:ascii="仿宋" w:hAnsi="仿宋" w:eastAsia="仿宋"/>
          <w:color w:val="auto"/>
          <w:sz w:val="24"/>
          <w:szCs w:val="24"/>
          <w:highlight w:val="none"/>
          <w:lang w:eastAsia="zh-CN"/>
        </w:rPr>
        <w:t>二</w:t>
      </w:r>
      <w:r>
        <w:rPr>
          <w:rFonts w:ascii="仿宋" w:hAnsi="仿宋" w:eastAsia="仿宋"/>
          <w:color w:val="auto"/>
          <w:sz w:val="24"/>
          <w:szCs w:val="24"/>
          <w:highlight w:val="none"/>
        </w:rPr>
        <w:t>）支付方式</w:t>
      </w:r>
    </w:p>
    <w:p w14:paraId="07C4B347">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 xml:space="preserve">本协议签订后15个工作日内，甲方向乙方支付总费用的 </w:t>
      </w:r>
      <w:r>
        <w:rPr>
          <w:rFonts w:hint="eastAsia" w:ascii="仿宋" w:hAnsi="仿宋" w:eastAsia="仿宋" w:cs="仿宋"/>
          <w:color w:val="auto"/>
          <w:sz w:val="24"/>
          <w:szCs w:val="24"/>
          <w:highlight w:val="none"/>
          <w:lang w:val="en-US" w:eastAsia="zh-CN"/>
        </w:rPr>
        <w:t>40</w:t>
      </w:r>
      <w:r>
        <w:rPr>
          <w:rFonts w:hint="eastAsia" w:ascii="仿宋" w:hAnsi="仿宋" w:eastAsia="仿宋" w:cs="仿宋"/>
          <w:color w:val="auto"/>
          <w:sz w:val="24"/>
          <w:szCs w:val="24"/>
          <w:highlight w:val="none"/>
        </w:rPr>
        <w:t>%，即人民币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w:t>
      </w:r>
      <w:r>
        <w:rPr>
          <w:rFonts w:hint="eastAsia" w:ascii="仿宋" w:hAnsi="仿宋" w:eastAsia="仿宋" w:cs="仿宋"/>
          <w:color w:val="auto"/>
          <w:sz w:val="24"/>
          <w:szCs w:val="24"/>
          <w:highlight w:val="none"/>
        </w:rPr>
        <w:t>）</w:t>
      </w:r>
    </w:p>
    <w:p w14:paraId="24EF8504">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合同期满后15日内，甲方向乙方支付剩余 </w:t>
      </w:r>
      <w:r>
        <w:rPr>
          <w:rFonts w:hint="eastAsia" w:ascii="仿宋" w:hAnsi="仿宋" w:eastAsia="仿宋" w:cs="仿宋"/>
          <w:color w:val="auto"/>
          <w:sz w:val="24"/>
          <w:szCs w:val="24"/>
          <w:highlight w:val="none"/>
          <w:lang w:val="en-US" w:eastAsia="zh-CN"/>
        </w:rPr>
        <w:t>60</w:t>
      </w:r>
      <w:r>
        <w:rPr>
          <w:rFonts w:hint="eastAsia" w:ascii="仿宋" w:hAnsi="仿宋" w:eastAsia="仿宋" w:cs="仿宋"/>
          <w:color w:val="auto"/>
          <w:sz w:val="24"/>
          <w:szCs w:val="24"/>
          <w:highlight w:val="none"/>
        </w:rPr>
        <w:t>% 尾款，即人民币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w:t>
      </w:r>
      <w:r>
        <w:rPr>
          <w:rFonts w:hint="eastAsia" w:ascii="仿宋" w:hAnsi="仿宋" w:eastAsia="仿宋" w:cs="仿宋"/>
          <w:color w:val="auto"/>
          <w:sz w:val="24"/>
          <w:szCs w:val="24"/>
          <w:highlight w:val="none"/>
        </w:rPr>
        <w:t>）</w:t>
      </w:r>
    </w:p>
    <w:p w14:paraId="0FDD8667">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乙方提供合法有效增值税发票，甲方以银行转账方式支付。</w:t>
      </w:r>
    </w:p>
    <w:p w14:paraId="5F307519">
      <w:pPr>
        <w:adjustRightInd w:val="0"/>
        <w:snapToGri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七、违约责任</w:t>
      </w:r>
    </w:p>
    <w:p w14:paraId="4553045D">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任何一方违反本协议约定，应承担相应违约责任，并赔偿对方因此造成的直接经济损失。</w:t>
      </w:r>
    </w:p>
    <w:p w14:paraId="698B52B1">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因不可抗力导致本协议无法履行的，双方互不承担违约责任，协商处理后续事宜。</w:t>
      </w:r>
    </w:p>
    <w:p w14:paraId="0A1FA22A">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乙方未按本协议要求完成宣传任务的，甲方有权暂缓付款并要求乙方限期整改。</w:t>
      </w:r>
    </w:p>
    <w:p w14:paraId="60173F1A">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甲方逾期支付费用的，每逾期一日按应付未付金额的 0.05% 向乙方支付违约金。</w:t>
      </w:r>
    </w:p>
    <w:p w14:paraId="43B7CABF">
      <w:pPr>
        <w:adjustRightInd w:val="0"/>
        <w:snapToGri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八、其他条款</w:t>
      </w:r>
    </w:p>
    <w:p w14:paraId="5D60818D">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本协议未尽事宜，由双方友好协商解决，可签订补充协议，补充协议与本协议具有同等法律效力。</w:t>
      </w:r>
    </w:p>
    <w:p w14:paraId="789F31F9">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因履行本协议发生争议，双方应协商解决；协商不成的，</w:t>
      </w:r>
      <w:r>
        <w:rPr>
          <w:rFonts w:hint="eastAsia" w:ascii="仿宋" w:hAnsi="仿宋" w:eastAsia="仿宋" w:cs="仿宋"/>
          <w:color w:val="auto"/>
          <w:sz w:val="24"/>
          <w:szCs w:val="24"/>
          <w:highlight w:val="none"/>
          <w:lang w:eastAsia="zh-CN"/>
        </w:rPr>
        <w:t>提交甲方所在地有管辖权的人民法院裁定</w:t>
      </w:r>
      <w:r>
        <w:rPr>
          <w:rFonts w:hint="eastAsia" w:ascii="仿宋" w:hAnsi="仿宋" w:eastAsia="仿宋" w:cs="仿宋"/>
          <w:color w:val="auto"/>
          <w:sz w:val="24"/>
          <w:szCs w:val="24"/>
          <w:highlight w:val="none"/>
        </w:rPr>
        <w:t>。</w:t>
      </w:r>
    </w:p>
    <w:p w14:paraId="79753312">
      <w:pPr>
        <w:adjustRightInd w:val="0"/>
        <w:snapToGrid w:val="0"/>
        <w:spacing w:line="360" w:lineRule="auto"/>
        <w:ind w:firstLine="480" w:firstLineChars="200"/>
        <w:rPr>
          <w:rFonts w:ascii="仿宋" w:hAnsi="仿宋" w:eastAsia="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本协议一式肆份，甲方执贰份，乙方执贰份，自双方签字盖章之日起生效</w:t>
      </w:r>
      <w:r>
        <w:rPr>
          <w:rFonts w:ascii="仿宋" w:hAnsi="仿宋" w:eastAsia="仿宋"/>
          <w:color w:val="auto"/>
          <w:sz w:val="24"/>
          <w:szCs w:val="24"/>
          <w:highlight w:val="none"/>
        </w:rPr>
        <w:t>。</w:t>
      </w:r>
    </w:p>
    <w:p w14:paraId="68F4444C">
      <w:pPr>
        <w:rPr>
          <w:rFonts w:ascii="仿宋" w:hAnsi="仿宋" w:eastAsia="仿宋"/>
          <w:color w:val="auto"/>
          <w:sz w:val="24"/>
          <w:szCs w:val="24"/>
          <w:highlight w:val="none"/>
        </w:rPr>
      </w:pPr>
    </w:p>
    <w:p w14:paraId="25AD29BB">
      <w:pPr>
        <w:adjustRightInd w:val="0"/>
        <w:snapToGrid w:val="0"/>
        <w:spacing w:line="360" w:lineRule="auto"/>
        <w:ind w:firstLine="480" w:firstLineChars="200"/>
        <w:rPr>
          <w:rFonts w:ascii="仿宋" w:hAnsi="仿宋" w:eastAsia="仿宋"/>
          <w:color w:val="auto"/>
          <w:sz w:val="24"/>
          <w:szCs w:val="24"/>
          <w:highlight w:val="none"/>
        </w:rPr>
      </w:pPr>
    </w:p>
    <w:p w14:paraId="31A1B253">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采购人</w:t>
      </w:r>
      <w:r>
        <w:rPr>
          <w:rFonts w:hint="eastAsia" w:ascii="仿宋" w:hAnsi="仿宋" w:eastAsia="仿宋" w:cs="仿宋"/>
          <w:bCs/>
          <w:color w:val="auto"/>
          <w:sz w:val="24"/>
          <w:szCs w:val="24"/>
          <w:highlight w:val="none"/>
          <w:lang w:eastAsia="zh-CN" w:bidi="ar"/>
        </w:rPr>
        <w:t>（</w:t>
      </w:r>
      <w:r>
        <w:rPr>
          <w:rFonts w:hint="eastAsia" w:ascii="仿宋" w:hAnsi="仿宋" w:eastAsia="仿宋" w:cs="仿宋"/>
          <w:bCs/>
          <w:color w:val="auto"/>
          <w:sz w:val="24"/>
          <w:szCs w:val="24"/>
          <w:highlight w:val="none"/>
          <w:lang w:bidi="ar"/>
        </w:rPr>
        <w:t>甲方</w:t>
      </w:r>
      <w:r>
        <w:rPr>
          <w:rFonts w:hint="eastAsia" w:ascii="仿宋" w:hAnsi="仿宋" w:eastAsia="仿宋" w:cs="仿宋"/>
          <w:bCs/>
          <w:color w:val="auto"/>
          <w:sz w:val="24"/>
          <w:szCs w:val="24"/>
          <w:highlight w:val="none"/>
          <w:lang w:eastAsia="zh-CN" w:bidi="ar"/>
        </w:rPr>
        <w:t>）</w:t>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供应商</w:t>
      </w:r>
      <w:r>
        <w:rPr>
          <w:rFonts w:hint="eastAsia" w:ascii="仿宋" w:hAnsi="仿宋" w:eastAsia="仿宋" w:cs="仿宋"/>
          <w:bCs/>
          <w:color w:val="auto"/>
          <w:sz w:val="24"/>
          <w:szCs w:val="24"/>
          <w:highlight w:val="none"/>
          <w:lang w:eastAsia="zh-CN" w:bidi="ar"/>
        </w:rPr>
        <w:t>（</w:t>
      </w:r>
      <w:r>
        <w:rPr>
          <w:rFonts w:hint="eastAsia" w:ascii="仿宋" w:hAnsi="仿宋" w:eastAsia="仿宋" w:cs="仿宋"/>
          <w:bCs/>
          <w:color w:val="auto"/>
          <w:sz w:val="24"/>
          <w:szCs w:val="24"/>
          <w:highlight w:val="none"/>
          <w:lang w:bidi="ar"/>
        </w:rPr>
        <w:t>乙方</w:t>
      </w:r>
      <w:r>
        <w:rPr>
          <w:rFonts w:hint="eastAsia" w:ascii="仿宋" w:hAnsi="仿宋" w:eastAsia="仿宋" w:cs="仿宋"/>
          <w:bCs/>
          <w:color w:val="auto"/>
          <w:sz w:val="24"/>
          <w:szCs w:val="24"/>
          <w:highlight w:val="none"/>
          <w:lang w:eastAsia="zh-CN" w:bidi="ar"/>
        </w:rPr>
        <w:t>）</w:t>
      </w:r>
      <w:r>
        <w:rPr>
          <w:rFonts w:hint="eastAsia" w:ascii="仿宋" w:hAnsi="仿宋" w:eastAsia="仿宋" w:cs="仿宋"/>
          <w:bCs/>
          <w:color w:val="auto"/>
          <w:sz w:val="24"/>
          <w:szCs w:val="24"/>
          <w:highlight w:val="none"/>
          <w:lang w:bidi="ar"/>
        </w:rPr>
        <w:t>：</w:t>
      </w:r>
      <w:bookmarkStart w:id="0" w:name="_GoBack"/>
      <w:bookmarkEnd w:id="0"/>
    </w:p>
    <w:p w14:paraId="19BA42A5">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法定代表人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法定代表人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538201B0">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eastAsia="zh-CN" w:bidi="ar"/>
        </w:rPr>
        <w:t>或</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委托代理人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eastAsia="zh-CN" w:bidi="ar"/>
        </w:rPr>
        <w:t>或</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委托代理人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2942D178">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开户银行</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开户银行</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2EFF69D3">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账    号：</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账    号：</w:t>
      </w:r>
    </w:p>
    <w:p w14:paraId="62A1F5B5">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电    话：</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电    话：</w:t>
      </w:r>
    </w:p>
    <w:p w14:paraId="5FF1A652">
      <w:pPr>
        <w:pageBreakBefore w:val="0"/>
        <w:widowControl/>
        <w:kinsoku/>
        <w:overflowPunct/>
        <w:bidi w:val="0"/>
        <w:spacing w:line="500" w:lineRule="exact"/>
        <w:jc w:val="left"/>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地    址：</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地    址：</w:t>
      </w:r>
    </w:p>
    <w:p w14:paraId="41B794AA">
      <w:pPr>
        <w:spacing w:line="360" w:lineRule="auto"/>
        <w:rPr>
          <w:rFonts w:hint="eastAsia"/>
          <w:color w:val="auto"/>
          <w:sz w:val="18"/>
          <w:szCs w:val="18"/>
          <w:highlight w:val="none"/>
          <w:lang w:val="en-US" w:eastAsia="zh-Hans"/>
        </w:rPr>
      </w:pPr>
      <w:r>
        <w:rPr>
          <w:rFonts w:hint="eastAsia" w:ascii="仿宋" w:hAnsi="仿宋" w:eastAsia="仿宋" w:cs="仿宋"/>
          <w:bCs/>
          <w:color w:val="auto"/>
          <w:sz w:val="24"/>
          <w:szCs w:val="24"/>
          <w:highlight w:val="none"/>
          <w:lang w:bidi="ar"/>
        </w:rPr>
        <w:t xml:space="preserve">时    间：  年月日   </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 xml:space="preserve"> 时    间： 年月日</w:t>
      </w:r>
    </w:p>
    <w:p w14:paraId="3489A6B8">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9AA67C"/>
    <w:multiLevelType w:val="singleLevel"/>
    <w:tmpl w:val="BE9AA67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76996"/>
    <w:rsid w:val="07F0625F"/>
    <w:rsid w:val="0879362F"/>
    <w:rsid w:val="0C3C67EC"/>
    <w:rsid w:val="1DB21974"/>
    <w:rsid w:val="2D3B0FA2"/>
    <w:rsid w:val="2DD03312"/>
    <w:rsid w:val="2E2012A6"/>
    <w:rsid w:val="305C62BC"/>
    <w:rsid w:val="3EED21DA"/>
    <w:rsid w:val="41DD3FC8"/>
    <w:rsid w:val="4BE1589E"/>
    <w:rsid w:val="53882740"/>
    <w:rsid w:val="583077A8"/>
    <w:rsid w:val="58471E4A"/>
    <w:rsid w:val="5C597204"/>
    <w:rsid w:val="5FE61668"/>
    <w:rsid w:val="6B121AC2"/>
    <w:rsid w:val="6BDF0B31"/>
    <w:rsid w:val="741916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9"/>
    <w:basedOn w:val="1"/>
    <w:next w:val="1"/>
    <w:unhideWhenUsed/>
    <w:qFormat/>
    <w:uiPriority w:val="39"/>
    <w:pPr>
      <w:ind w:left="3360" w:leftChars="1600"/>
    </w:p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Hyperlink"/>
    <w:basedOn w:val="7"/>
    <w:unhideWhenUsed/>
    <w:qFormat/>
    <w:uiPriority w:val="99"/>
    <w:rPr>
      <w:rFonts w:hint="eastAsia" w:ascii="宋体" w:hAnsi="宋体" w:eastAsia="宋体" w:cs="宋体"/>
      <w:color w:val="000000"/>
      <w:sz w:val="14"/>
      <w:szCs w:val="14"/>
      <w:u w:val="none"/>
    </w:rPr>
  </w:style>
  <w:style w:type="paragraph" w:customStyle="1" w:styleId="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2191</Words>
  <Characters>2214</Characters>
  <Lines>0</Lines>
  <Paragraphs>0</Paragraphs>
  <TotalTime>0</TotalTime>
  <ScaleCrop>false</ScaleCrop>
  <LinksUpToDate>false</LinksUpToDate>
  <CharactersWithSpaces>2399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2026-06-16T09:16:10Z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D770E735D0784C64A8EC4765DD271DB9_13</vt:lpwstr>
  </property>
  <property fmtid="{D5CDD505-2E9C-101B-9397-08002B2CF9AE}" pid="4" name="KSOTemplateDocerSaveRecord">
    <vt:lpwstr>eyJoZGlkIjoiY2U0M2E2ZjcwYzFiMjk5NDE5ZDJmY2FlMmRmOWFkY2EiLCJ1c2VySWQiOiI0NTM5NzY3MDQifQ==</vt:lpwstr>
  </property>
</Properties>
</file>