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版本号：ZCSP-渭南市-2026-00208、0617-2624FZ129020260617001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陕西省第十八届运动会2026年报刊开设宣传专栏项目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ZCSP-渭南市-2026-00208、0617-2624FZ1290</w:t>
      </w:r>
      <w:r>
        <w:br/>
      </w:r>
      <w:r>
        <w:br/>
      </w:r>
      <w:r>
        <w:br/>
      </w:r>
    </w:p>
    <w:p>
      <w:pPr>
        <w:pStyle w:val="null3"/>
        <w:jc w:val="center"/>
        <w:outlineLvl w:val="5"/>
      </w:pPr>
      <w:r>
        <w:rPr>
          <w:rFonts w:ascii="仿宋_GB2312" w:hAnsi="仿宋_GB2312" w:cs="仿宋_GB2312" w:eastAsia="仿宋_GB2312"/>
          <w:sz w:val="15"/>
          <w:b/>
        </w:rPr>
        <w:t>陕西省第十八届运动会筹委会办公室</w:t>
      </w:r>
    </w:p>
    <w:p>
      <w:pPr>
        <w:pStyle w:val="null3"/>
        <w:jc w:val="center"/>
        <w:outlineLvl w:val="5"/>
      </w:pPr>
      <w:r>
        <w:rPr>
          <w:rFonts w:ascii="仿宋_GB2312" w:hAnsi="仿宋_GB2312" w:cs="仿宋_GB2312" w:eastAsia="仿宋_GB2312"/>
          <w:sz w:val="15"/>
          <w:b/>
        </w:rPr>
        <w:t>西北(陕西)国际招标有限公司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陕西省第十八届运动会2026年报刊开设宣传专栏项目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ZCSP-渭南市-2026-00208、0617-2624FZ1290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陕西省第十八届运动会2026年报刊开设宣传专栏项目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陕西省第十八届运动会2026年报刊开设宣传专栏项目，具体内容详见单一来源采购文件。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1、授权委托书/法定代表人身份：提供法定代表人授权书 (附法定代表人、被授权人身份证复印件) 或提供法定代表人身份证明及身份证复印件（法定代表人直接参加单一来源协商)。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pPr>
      <w:r>
        <w:rPr>
          <w:rFonts w:ascii="仿宋_GB2312" w:hAnsi="仿宋_GB2312" w:cs="仿宋_GB2312" w:eastAsia="仿宋_GB2312"/>
        </w:rPr>
        <w:t>3、供应商资质：供应商须具备有效的《报纸出版许可证》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13909132202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任晓洁、徐西文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代理服务费收费标准：确定成交人后3个工作日内，由成交人参照国家计委《招标代理服务收费管理暂行办法》（计价格[2002]1980号文）规定的标准向招标代理机构一次付清招标代理服务费。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以采购合同约定为准</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开设《聚焦省运》专栏，宣传团队将全程参与，并根据不同阶段的特点和需求，不断充实细化本方案，确保各项工作落实。配合省电视台等媒体做好其他宣传工作。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陕西省第十八届运动会2026年报刊开设宣传专栏项目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标的名称：陕西省第十八届运动会2026年报刊开设宣传专栏项目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提高政治站位，把握正确导向，坚持团结稳定，强化正面宣传，突出</w:t>
            </w:r>
            <w:r>
              <w:rPr>
                <w:rFonts w:ascii="仿宋_GB2312" w:hAnsi="仿宋_GB2312" w:cs="仿宋_GB2312" w:eastAsia="仿宋_GB2312"/>
              </w:rPr>
              <w:t>“全市一条心 喜迎十八运”主题，统筹各类媒体、平台等资源力量，大力宣传办好省十八运的重要意义、筹办工作进展、全民参与的激情和各县（市、区）以“三个年”活动为抓手，推动经济与社会高质量发展取得的新成就，在全市营造“参与省运、奉献省运、共享省运”的浓厚氛围，为奋进中国式现代化新征程做出新的贡献。</w:t>
            </w:r>
          </w:p>
          <w:p>
            <w:pPr>
              <w:pStyle w:val="null3"/>
            </w:pPr>
            <w:r>
              <w:rPr>
                <w:rFonts w:ascii="仿宋_GB2312" w:hAnsi="仿宋_GB2312" w:cs="仿宋_GB2312" w:eastAsia="仿宋_GB2312"/>
              </w:rPr>
              <w:t>（二）宣传内容与任务</w:t>
            </w:r>
          </w:p>
          <w:p>
            <w:pPr>
              <w:pStyle w:val="null3"/>
            </w:pPr>
            <w:r>
              <w:rPr>
                <w:rFonts w:ascii="仿宋_GB2312" w:hAnsi="仿宋_GB2312" w:cs="仿宋_GB2312" w:eastAsia="仿宋_GB2312"/>
              </w:rPr>
              <w:t>1、全力配合本年度省十八运会全年重点工作，大力宣传办好省运会的重要意义，及时报道省运会筹备工作进展，大力宣传我市体育健儿积极备战省运相关情况，大力宣传各县（市、区）城市建设和经济社会发展成就。营造全社会关注、全社会支持、全社会参与的热烈氛围。</w:t>
            </w:r>
          </w:p>
          <w:p>
            <w:pPr>
              <w:pStyle w:val="null3"/>
            </w:pPr>
            <w:r>
              <w:rPr>
                <w:rFonts w:ascii="仿宋_GB2312" w:hAnsi="仿宋_GB2312" w:cs="仿宋_GB2312" w:eastAsia="仿宋_GB2312"/>
              </w:rPr>
              <w:t>2、在渭南日报正报、《体育周刊》刊登省十八运新闻报道，开设“走进省运”、“倒计时100天”省十八运专题专栏，公益广告等。稿件每周刊发，“倒计时100天”头版每天刊发，专题专栏一周最少三次。</w:t>
            </w:r>
          </w:p>
          <w:p>
            <w:pPr>
              <w:pStyle w:val="null3"/>
            </w:pPr>
            <w:r>
              <w:rPr>
                <w:rFonts w:ascii="仿宋_GB2312" w:hAnsi="仿宋_GB2312" w:cs="仿宋_GB2312" w:eastAsia="仿宋_GB2312"/>
              </w:rPr>
              <w:t>3、紧扣本年度省十八运会筹备各项工作、各个节点，聚焦场馆建设、赛事筹备、宣传预热、系列活动等重要环节以及市体育局主办或承办的重大国际国内赛事和品牌赛事，渭南日报组织宣传团队进行进行高度的、有计划的宣传报道；</w:t>
            </w:r>
          </w:p>
          <w:p>
            <w:pPr>
              <w:pStyle w:val="null3"/>
            </w:pPr>
            <w:r>
              <w:rPr>
                <w:rFonts w:ascii="仿宋_GB2312" w:hAnsi="仿宋_GB2312" w:cs="仿宋_GB2312" w:eastAsia="仿宋_GB2312"/>
              </w:rPr>
              <w:t>4、在群众体育类赛事活动方面，以及以渭南市名义组队参加的重大比赛，渭南日报将派出文字与摄影记者积极配合新闻宣传；</w:t>
            </w:r>
          </w:p>
          <w:p>
            <w:pPr>
              <w:pStyle w:val="null3"/>
            </w:pPr>
            <w:r>
              <w:rPr>
                <w:rFonts w:ascii="仿宋_GB2312" w:hAnsi="仿宋_GB2312" w:cs="仿宋_GB2312" w:eastAsia="仿宋_GB2312"/>
                <w:sz w:val="21"/>
              </w:rPr>
              <w:t>5、根据省十八运会重大时间节点开展的体育活动内容，渭南日报及时安排专版进行图文并茂刊发。</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渭南日报社</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预付款，合同签订后15个工作日内，达到付款条件起15个工作日内，支付合同总金额的40.0%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进度款，合同期满后，达到付款条件起15个工作日内，支付合同总金额的60.0%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则统一执行最新标准、规范，符合项目实际采购需要，符合项目实施要求。由采购单位对项目交付成果组织验收，按采购文件、投标文件及澄清函、项目检查情况等综合指标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本项目采购活动执行下列政府采购政策：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中国人民银行西安分行关于深入推进政府采购信用融资业务通知(陕财办采〔2023〕5号)； （14）《国务院办公厅关于在政府采购中实施本国产品标准及相关政策的通知》国办发〔2025〕34号； （15）《关于推动解决政府采购异常低价问题的通知》（财库〔2026〕2号）； （16）《陕西省财政厅关于规范政府采购项目评审主观分赋分有关事项的通知》（陕财办采函〔2026〕10号）； （17）其他需执行的政府采购政策。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依法缴纳税收的良好记录。提供缴费所属日期为投标截止时间前12个月内任一月份（响应文件递交截止时间当月不计入）的缴费凭据或税务机关出具的完税证明或（在法规范围内不需提供的应出具书面说明或证明文件）；/或具有依法缴纳税收的诚信声明；以上二种形式的资料提供任何一种即可。3.具有依法缴纳社会保障资金的良好记录。提供缴费所属日期为响应文件递交截止时间前12个月内任一月份（响应文件递交截止时间当月不计入）的缴费凭据或社保机关出具的缴费证明（在法规范围内不需提供的应出具书面说明和证明文件）/或具有依法缴纳社会保障资金的缴纳记录的诚信声明；以上二种形式的资料提供任何一种即可。4.具有履行合同所必需的设备和专业技术能力。提供声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资格部分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且无反对意见；事业法人提供部门决算报告；/或在响应文件递交截止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资格部分</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或提供法定代表人身份证明及身份证复印件（法定代表人直接参加单一来源协商)。</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供应商须具备有效的《报纸出版许可证》</w:t>
            </w:r>
          </w:p>
        </w:tc>
        <w:tc>
          <w:tcPr>
            <w:tcW w:type="dxa" w:w="1661"/>
          </w:tcPr>
          <w:p>
            <w:pPr>
              <w:pStyle w:val="null3"/>
            </w:pPr>
            <w:r>
              <w:rPr>
                <w:rFonts w:ascii="仿宋_GB2312" w:hAnsi="仿宋_GB2312" w:cs="仿宋_GB2312" w:eastAsia="仿宋_GB2312"/>
              </w:rPr>
              <w:t>资格部分</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投标人按照单一来源采购文件要求上传响应文件</w:t>
            </w:r>
          </w:p>
        </w:tc>
        <w:tc>
          <w:tcPr>
            <w:tcW w:type="dxa" w:w="1661"/>
          </w:tcPr>
          <w:p>
            <w:pPr>
              <w:pStyle w:val="null3"/>
            </w:pPr>
            <w:r>
              <w:rPr>
                <w:rFonts w:ascii="仿宋_GB2312" w:hAnsi="仿宋_GB2312" w:cs="仿宋_GB2312" w:eastAsia="仿宋_GB2312"/>
              </w:rPr>
              <w:t>商务应答表 服务内容及服务要求应答表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协商小组认为供应商的报价明显低于其他实质性响应的供应商报价，有可能影响产品质量或者不能诚信履约的，协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资格部分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1.响应文件是否按照单一来源采购文件要求的格式编写； 2.响应报价内容是否有重大缺漏项： 1）是否按单一来源采购文件要求完整报价、无缺漏项； 2）响应文件构成是否完整，即是否按单一来源采购文件要求提供了完整的响应文件； 3）单一来源采购文件要求提供的其他内容（如有）。</w:t>
            </w:r>
          </w:p>
        </w:tc>
        <w:tc>
          <w:tcPr>
            <w:tcW w:type="dxa" w:w="1661"/>
          </w:tcPr>
          <w:p>
            <w:pPr>
              <w:pStyle w:val="null3"/>
            </w:pPr>
            <w:r>
              <w:rPr>
                <w:rFonts w:ascii="仿宋_GB2312" w:hAnsi="仿宋_GB2312" w:cs="仿宋_GB2312" w:eastAsia="仿宋_GB2312"/>
              </w:rPr>
              <w:t>响应文件封面 中小企业声明函 残疾人福利性单位声明函 资格部分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中小企业声明函 残疾人福利性单位声明函 资格部分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1.响应报价是否超过采购预算； 2.响应报价有效期是否符合单一来源采购文件的要求； 3.响应文件内容是否符合国家法律法规，没有重大偏离； 4.对单一来源采购文件中规定的要求是否做出了实质性响应。</w:t>
            </w:r>
          </w:p>
        </w:tc>
        <w:tc>
          <w:tcPr>
            <w:tcW w:type="dxa" w:w="1661"/>
          </w:tcPr>
          <w:p>
            <w:pPr>
              <w:pStyle w:val="null3"/>
            </w:pPr>
            <w:r>
              <w:rPr>
                <w:rFonts w:ascii="仿宋_GB2312" w:hAnsi="仿宋_GB2312" w:cs="仿宋_GB2312" w:eastAsia="仿宋_GB2312"/>
              </w:rPr>
              <w:t>响应文件封面 中小企业声明函 残疾人福利性单位声明函 资格部分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异常低价投标（响应）审查</w:t>
            </w:r>
          </w:p>
        </w:tc>
        <w:tc>
          <w:tcPr>
            <w:tcW w:type="dxa" w:w="3322"/>
          </w:tcPr>
          <w:p>
            <w:pPr>
              <w:pStyle w:val="null3"/>
            </w:pPr>
            <w:r>
              <w:rPr>
                <w:rFonts w:ascii="仿宋_GB2312" w:hAnsi="仿宋_GB2312" w:cs="仿宋_GB2312" w:eastAsia="仿宋_GB2312"/>
              </w:rPr>
              <w:t>存在下列情形之一的，评审委员会应当启动异常低价投标（响应）审查程序：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