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686" w:leftChars="608" w:hanging="2409" w:hangingChars="750"/>
        <w:rPr>
          <w:b/>
          <w:szCs w:val="21"/>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eastAsia="zh-CN"/>
        </w:rPr>
        <w:t>榆林中心城区外运小区双提双改公共部位配套基础设施建设项目</w:t>
      </w:r>
    </w:p>
    <w:p>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118</w:t>
      </w:r>
      <w:r>
        <w:rPr>
          <w:rFonts w:hint="eastAsia" w:hAnsi="宋体"/>
          <w:b/>
          <w:sz w:val="32"/>
          <w:szCs w:val="32"/>
          <w:u w:val="single"/>
          <w:lang w:eastAsia="zh-CN"/>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榆林市榆阳区青山路街道办事处</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8</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2201055"/>
      <w:bookmarkStart w:id="3" w:name="_Toc28359089"/>
      <w:bookmarkStart w:id="4" w:name="_Toc28359012"/>
      <w:bookmarkStart w:id="5" w:name="_Toc35393629"/>
      <w:bookmarkStart w:id="6" w:name="_Toc35393798"/>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榆林中心城区外运小区双提双改公共部位配套基础设施建设项目</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榆林中心城区外运小区双提双改公共部位配套基础设施建设项目</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118</w:t>
      </w:r>
      <w:r>
        <w:rPr>
          <w:rFonts w:hint="eastAsia" w:asciiTheme="minorEastAsia" w:hAnsiTheme="minorEastAsia"/>
          <w:szCs w:val="21"/>
          <w:u w:val="single"/>
          <w:lang w:eastAsia="zh-CN"/>
        </w:rPr>
        <w:t>号</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asciiTheme="minorEastAsia" w:hAnsiTheme="minorEastAsia"/>
          <w:szCs w:val="21"/>
          <w:u w:val="single"/>
          <w:lang w:val="en-US" w:eastAsia="zh-CN"/>
        </w:rPr>
        <w:t>2315035.13</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110239.96元</w:t>
      </w:r>
      <w:r>
        <w:rPr>
          <w:rFonts w:hint="eastAsia" w:asciiTheme="minorEastAsia" w:hAnsiTheme="minorEastAsia"/>
          <w:szCs w:val="21"/>
          <w:u w:val="single"/>
          <w:lang w:eastAsia="zh-CN"/>
        </w:rPr>
        <w:t>）</w:t>
      </w:r>
      <w:r>
        <w:rPr>
          <w:rFonts w:hint="eastAsia" w:eastAsia="宋体" w:cs="Times New Roman" w:asciiTheme="minorEastAsia" w:hAnsiTheme="minorEastAsia"/>
          <w:szCs w:val="21"/>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asciiTheme="minorEastAsia" w:hAnsiTheme="minorEastAsia"/>
          <w:szCs w:val="21"/>
          <w:u w:val="single"/>
          <w:lang w:val="en-US" w:eastAsia="zh-CN"/>
        </w:rPr>
        <w:t>2315035.13</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110239.96元</w:t>
      </w:r>
      <w:r>
        <w:rPr>
          <w:rFonts w:hint="eastAsia" w:asciiTheme="minorEastAsia" w:hAnsiTheme="minorEastAsia"/>
          <w:szCs w:val="21"/>
          <w:u w:val="single"/>
          <w:lang w:eastAsia="zh-CN"/>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90</w:t>
      </w:r>
      <w:r>
        <w:rPr>
          <w:rFonts w:hint="eastAsia" w:asciiTheme="minorEastAsia" w:hAnsiTheme="minorEastAsia"/>
          <w:szCs w:val="21"/>
          <w:u w:val="single"/>
        </w:rPr>
        <w:t xml:space="preserve"> </w:t>
      </w:r>
      <w:r>
        <w:rPr>
          <w:rFonts w:hint="eastAsia" w:asciiTheme="minorEastAsia" w:hAnsiTheme="minorEastAsia"/>
          <w:szCs w:val="21"/>
          <w:u w:val="single"/>
          <w:lang w:eastAsia="zh-CN"/>
        </w:rPr>
        <w:t>日历天</w:t>
      </w:r>
      <w:r>
        <w:rPr>
          <w:rFonts w:hint="eastAsia" w:asciiTheme="minorEastAsia" w:hAnsiTheme="minorEastAsia"/>
          <w:szCs w:val="21"/>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w:t>
      </w:r>
      <w:r>
        <w:rPr>
          <w:rFonts w:hint="eastAsia" w:asciiTheme="minorEastAsia" w:hAnsiTheme="minorEastAsia"/>
          <w:szCs w:val="21"/>
          <w:lang w:eastAsia="zh-CN"/>
        </w:rPr>
        <w:t>中小</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lang w:eastAsia="zh-CN"/>
        </w:rPr>
        <w:t>榆林中心城区外运小区双提双改公共部位配套基础设施建设项目</w:t>
      </w:r>
      <w:r>
        <w:rPr>
          <w:rFonts w:hint="eastAsia" w:ascii="宋体" w:hAnsi="宋体"/>
          <w:szCs w:val="21"/>
          <w:u w:val="single"/>
        </w:rPr>
        <w:t xml:space="preserve">  </w:t>
      </w:r>
      <w:r>
        <w:rPr>
          <w:rFonts w:hint="eastAsia" w:asciiTheme="minorEastAsia" w:hAnsiTheme="minorEastAsia"/>
          <w:szCs w:val="21"/>
        </w:rPr>
        <w:t>专门面向</w:t>
      </w:r>
      <w:r>
        <w:rPr>
          <w:rFonts w:hint="eastAsia" w:asciiTheme="minorEastAsia" w:hAnsiTheme="minorEastAsia"/>
          <w:szCs w:val="21"/>
          <w:lang w:eastAsia="zh-CN"/>
        </w:rPr>
        <w:t>中小</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lang w:val="en-US" w:eastAsia="zh-CN"/>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供应商需具备建筑工程施工总承包二级及以上资质，具备有效的安全生产许可证，项目负责人具备建筑工程二级注册建造师及以上执业资格，应为本公司的在职人员，具备有效的安全生产考核合作证书（建安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31</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4</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22</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18"/>
      <w:bookmarkStart w:id="33" w:name="_Toc28359095"/>
      <w:bookmarkStart w:id="34" w:name="_Toc35393805"/>
      <w:bookmarkStart w:id="35" w:name="_Toc35393636"/>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637"/>
      <w:bookmarkStart w:id="38" w:name="_Toc28359096"/>
      <w:bookmarkStart w:id="39" w:name="_Toc35393806"/>
      <w:bookmarkStart w:id="40" w:name="_Toc28359019"/>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eastAsia="宋体" w:asciiTheme="minorEastAsia" w:hAnsiTheme="minorEastAsia"/>
          <w:color w:val="auto"/>
          <w:szCs w:val="21"/>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rPr>
        <w:t>榆林市榆阳区</w:t>
      </w:r>
      <w:r>
        <w:rPr>
          <w:rFonts w:hint="eastAsia" w:asciiTheme="minorEastAsia" w:hAnsiTheme="minorEastAsia"/>
          <w:color w:val="auto"/>
          <w:szCs w:val="21"/>
          <w:u w:val="single"/>
          <w:lang w:eastAsia="zh-CN"/>
        </w:rPr>
        <w:t>青山路街道办事处</w:t>
      </w:r>
    </w:p>
    <w:p>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地    址：</w:t>
      </w:r>
      <w:r>
        <w:rPr>
          <w:rFonts w:hint="eastAsia" w:asciiTheme="minorEastAsia" w:hAnsiTheme="minorEastAsia"/>
          <w:color w:val="auto"/>
          <w:szCs w:val="21"/>
          <w:u w:val="single"/>
        </w:rPr>
        <w:t>榆阳区常乐路</w:t>
      </w:r>
      <w:r>
        <w:rPr>
          <w:rFonts w:hint="eastAsia" w:asciiTheme="minorEastAsia" w:hAnsiTheme="minorEastAsia"/>
          <w:color w:val="auto"/>
          <w:szCs w:val="21"/>
          <w:u w:val="single"/>
          <w:lang w:val="en-US" w:eastAsia="zh-CN"/>
        </w:rPr>
        <w:t>60</w:t>
      </w:r>
      <w:r>
        <w:rPr>
          <w:rFonts w:hint="eastAsia" w:asciiTheme="minorEastAsia" w:hAnsiTheme="minorEastAsia"/>
          <w:color w:val="auto"/>
          <w:szCs w:val="21"/>
          <w:u w:val="single"/>
        </w:rPr>
        <w:t>号</w:t>
      </w:r>
    </w:p>
    <w:p>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联系方式：</w:t>
      </w:r>
      <w:r>
        <w:rPr>
          <w:rFonts w:hint="eastAsia" w:asciiTheme="minorEastAsia" w:hAnsiTheme="minorEastAsia"/>
          <w:color w:val="auto"/>
          <w:szCs w:val="21"/>
          <w:u w:val="single"/>
        </w:rPr>
        <w:t>　</w:t>
      </w:r>
      <w:r>
        <w:rPr>
          <w:rFonts w:hint="eastAsia" w:asciiTheme="minorEastAsia" w:hAnsiTheme="minorEastAsia"/>
          <w:color w:val="auto"/>
          <w:szCs w:val="21"/>
          <w:u w:val="single"/>
          <w:lang w:val="en-US" w:eastAsia="zh-CN"/>
        </w:rPr>
        <w:t>18992293618</w:t>
      </w:r>
      <w:r>
        <w:rPr>
          <w:rFonts w:hint="eastAsia" w:asciiTheme="minorEastAsia" w:hAnsiTheme="minorEastAsia"/>
          <w:color w:val="auto"/>
          <w:szCs w:val="21"/>
          <w:u w:val="single"/>
        </w:rPr>
        <w:t>　</w:t>
      </w:r>
    </w:p>
    <w:p>
      <w:pPr>
        <w:adjustRightInd w:val="0"/>
        <w:snapToGrid w:val="0"/>
        <w:spacing w:line="360" w:lineRule="auto"/>
        <w:ind w:firstLine="420" w:firstLineChars="200"/>
        <w:rPr>
          <w:rFonts w:hint="eastAsia" w:cs="宋体" w:asciiTheme="minorEastAsia" w:hAnsiTheme="minorEastAsia"/>
          <w:b/>
          <w:szCs w:val="21"/>
        </w:rPr>
      </w:pPr>
      <w:bookmarkStart w:id="41" w:name="_Toc35393807"/>
      <w:bookmarkStart w:id="42" w:name="_Toc28359020"/>
      <w:bookmarkStart w:id="43" w:name="_Toc35393638"/>
      <w:bookmarkStart w:id="44" w:name="_Toc2835909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　榆阳区政务服务中心三楼325　</w:t>
      </w:r>
    </w:p>
    <w:p>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35393808"/>
      <w:bookmarkStart w:id="46" w:name="_Toc35393639"/>
      <w:bookmarkStart w:id="47" w:name="_Toc2835909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吴老师</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color w:val="auto"/>
          <w:szCs w:val="21"/>
          <w:u w:val="single"/>
          <w:lang w:val="en-US"/>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18992293618</w:t>
      </w:r>
      <w:r>
        <w:rPr>
          <w:rFonts w:hint="eastAsia" w:asciiTheme="minorEastAsia" w:hAnsiTheme="minorEastAsia"/>
          <w:color w:val="auto"/>
          <w:szCs w:val="21"/>
          <w:u w:val="single"/>
        </w:rPr>
        <w:t>　</w:t>
      </w:r>
      <w:r>
        <w:rPr>
          <w:rFonts w:hint="eastAsia" w:asciiTheme="minorEastAsia" w:hAnsiTheme="minorEastAsia"/>
          <w:color w:val="auto"/>
          <w:szCs w:val="21"/>
          <w:u w:val="single"/>
          <w:lang w:val="en-US" w:eastAsia="zh-CN"/>
        </w:rPr>
        <w:t xml:space="preserve"> </w:t>
      </w:r>
    </w:p>
    <w:bookmarkEnd w:id="2"/>
    <w:bookmarkEnd w:id="3"/>
    <w:bookmarkEnd w:id="4"/>
    <w:bookmarkEnd w:id="5"/>
    <w:bookmarkEnd w:id="6"/>
    <w:p>
      <w:pPr>
        <w:pStyle w:val="2"/>
        <w:spacing w:before="156" w:beforeLines="50" w:line="360" w:lineRule="auto"/>
        <w:jc w:val="both"/>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w:t>
            </w:r>
            <w:r>
              <w:rPr>
                <w:rFonts w:hint="eastAsia" w:asciiTheme="minorEastAsia" w:hAnsiTheme="minorEastAsia"/>
                <w:szCs w:val="21"/>
                <w:u w:val="single"/>
                <w:lang w:eastAsia="zh-CN"/>
              </w:rPr>
              <w:t>青山路街道办事处</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color w:val="auto"/>
                <w:szCs w:val="21"/>
                <w:u w:val="single"/>
              </w:rPr>
              <w:t>榆阳区常乐路</w:t>
            </w:r>
            <w:r>
              <w:rPr>
                <w:rFonts w:hint="eastAsia" w:asciiTheme="minorEastAsia" w:hAnsiTheme="minorEastAsia"/>
                <w:color w:val="auto"/>
                <w:szCs w:val="21"/>
                <w:u w:val="single"/>
                <w:lang w:val="en-US" w:eastAsia="zh-CN"/>
              </w:rPr>
              <w:t>60</w:t>
            </w:r>
            <w:r>
              <w:rPr>
                <w:rFonts w:hint="eastAsia" w:asciiTheme="minorEastAsia" w:hAnsiTheme="minorEastAsia"/>
                <w:color w:val="auto"/>
                <w:szCs w:val="21"/>
                <w:u w:val="single"/>
              </w:rPr>
              <w:t>号</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18992293618</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吴老师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pPr>
              <w:adjustRightInd w:val="0"/>
              <w:snapToGrid w:val="0"/>
              <w:spacing w:line="360" w:lineRule="auto"/>
              <w:rPr>
                <w:rFonts w:hint="eastAsia"/>
                <w:u w:val="single"/>
              </w:rPr>
            </w:pPr>
            <w:r>
              <w:rPr>
                <w:rFonts w:hint="eastAsia"/>
                <w:lang w:eastAsia="zh-CN"/>
              </w:rPr>
              <w:t>中小</w:t>
            </w:r>
            <w:r>
              <w:rPr>
                <w:rFonts w:hint="eastAsia"/>
              </w:rPr>
              <w:t xml:space="preserve">企业： </w:t>
            </w:r>
            <w:r>
              <w:rPr>
                <w:rFonts w:hint="eastAsia"/>
                <w:u w:val="single"/>
              </w:rPr>
              <w:t xml:space="preserve"> </w:t>
            </w:r>
            <w:r>
              <w:rPr>
                <w:rFonts w:hint="eastAsia"/>
                <w:u w:val="single"/>
                <w:lang w:eastAsia="zh-CN"/>
              </w:rPr>
              <w:t>中小</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pPr>
              <w:adjustRightInd w:val="0"/>
              <w:snapToGrid w:val="0"/>
              <w:spacing w:line="360" w:lineRule="auto"/>
            </w:pPr>
            <w:r>
              <w:rPr>
                <w:rFonts w:hint="eastAsia"/>
                <w:u w:val="single"/>
              </w:rPr>
              <w:t>专门面</w:t>
            </w:r>
            <w:r>
              <w:rPr>
                <w:rFonts w:hint="eastAsia"/>
                <w:u w:val="single"/>
                <w:lang w:eastAsia="zh-CN"/>
              </w:rPr>
              <w:t>向中小</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3" w:name="_Toc220256123"/>
      <w:bookmarkStart w:id="74" w:name="_Toc216898299"/>
      <w:bookmarkStart w:id="75" w:name="_Toc216983788"/>
      <w:bookmarkStart w:id="76" w:name="_Toc216981040"/>
      <w:r>
        <w:rPr>
          <w:rFonts w:hint="eastAsia"/>
          <w:sz w:val="24"/>
          <w:szCs w:val="24"/>
        </w:rPr>
        <w:t>7.响应与偏离</w:t>
      </w:r>
      <w:bookmarkEnd w:id="73"/>
      <w:bookmarkEnd w:id="74"/>
      <w:bookmarkEnd w:id="75"/>
      <w:bookmarkEnd w:id="76"/>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9060707"/>
      <w:bookmarkStart w:id="85" w:name="_Hlk19763095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201655520"/>
      <w:bookmarkStart w:id="95" w:name="_Hlk19992954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195901368"/>
      <w:bookmarkStart w:id="103" w:name="_Hlk206233194"/>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pPr>
        <w:pStyle w:val="5"/>
        <w:keepNext w:val="0"/>
        <w:keepLines w:val="0"/>
        <w:adjustRightInd w:val="0"/>
        <w:snapToGrid w:val="0"/>
        <w:spacing w:before="50" w:after="0" w:line="360" w:lineRule="auto"/>
        <w:rPr>
          <w:sz w:val="24"/>
          <w:szCs w:val="24"/>
        </w:rPr>
      </w:pPr>
      <w:bookmarkStart w:id="104" w:name="_Toc220256130"/>
      <w:bookmarkStart w:id="105" w:name="_Toc216981047"/>
      <w:bookmarkStart w:id="106" w:name="_Toc216983795"/>
      <w:r>
        <w:rPr>
          <w:rFonts w:hint="eastAsia"/>
          <w:sz w:val="24"/>
          <w:szCs w:val="24"/>
        </w:rPr>
        <w:t>13.分包</w:t>
      </w:r>
      <w:bookmarkEnd w:id="104"/>
      <w:bookmarkEnd w:id="105"/>
      <w:bookmarkEnd w:id="106"/>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7" w:name="_Toc216983796"/>
      <w:bookmarkStart w:id="108" w:name="_Toc220256131"/>
      <w:bookmarkStart w:id="109" w:name="_Toc216981048"/>
      <w:r>
        <w:rPr>
          <w:rFonts w:hint="eastAsia" w:ascii="黑体" w:hAnsi="黑体"/>
          <w:sz w:val="24"/>
          <w:szCs w:val="24"/>
        </w:rPr>
        <w:t>14.资格审查资料</w:t>
      </w:r>
      <w:bookmarkEnd w:id="107"/>
      <w:bookmarkEnd w:id="108"/>
      <w:bookmarkEnd w:id="109"/>
    </w:p>
    <w:p>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433542"/>
      <w:bookmarkStart w:id="115"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9269893"/>
      <w:bookmarkStart w:id="130"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201046753"/>
      <w:bookmarkStart w:id="141" w:name="_Hlk197758852"/>
      <w:r>
        <w:rPr>
          <w:rFonts w:hint="eastAsia" w:asciiTheme="minorEastAsia" w:hAnsiTheme="minorEastAsia" w:eastAsiaTheme="minorEastAsia"/>
          <w:szCs w:val="21"/>
        </w:rPr>
        <w:t>。</w:t>
      </w:r>
      <w:bookmarkEnd w:id="140"/>
      <w:bookmarkEnd w:id="14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1" w:name="_Toc216981058"/>
      <w:bookmarkStart w:id="152" w:name="_Toc220256141"/>
      <w:bookmarkStart w:id="153" w:name="_Toc216983806"/>
      <w:r>
        <w:rPr>
          <w:rFonts w:hint="eastAsia" w:ascii="黑体" w:hAnsi="黑体"/>
          <w:sz w:val="24"/>
          <w:szCs w:val="24"/>
        </w:rPr>
        <w:t>22.信用信息采集</w:t>
      </w:r>
      <w:bookmarkEnd w:id="151"/>
      <w:bookmarkEnd w:id="152"/>
      <w:bookmarkEnd w:id="153"/>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bookmarkStart w:id="154" w:name="_Toc216981059"/>
      <w:bookmarkStart w:id="155" w:name="_Toc216983807"/>
      <w:bookmarkStart w:id="156" w:name="_Toc220256142"/>
      <w:r>
        <w:rPr>
          <w:rFonts w:hint="eastAsia" w:ascii="黑体" w:hAnsi="黑体"/>
          <w:sz w:val="24"/>
          <w:szCs w:val="24"/>
        </w:rPr>
        <w:t>23.资格审查</w:t>
      </w:r>
      <w:bookmarkEnd w:id="154"/>
      <w:bookmarkEnd w:id="155"/>
      <w:bookmarkEnd w:id="156"/>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756662"/>
      <w:bookmarkStart w:id="183"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220256152"/>
      <w:bookmarkStart w:id="196" w:name="_Toc197627505"/>
      <w:r>
        <w:rPr>
          <w:rFonts w:hint="eastAsia" w:ascii="黑体" w:hAnsi="黑体" w:eastAsia="黑体"/>
          <w:sz w:val="28"/>
          <w:szCs w:val="28"/>
        </w:rPr>
        <w:t>七、询问、质疑及投诉</w:t>
      </w:r>
      <w:bookmarkEnd w:id="195"/>
      <w:bookmarkEnd w:id="196"/>
    </w:p>
    <w:p>
      <w:pPr>
        <w:pStyle w:val="5"/>
        <w:adjustRightInd w:val="0"/>
        <w:snapToGrid w:val="0"/>
        <w:spacing w:before="50" w:after="0" w:line="360" w:lineRule="auto"/>
        <w:rPr>
          <w:sz w:val="24"/>
          <w:szCs w:val="24"/>
        </w:rPr>
      </w:pPr>
      <w:bookmarkStart w:id="197" w:name="_Toc197627506"/>
      <w:bookmarkStart w:id="198" w:name="_Toc220256153"/>
      <w:r>
        <w:rPr>
          <w:rFonts w:hint="eastAsia"/>
          <w:sz w:val="24"/>
          <w:szCs w:val="24"/>
        </w:rPr>
        <w:t>32.询问</w:t>
      </w:r>
      <w:bookmarkEnd w:id="197"/>
      <w:bookmarkEnd w:id="1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9" w:name="_Toc220256154"/>
      <w:bookmarkStart w:id="200" w:name="_Toc194064082"/>
      <w:bookmarkStart w:id="201" w:name="_Toc197627507"/>
      <w:r>
        <w:rPr>
          <w:rFonts w:hint="eastAsia"/>
          <w:sz w:val="24"/>
          <w:szCs w:val="24"/>
        </w:rPr>
        <w:t>33.质疑</w:t>
      </w:r>
      <w:bookmarkEnd w:id="199"/>
      <w:bookmarkEnd w:id="200"/>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pPr>
        <w:pStyle w:val="5"/>
        <w:keepNext w:val="0"/>
        <w:keepLines w:val="0"/>
        <w:adjustRightInd w:val="0"/>
        <w:snapToGrid w:val="0"/>
        <w:spacing w:before="50" w:after="0" w:line="360" w:lineRule="auto"/>
        <w:rPr>
          <w:sz w:val="24"/>
          <w:szCs w:val="24"/>
        </w:rPr>
      </w:pPr>
      <w:bookmarkStart w:id="207" w:name="_Toc216983820"/>
      <w:bookmarkStart w:id="208" w:name="_Toc220256155"/>
      <w:bookmarkStart w:id="209" w:name="_Toc194064083"/>
      <w:bookmarkStart w:id="210" w:name="_Toc197627508"/>
      <w:bookmarkStart w:id="211" w:name="_Toc216981072"/>
      <w:r>
        <w:rPr>
          <w:rFonts w:hint="eastAsia"/>
          <w:sz w:val="24"/>
          <w:szCs w:val="24"/>
        </w:rPr>
        <w:t>34.投诉</w:t>
      </w:r>
      <w:bookmarkEnd w:id="207"/>
      <w:bookmarkEnd w:id="208"/>
      <w:bookmarkEnd w:id="209"/>
      <w:bookmarkEnd w:id="210"/>
      <w:bookmarkEnd w:id="211"/>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0256156"/>
      <w:bookmarkStart w:id="213" w:name="_Toc22201076"/>
      <w:r>
        <w:rPr>
          <w:rFonts w:hint="eastAsia" w:ascii="黑体" w:hAnsi="黑体" w:eastAsia="黑体"/>
          <w:sz w:val="28"/>
          <w:szCs w:val="28"/>
        </w:rPr>
        <w:t>八、落实政府采购政策</w:t>
      </w:r>
      <w:bookmarkEnd w:id="212"/>
      <w:bookmarkEnd w:id="213"/>
    </w:p>
    <w:p>
      <w:pPr>
        <w:pStyle w:val="5"/>
        <w:adjustRightInd w:val="0"/>
        <w:snapToGrid w:val="0"/>
        <w:spacing w:before="50" w:after="0" w:line="360" w:lineRule="auto"/>
        <w:rPr>
          <w:rFonts w:hint="eastAsia" w:ascii="黑体" w:hAnsi="黑体"/>
          <w:sz w:val="24"/>
          <w:szCs w:val="24"/>
        </w:rPr>
      </w:pPr>
      <w:bookmarkStart w:id="214" w:name="_Toc197627510"/>
      <w:bookmarkStart w:id="215" w:name="_Toc220256157"/>
      <w:bookmarkStart w:id="216" w:name="_Toc62206161"/>
      <w:bookmarkStart w:id="217" w:name="_Toc23243974"/>
      <w:r>
        <w:rPr>
          <w:rFonts w:hint="eastAsia" w:ascii="黑体" w:hAnsi="黑体"/>
          <w:sz w:val="24"/>
          <w:szCs w:val="24"/>
        </w:rPr>
        <w:t>35.扶持中小企业政策</w:t>
      </w:r>
      <w:bookmarkEnd w:id="214"/>
      <w:bookmarkEnd w:id="215"/>
    </w:p>
    <w:p>
      <w:pPr>
        <w:adjustRightInd w:val="0"/>
        <w:snapToGrid w:val="0"/>
        <w:spacing w:before="50" w:line="360" w:lineRule="auto"/>
        <w:ind w:firstLine="420" w:firstLineChars="200"/>
        <w:rPr>
          <w:rFonts w:hint="eastAsia" w:ascii="宋体" w:hAnsi="宋体"/>
          <w:szCs w:val="21"/>
        </w:rPr>
      </w:pPr>
      <w:bookmarkStart w:id="218" w:name="_Hlk206233592"/>
      <w:bookmarkStart w:id="219" w:name="_Hlk196032974"/>
      <w:bookmarkStart w:id="220" w:name="_Hlk201333343"/>
      <w:bookmarkStart w:id="221" w:name="_Hlk196036780"/>
      <w:bookmarkStart w:id="222" w:name="_Hlk199684704"/>
      <w:r>
        <w:rPr>
          <w:rFonts w:hint="eastAsia" w:cs="宋体" w:asciiTheme="minorEastAsia" w:hAnsiTheme="minorEastAsia" w:eastAsiaTheme="minorEastAsia"/>
          <w:kern w:val="0"/>
          <w:szCs w:val="21"/>
          <w:lang w:val="zh-CN"/>
        </w:rPr>
        <w:t>35.</w:t>
      </w:r>
      <w:bookmarkStart w:id="223" w:name="_Hlk205574015"/>
      <w:bookmarkStart w:id="224" w:name="_Hlk199595759"/>
      <w:bookmarkStart w:id="225" w:name="_Hlk205565329"/>
      <w:bookmarkStart w:id="226"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pPr>
        <w:pStyle w:val="5"/>
        <w:keepNext w:val="0"/>
        <w:keepLines w:val="0"/>
        <w:adjustRightInd w:val="0"/>
        <w:snapToGrid w:val="0"/>
        <w:spacing w:before="50" w:after="0" w:line="360" w:lineRule="auto"/>
        <w:rPr>
          <w:rFonts w:hint="eastAsia" w:ascii="黑体" w:hAnsi="黑体"/>
          <w:sz w:val="24"/>
          <w:szCs w:val="24"/>
        </w:rPr>
      </w:pPr>
      <w:bookmarkStart w:id="230" w:name="_Toc217926678"/>
      <w:bookmarkStart w:id="231" w:name="_Toc220256158"/>
      <w:bookmarkStart w:id="232" w:name="_Toc217928582"/>
      <w:bookmarkStart w:id="233" w:name="_Toc217929159"/>
      <w:bookmarkStart w:id="234" w:name="_Toc217924094"/>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01333021"/>
      <w:bookmarkStart w:id="251" w:name="_Hlk216537460"/>
      <w:r>
        <w:rPr>
          <w:rFonts w:hint="eastAsia" w:ascii="宋体" w:hAnsi="宋体"/>
          <w:szCs w:val="21"/>
        </w:rPr>
        <w:t>。提供优先采购的产品，评审时对其产品的价格给予价格扣除，用扣除后的价格参与评审</w:t>
      </w:r>
    </w:p>
    <w:bookmarkEnd w:id="250"/>
    <w:bookmarkEnd w:id="251"/>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pPr>
        <w:pStyle w:val="5"/>
        <w:keepNext w:val="0"/>
        <w:keepLines w:val="0"/>
        <w:adjustRightInd w:val="0"/>
        <w:snapToGrid w:val="0"/>
        <w:spacing w:before="50" w:after="0" w:line="360" w:lineRule="auto"/>
        <w:rPr>
          <w:rFonts w:hint="eastAsia" w:ascii="黑体" w:hAnsi="黑体"/>
          <w:sz w:val="24"/>
          <w:szCs w:val="24"/>
        </w:rPr>
      </w:pPr>
      <w:bookmarkStart w:id="252" w:name="_Toc217928584"/>
      <w:bookmarkStart w:id="253" w:name="_Toc217926680"/>
      <w:bookmarkStart w:id="254" w:name="_Toc217924096"/>
      <w:bookmarkStart w:id="255" w:name="_Toc217929161"/>
      <w:bookmarkStart w:id="256" w:name="_Toc220256159"/>
      <w:bookmarkStart w:id="257" w:name="_Toc212910269"/>
      <w:bookmarkStart w:id="258" w:name="_Hlk212909067"/>
      <w:bookmarkStart w:id="259" w:name="_Hlk207287567"/>
      <w:bookmarkStart w:id="260" w:name="_Hlk201333077"/>
      <w:r>
        <w:rPr>
          <w:rFonts w:hint="eastAsia" w:ascii="黑体" w:hAnsi="黑体"/>
          <w:sz w:val="24"/>
          <w:szCs w:val="24"/>
        </w:rPr>
        <w:t>37.政府采购政策其他规定</w:t>
      </w:r>
      <w:bookmarkEnd w:id="252"/>
      <w:bookmarkEnd w:id="253"/>
      <w:bookmarkEnd w:id="254"/>
      <w:bookmarkEnd w:id="255"/>
      <w:bookmarkEnd w:id="256"/>
      <w:bookmarkEnd w:id="257"/>
    </w:p>
    <w:p>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pPr>
        <w:pStyle w:val="5"/>
        <w:keepNext w:val="0"/>
        <w:keepLines w:val="0"/>
        <w:adjustRightInd w:val="0"/>
        <w:snapToGrid w:val="0"/>
        <w:spacing w:before="50" w:after="0" w:line="360" w:lineRule="auto"/>
        <w:rPr>
          <w:rFonts w:hint="eastAsia" w:ascii="黑体" w:hAnsi="黑体"/>
          <w:sz w:val="24"/>
          <w:szCs w:val="24"/>
        </w:rPr>
      </w:pPr>
      <w:bookmarkStart w:id="262" w:name="_Toc217924097"/>
      <w:bookmarkStart w:id="263" w:name="_Toc217928585"/>
      <w:bookmarkStart w:id="264" w:name="_Toc217926681"/>
      <w:bookmarkStart w:id="265" w:name="_Toc217929162"/>
      <w:bookmarkStart w:id="266" w:name="_Toc220256160"/>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pPr>
        <w:pStyle w:val="5"/>
        <w:adjustRightInd w:val="0"/>
        <w:snapToGrid w:val="0"/>
        <w:spacing w:before="50" w:after="0" w:line="360" w:lineRule="auto"/>
        <w:rPr>
          <w:sz w:val="24"/>
          <w:szCs w:val="24"/>
        </w:rPr>
      </w:pPr>
      <w:bookmarkStart w:id="274" w:name="_Toc197627515"/>
      <w:bookmarkStart w:id="275" w:name="_Toc220256161"/>
      <w:bookmarkStart w:id="276" w:name="_Toc62206168"/>
      <w:r>
        <w:rPr>
          <w:rFonts w:hint="eastAsia"/>
          <w:sz w:val="24"/>
          <w:szCs w:val="24"/>
        </w:rPr>
        <w:t>39.融资、担保</w:t>
      </w:r>
      <w:bookmarkEnd w:id="274"/>
      <w:bookmarkEnd w:id="275"/>
      <w:bookmarkEnd w:id="276"/>
    </w:p>
    <w:p>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pPr>
        <w:widowControl/>
        <w:adjustRightInd w:val="0"/>
        <w:snapToGrid w:val="0"/>
        <w:spacing w:line="360" w:lineRule="auto"/>
        <w:jc w:val="left"/>
        <w:rPr>
          <w:rFonts w:hint="eastAsia" w:ascii="黑体" w:hAnsi="黑体" w:eastAsia="黑体"/>
          <w:b w:val="0"/>
          <w:bCs w:val="0"/>
          <w:sz w:val="21"/>
          <w:szCs w:val="21"/>
        </w:rPr>
      </w:pPr>
      <w:bookmarkStart w:id="282" w:name="_Toc197693226"/>
      <w:bookmarkStart w:id="283" w:name="_Hlk195469863"/>
      <w:r>
        <w:rPr>
          <w:rFonts w:hint="eastAsia" w:ascii="黑体" w:hAnsi="黑体" w:eastAsia="黑体"/>
          <w:b/>
          <w:bCs/>
          <w:szCs w:val="21"/>
        </w:rPr>
        <w:br w:type="page"/>
      </w:r>
      <w:bookmarkStart w:id="284" w:name="_Toc220256164"/>
      <w:r>
        <w:rPr>
          <w:rFonts w:hint="eastAsia" w:ascii="黑体" w:hAnsi="黑体" w:eastAsia="黑体"/>
          <w:b w:val="0"/>
          <w:bCs w:val="0"/>
          <w:sz w:val="21"/>
          <w:szCs w:val="21"/>
        </w:rPr>
        <w:t>件2-1</w:t>
      </w:r>
      <w:r>
        <w:rPr>
          <w:rFonts w:ascii="黑体" w:hAnsi="黑体" w:eastAsia="黑体"/>
          <w:b w:val="0"/>
          <w:bCs w:val="0"/>
          <w:sz w:val="21"/>
          <w:szCs w:val="21"/>
        </w:rPr>
        <w:t>资格审查表</w:t>
      </w:r>
      <w:bookmarkEnd w:id="282"/>
      <w:bookmarkEnd w:id="284"/>
    </w:p>
    <w:bookmarkEnd w:id="283"/>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220256165"/>
      <w:bookmarkStart w:id="287" w:name="_Toc197693227"/>
      <w:r>
        <w:rPr>
          <w:rFonts w:hint="eastAsia" w:ascii="黑体" w:hAnsi="黑体" w:eastAsia="黑体"/>
          <w:b w:val="0"/>
          <w:bCs w:val="0"/>
          <w:sz w:val="21"/>
          <w:szCs w:val="21"/>
        </w:rPr>
        <w:t>附件2-2 符合性审查表</w:t>
      </w:r>
      <w:bookmarkEnd w:id="286"/>
      <w:bookmarkEnd w:id="28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8"/>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bidi w:val="0"/>
        <w:rPr>
          <w:rFonts w:hint="eastAsia"/>
        </w:rPr>
      </w:pPr>
      <w:bookmarkStart w:id="292" w:name="_Toc220256167"/>
    </w:p>
    <w:p>
      <w:pPr>
        <w:bidi w:val="0"/>
        <w:rPr>
          <w:rFonts w:hint="eastAsia"/>
        </w:rPr>
      </w:pPr>
    </w:p>
    <w:p>
      <w:pPr>
        <w:bidi w:val="0"/>
        <w:rPr>
          <w:rFonts w:hint="eastAsia"/>
        </w:rPr>
      </w:pPr>
    </w:p>
    <w:p>
      <w:pPr>
        <w:pStyle w:val="4"/>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评分因素</w:t>
            </w:r>
          </w:p>
        </w:tc>
        <w:tc>
          <w:tcPr>
            <w:tcW w:w="7104" w:type="dxa"/>
            <w:gridSpan w:val="2"/>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评审内容</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磋商报价</w:t>
            </w:r>
          </w:p>
        </w:tc>
        <w:tc>
          <w:tcPr>
            <w:tcW w:w="7104" w:type="dxa"/>
            <w:gridSpan w:val="2"/>
            <w:vAlign w:val="center"/>
          </w:tcPr>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实质性满足磋商文件的要求且最终报价进行计算：</w:t>
            </w:r>
          </w:p>
          <w:p>
            <w:pPr>
              <w:keepNext w:val="0"/>
              <w:keepLines w:val="0"/>
              <w:pageBreakBefore w:val="0"/>
              <w:widowControl/>
              <w:tabs>
                <w:tab w:val="center" w:pos="4153"/>
                <w:tab w:val="right" w:pos="8306"/>
              </w:tabs>
              <w:kinsoku/>
              <w:wordWrap/>
              <w:overflowPunct/>
              <w:topLinePunct w:val="0"/>
              <w:autoSpaceDE/>
              <w:autoSpaceDN/>
              <w:bidi w:val="0"/>
              <w:adjustRightInd/>
              <w:snapToGrid w:val="0"/>
              <w:spacing w:line="360" w:lineRule="exact"/>
              <w:ind w:firstLine="420" w:firstLineChars="200"/>
              <w:jc w:val="left"/>
              <w:textAlignment w:val="auto"/>
              <w:rPr>
                <w:rFonts w:hint="eastAsia" w:ascii="CESI仿宋-GB2312" w:hAnsi="CESI仿宋-GB2312" w:eastAsia="CESI仿宋-GB2312" w:cs="CESI仿宋-GB2312"/>
                <w:color w:val="auto"/>
                <w:sz w:val="21"/>
                <w:szCs w:val="21"/>
              </w:rPr>
            </w:pPr>
            <w:r>
              <w:rPr>
                <w:rFonts w:hint="eastAsia" w:ascii="CESI仿宋-GB2312" w:hAnsi="CESI仿宋-GB2312" w:eastAsia="CESI仿宋-GB2312" w:cs="CESI仿宋-GB2312"/>
                <w:color w:val="auto"/>
                <w:sz w:val="21"/>
                <w:szCs w:val="21"/>
              </w:rPr>
              <w:t>最后报价（30分）：满足磋商文件要求且报价合理最低的供应商的价格为基准价，其价格分为满分。</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其他供应商的价格分按照下列公式计算：</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磋商报价得分=（基准价/最后报价）×30</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lang w:val="en-US" w:eastAsia="zh-CN"/>
              </w:rPr>
            </w:pPr>
            <w:r>
              <w:rPr>
                <w:rFonts w:hint="eastAsia" w:ascii="CESI仿宋-GB2312" w:hAnsi="CESI仿宋-GB2312" w:eastAsia="CESI仿宋-GB2312" w:cs="CESI仿宋-GB2312"/>
                <w:snapToGrid w:val="0"/>
                <w:color w:val="auto"/>
                <w:kern w:val="0"/>
                <w:sz w:val="21"/>
                <w:szCs w:val="21"/>
              </w:rPr>
              <w:t>磋商小组发现某一供应商的最后报价明显低于其他供应商的最终报价，</w:t>
            </w:r>
            <w:r>
              <w:rPr>
                <w:rFonts w:hint="eastAsia" w:ascii="CESI仿宋-GB2312" w:hAnsi="CESI仿宋-GB2312" w:eastAsia="CESI仿宋-GB2312" w:cs="CESI仿宋-GB2312"/>
                <w:snapToGrid w:val="0"/>
                <w:color w:val="auto"/>
                <w:kern w:val="0"/>
                <w:sz w:val="21"/>
                <w:szCs w:val="21"/>
                <w:lang w:eastAsia="zh-CN"/>
              </w:rPr>
              <w:t>遵照第二章供应商须知第二节供应商须知正文五磋商与响应文件的评审</w:t>
            </w:r>
            <w:r>
              <w:rPr>
                <w:rFonts w:hint="eastAsia" w:ascii="CESI仿宋-GB2312" w:hAnsi="CESI仿宋-GB2312" w:eastAsia="CESI仿宋-GB2312" w:cs="CESI仿宋-GB2312"/>
                <w:snapToGrid w:val="0"/>
                <w:color w:val="auto"/>
                <w:kern w:val="0"/>
                <w:sz w:val="21"/>
                <w:szCs w:val="21"/>
                <w:lang w:val="en-US" w:eastAsia="zh-CN"/>
              </w:rPr>
              <w:t>28、响应文件的澄清或补正28.3款内容</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Theme="minorEastAsia" w:hAnsiTheme="minorEastAsia" w:eastAsiaTheme="minorEastAsia" w:cstheme="minorEastAsia"/>
                <w:color w:val="auto"/>
                <w:sz w:val="21"/>
                <w:szCs w:val="21"/>
              </w:rPr>
            </w:pPr>
            <w:r>
              <w:rPr>
                <w:rFonts w:hint="eastAsia" w:ascii="CESI仿宋-GB2312" w:hAnsi="CESI仿宋-GB2312" w:eastAsia="CESI仿宋-GB2312" w:cs="CESI仿宋-GB2312"/>
                <w:b/>
                <w:bCs/>
                <w:snapToGrid w:val="0"/>
                <w:color w:val="auto"/>
                <w:kern w:val="0"/>
                <w:sz w:val="21"/>
                <w:szCs w:val="21"/>
              </w:rPr>
              <w:t>本项目专门面向</w:t>
            </w:r>
            <w:r>
              <w:rPr>
                <w:rFonts w:hint="eastAsia" w:ascii="CESI仿宋-GB2312" w:hAnsi="CESI仿宋-GB2312" w:eastAsia="CESI仿宋-GB2312" w:cs="CESI仿宋-GB2312"/>
                <w:b/>
                <w:bCs/>
                <w:snapToGrid w:val="0"/>
                <w:color w:val="auto"/>
                <w:kern w:val="0"/>
                <w:sz w:val="21"/>
                <w:szCs w:val="21"/>
                <w:lang w:eastAsia="zh-CN"/>
              </w:rPr>
              <w:t>中小</w:t>
            </w:r>
            <w:r>
              <w:rPr>
                <w:rFonts w:hint="eastAsia" w:ascii="CESI仿宋-GB2312" w:hAnsi="CESI仿宋-GB2312" w:eastAsia="CESI仿宋-GB2312" w:cs="CESI仿宋-GB2312"/>
                <w:b/>
                <w:bCs/>
                <w:snapToGrid w:val="0"/>
                <w:color w:val="auto"/>
                <w:kern w:val="0"/>
                <w:sz w:val="21"/>
                <w:szCs w:val="21"/>
              </w:rPr>
              <w:t>企业采购，不执行价格评审优惠</w:t>
            </w:r>
            <w:r>
              <w:rPr>
                <w:rFonts w:hint="eastAsia" w:ascii="CESI仿宋-GB2312" w:hAnsi="CESI仿宋-GB2312" w:eastAsia="CESI仿宋-GB2312" w:cs="CESI仿宋-GB2312"/>
                <w:snapToGrid w:val="0"/>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color w:val="auto"/>
                <w:kern w:val="0"/>
                <w:sz w:val="21"/>
                <w:szCs w:val="21"/>
              </w:rPr>
              <w:t>施工组织</w:t>
            </w:r>
            <w:r>
              <w:rPr>
                <w:rFonts w:hint="eastAsia" w:asciiTheme="minorEastAsia" w:hAnsiTheme="minorEastAsia" w:eastAsiaTheme="minorEastAsia" w:cstheme="minorEastAsia"/>
                <w:snapToGrid w:val="0"/>
                <w:color w:val="auto"/>
                <w:kern w:val="0"/>
                <w:sz w:val="21"/>
                <w:szCs w:val="21"/>
              </w:rPr>
              <w:t>部分</w:t>
            </w:r>
          </w:p>
        </w:tc>
        <w:tc>
          <w:tcPr>
            <w:tcW w:w="1320" w:type="dxa"/>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主要工程项目的施工方案、方法与技术措施</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tc>
        <w:tc>
          <w:tcPr>
            <w:tcW w:w="5784" w:type="dxa"/>
          </w:tcPr>
          <w:p>
            <w:pPr>
              <w:widowControl/>
              <w:autoSpaceDE w:val="0"/>
              <w:spacing w:line="360" w:lineRule="exact"/>
              <w:jc w:val="left"/>
              <w:rPr>
                <w:rFonts w:hint="eastAsia" w:ascii="仿宋" w:hAnsi="仿宋" w:eastAsia="仿宋"/>
                <w:kern w:val="0"/>
                <w:lang w:eastAsia="zh-CN"/>
              </w:rPr>
            </w:pPr>
            <w:r>
              <w:rPr>
                <w:rFonts w:hint="eastAsia" w:ascii="CESI仿宋-GB2312" w:hAnsi="CESI仿宋-GB2312" w:eastAsia="CESI仿宋-GB2312" w:cs="CESI仿宋-GB2312"/>
                <w:color w:val="auto"/>
                <w:kern w:val="0"/>
                <w:sz w:val="21"/>
                <w:szCs w:val="21"/>
              </w:rPr>
              <w:t xml:space="preserve">  </w:t>
            </w:r>
            <w:r>
              <w:rPr>
                <w:rFonts w:hint="eastAsia" w:ascii="仿宋" w:hAnsi="仿宋" w:eastAsia="仿宋"/>
                <w:kern w:val="0"/>
              </w:rPr>
              <w:t>施工方案全面、合理，可行性强，满足本项目维修</w:t>
            </w:r>
            <w:r>
              <w:rPr>
                <w:rFonts w:hint="eastAsia" w:ascii="仿宋" w:hAnsi="仿宋" w:eastAsia="仿宋"/>
                <w:kern w:val="0"/>
                <w:lang w:eastAsia="zh-CN"/>
              </w:rPr>
              <w:t>改造</w:t>
            </w:r>
            <w:r>
              <w:rPr>
                <w:rFonts w:hint="eastAsia" w:ascii="仿宋" w:hAnsi="仿宋" w:eastAsia="仿宋"/>
                <w:kern w:val="0"/>
              </w:rPr>
              <w:t>内容</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（1）本项目施工关键内容的施工方法具体完整得4</w:t>
            </w:r>
            <w:bookmarkStart w:id="731" w:name="_GoBack"/>
            <w:bookmarkEnd w:id="731"/>
            <w:r>
              <w:rPr>
                <w:rFonts w:hint="eastAsia" w:ascii="仿宋" w:hAnsi="仿宋" w:eastAsia="仿宋"/>
                <w:kern w:val="0"/>
              </w:rPr>
              <w:t>分；不详细、不完整</w:t>
            </w:r>
            <w:r>
              <w:rPr>
                <w:rFonts w:hint="eastAsia" w:ascii="仿宋" w:hAnsi="仿宋" w:eastAsia="仿宋"/>
                <w:kern w:val="0"/>
                <w:lang w:eastAsia="zh-CN"/>
              </w:rPr>
              <w:t>，得</w:t>
            </w:r>
            <w:r>
              <w:rPr>
                <w:rFonts w:hint="eastAsia" w:ascii="仿宋" w:hAnsi="仿宋" w:eastAsia="仿宋"/>
                <w:kern w:val="0"/>
              </w:rPr>
              <w:t>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（2）主要施工内容有详细的施工工序及工艺安排等得4分；不详细、不完整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（3）针对本次维修的难点有详细方案描述的得4分；不详细、不完整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（4）有工完场清、有成品保护等内容描述得4分</w:t>
            </w:r>
            <w:r>
              <w:rPr>
                <w:rFonts w:hint="eastAsia" w:ascii="仿宋" w:hAnsi="仿宋" w:eastAsia="仿宋"/>
                <w:kern w:val="0"/>
                <w:lang w:eastAsia="zh-CN"/>
              </w:rPr>
              <w:t>，</w:t>
            </w:r>
            <w:r>
              <w:rPr>
                <w:rFonts w:hint="eastAsia" w:ascii="仿宋" w:hAnsi="仿宋" w:eastAsia="仿宋"/>
                <w:kern w:val="0"/>
              </w:rPr>
              <w:t>不详细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keepNext w:val="0"/>
              <w:keepLines w:val="0"/>
              <w:pageBreakBefore w:val="0"/>
              <w:widowControl/>
              <w:kinsoku/>
              <w:wordWrap/>
              <w:overflowPunct/>
              <w:topLinePunct w:val="0"/>
              <w:autoSpaceDE/>
              <w:autoSpaceDN/>
              <w:bidi w:val="0"/>
              <w:adjustRightInd/>
              <w:spacing w:line="360" w:lineRule="exact"/>
              <w:jc w:val="both"/>
              <w:textAlignment w:val="auto"/>
              <w:rPr>
                <w:rFonts w:hint="eastAsia" w:ascii="CESI仿宋-GB2312" w:hAnsi="CESI仿宋-GB2312" w:eastAsia="CESI仿宋-GB2312" w:cs="CESI仿宋-GB2312"/>
                <w:snapToGrid w:val="0"/>
                <w:color w:val="auto"/>
                <w:kern w:val="0"/>
                <w:sz w:val="21"/>
                <w:szCs w:val="21"/>
              </w:rPr>
            </w:pPr>
            <w:r>
              <w:rPr>
                <w:rFonts w:hint="eastAsia" w:ascii="仿宋" w:hAnsi="仿宋" w:eastAsia="仿宋"/>
                <w:kern w:val="0"/>
              </w:rPr>
              <w:t>（5）施工方案有明显不符合本项目施工内容的不得分。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1</w:t>
            </w:r>
            <w:r>
              <w:rPr>
                <w:rFonts w:hint="eastAsia" w:asciiTheme="minorEastAsia" w:hAnsiTheme="minorEastAsia" w:eastAsiaTheme="minorEastAsia" w:cstheme="minorEastAsia"/>
                <w:snapToGrid w:val="0"/>
                <w:color w:val="auto"/>
                <w:kern w:val="0"/>
                <w:sz w:val="21"/>
                <w:szCs w:val="21"/>
                <w:lang w:val="en-US" w:eastAsia="zh-CN"/>
              </w:rPr>
              <w:t>6</w:t>
            </w:r>
            <w:r>
              <w:rPr>
                <w:rFonts w:hint="eastAsia" w:asciiTheme="minorEastAsia" w:hAnsiTheme="minorEastAsia" w:eastAsiaTheme="minorEastAsia" w:cstheme="minorEastAsia"/>
                <w:snapToGrid w:val="0"/>
                <w:color w:val="auto"/>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仿宋" w:hAnsi="仿宋" w:eastAsia="仿宋"/>
                <w:kern w:val="0"/>
              </w:rPr>
              <w:t>工程质量管理体系及保证措施</w:t>
            </w:r>
          </w:p>
        </w:tc>
        <w:tc>
          <w:tcPr>
            <w:tcW w:w="5784" w:type="dxa"/>
          </w:tcPr>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质量管理和保证措施全面、合理，可行性强，满足本项目维修内容</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（1）有完善的质量管理体系及具体详实可行的质量保证措施</w:t>
            </w:r>
            <w:r>
              <w:rPr>
                <w:rFonts w:hint="eastAsia" w:ascii="仿宋" w:hAnsi="仿宋" w:eastAsia="仿宋"/>
                <w:kern w:val="0"/>
                <w:lang w:eastAsia="zh-CN"/>
              </w:rPr>
              <w:t>；</w:t>
            </w:r>
            <w:r>
              <w:rPr>
                <w:rFonts w:hint="eastAsia" w:ascii="仿宋" w:hAnsi="仿宋" w:eastAsia="仿宋"/>
                <w:kern w:val="0"/>
              </w:rPr>
              <w:t>有不限于水电改造等主要节点的质量控制措施内容，得8分</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w:t>
            </w:r>
            <w:r>
              <w:rPr>
                <w:rFonts w:hint="eastAsia" w:ascii="仿宋" w:hAnsi="仿宋" w:eastAsia="仿宋"/>
                <w:kern w:val="0"/>
                <w:lang w:val="en-US" w:eastAsia="zh-CN"/>
              </w:rPr>
              <w:t>2</w:t>
            </w:r>
            <w:r>
              <w:rPr>
                <w:rFonts w:hint="eastAsia" w:ascii="仿宋" w:hAnsi="仿宋" w:eastAsia="仿宋"/>
                <w:kern w:val="0"/>
              </w:rPr>
              <w:t>）有基本的质量管理和措施，质量保证措施基本合理，得 6分</w:t>
            </w:r>
            <w:r>
              <w:rPr>
                <w:rFonts w:hint="eastAsia" w:ascii="仿宋" w:hAnsi="仿宋" w:eastAsia="仿宋"/>
                <w:kern w:val="0"/>
                <w:lang w:eastAsia="zh-CN"/>
              </w:rPr>
              <w:t>；</w:t>
            </w:r>
            <w:r>
              <w:rPr>
                <w:rFonts w:hint="eastAsia" w:ascii="仿宋" w:hAnsi="仿宋" w:eastAsia="仿宋"/>
                <w:kern w:val="0"/>
              </w:rPr>
              <w:t xml:space="preserve"> </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w:t>
            </w:r>
            <w:r>
              <w:rPr>
                <w:rFonts w:hint="eastAsia" w:ascii="仿宋" w:hAnsi="仿宋" w:eastAsia="仿宋"/>
                <w:kern w:val="0"/>
                <w:lang w:val="en-US" w:eastAsia="zh-CN"/>
              </w:rPr>
              <w:t>3</w:t>
            </w:r>
            <w:r>
              <w:rPr>
                <w:rFonts w:hint="eastAsia" w:ascii="仿宋" w:hAnsi="仿宋" w:eastAsia="仿宋"/>
                <w:kern w:val="0"/>
              </w:rPr>
              <w:t>）有基本合理的质量管理，但质量保证措施内容不完整</w:t>
            </w:r>
            <w:r>
              <w:rPr>
                <w:rFonts w:hint="eastAsia" w:ascii="仿宋" w:hAnsi="仿宋" w:eastAsia="仿宋"/>
                <w:kern w:val="0"/>
                <w:lang w:eastAsia="zh-CN"/>
              </w:rPr>
              <w:t>，</w:t>
            </w:r>
            <w:r>
              <w:rPr>
                <w:rFonts w:hint="eastAsia" w:ascii="仿宋" w:hAnsi="仿宋" w:eastAsia="仿宋"/>
                <w:kern w:val="0"/>
              </w:rPr>
              <w:t>得4分</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w:t>
            </w:r>
            <w:r>
              <w:rPr>
                <w:rFonts w:hint="eastAsia" w:ascii="仿宋" w:hAnsi="仿宋" w:eastAsia="仿宋"/>
                <w:kern w:val="0"/>
                <w:lang w:val="en-US" w:eastAsia="zh-CN"/>
              </w:rPr>
              <w:t>4</w:t>
            </w:r>
            <w:r>
              <w:rPr>
                <w:rFonts w:hint="eastAsia" w:ascii="仿宋" w:hAnsi="仿宋" w:eastAsia="仿宋"/>
                <w:kern w:val="0"/>
              </w:rPr>
              <w:t>）有质量管理和保证措施，但不具体、没有针对性，得2分</w:t>
            </w:r>
            <w:r>
              <w:rPr>
                <w:rFonts w:hint="eastAsia" w:ascii="仿宋" w:hAnsi="仿宋" w:eastAsia="仿宋"/>
                <w:kern w:val="0"/>
                <w:lang w:eastAsia="zh-CN"/>
              </w:rPr>
              <w:t>；</w:t>
            </w:r>
          </w:p>
          <w:p>
            <w:pPr>
              <w:keepNext w:val="0"/>
              <w:keepLines w:val="0"/>
              <w:pageBreakBefore w:val="0"/>
              <w:widowControl/>
              <w:numPr>
                <w:ilvl w:val="0"/>
                <w:numId w:val="0"/>
              </w:numPr>
              <w:kinsoku/>
              <w:wordWrap/>
              <w:overflowPunct/>
              <w:topLinePunct w:val="0"/>
              <w:autoSpaceDE/>
              <w:autoSpaceDN/>
              <w:bidi w:val="0"/>
              <w:adjustRightInd/>
              <w:spacing w:line="360" w:lineRule="exact"/>
              <w:ind w:left="105" w:leftChars="0"/>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仿宋" w:hAnsi="仿宋" w:eastAsia="仿宋"/>
                <w:kern w:val="0"/>
              </w:rPr>
              <w:t>（</w:t>
            </w:r>
            <w:r>
              <w:rPr>
                <w:rFonts w:hint="eastAsia" w:ascii="仿宋" w:hAnsi="仿宋" w:eastAsia="仿宋"/>
                <w:kern w:val="0"/>
                <w:lang w:val="en-US" w:eastAsia="zh-CN"/>
              </w:rPr>
              <w:t>5</w:t>
            </w:r>
            <w:r>
              <w:rPr>
                <w:rFonts w:hint="eastAsia" w:ascii="仿宋" w:hAnsi="仿宋" w:eastAsia="仿宋"/>
                <w:kern w:val="0"/>
              </w:rPr>
              <w:t xml:space="preserve">）未提供得 0 分。  </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shd w:val="clear" w:color="auto" w:fill="auto"/>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安全生产管理体系及保证措施</w:t>
            </w:r>
          </w:p>
        </w:tc>
        <w:tc>
          <w:tcPr>
            <w:tcW w:w="5784" w:type="dxa"/>
            <w:shd w:val="clear" w:color="auto" w:fill="auto"/>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针对本项目有完善的安全生产管理体系，措施完整全面，能够从多方面保证安全生产，且合理性、可行。</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（1）有明确的安全管理人员、管理制度和责任管理制度得2分；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（2）有详细的安全措施（如消防安全、人行安全通道防护等）得2分；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（3）有必要的安全设施设备（包括但不限于安全帽、等并设置清晰的安全警示牌）得2分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（4）有完整的针对本维修工程的安全交底得2分。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上述4项内容中有缺陷或不完整、不详细，没有针对性分别扣1分，未提供不得分。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确保文明施工的技术措施及环境保护施</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措施全面、完整，能从多方面确保文明施工。</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（1）提出合理可行的文明施工解决和防治措施（不限于对减少灰尘、控制噪音等方面）可达到环境保护要求的得6分；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（2）措施基本完整、有一定的可行性，能基本满足文明施工等环境保护要求的得4分；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（3）措施存在较大不合理性、内容简单、没有针对本项目性的得2分；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Theme="minorEastAsia" w:hAnsiTheme="minorEastAsia" w:eastAsiaTheme="minorEastAsia" w:cstheme="minorEastAsia"/>
                <w:color w:val="auto"/>
                <w:kern w:val="0"/>
                <w:sz w:val="21"/>
                <w:szCs w:val="21"/>
              </w:rPr>
            </w:pPr>
            <w:r>
              <w:rPr>
                <w:rFonts w:hint="eastAsia" w:ascii="CESI仿宋-GB2312" w:hAnsi="CESI仿宋-GB2312" w:eastAsia="CESI仿宋-GB2312" w:cs="CESI仿宋-GB2312"/>
                <w:snapToGrid w:val="0"/>
                <w:color w:val="auto"/>
                <w:kern w:val="0"/>
                <w:sz w:val="21"/>
                <w:szCs w:val="21"/>
              </w:rPr>
              <w:t>未提供不得</w:t>
            </w:r>
            <w:r>
              <w:rPr>
                <w:rFonts w:hint="eastAsia" w:ascii="CESI仿宋-GB2312" w:hAnsi="CESI仿宋-GB2312" w:eastAsia="CESI仿宋-GB2312" w:cs="CESI仿宋-GB2312"/>
                <w:color w:val="auto"/>
                <w:kern w:val="0"/>
                <w:sz w:val="21"/>
                <w:szCs w:val="21"/>
              </w:rPr>
              <w:t>分</w:t>
            </w:r>
            <w:r>
              <w:rPr>
                <w:rFonts w:hint="eastAsia" w:ascii="CESI仿宋-GB2312" w:hAnsi="CESI仿宋-GB2312" w:eastAsia="CESI仿宋-GB2312" w:cs="CESI仿宋-GB2312"/>
                <w:snapToGrid w:val="0"/>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项目应急预案</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针对本项目有应急预案，而且预案要科学、合理、详细。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（1）预案科学可行，且对本项目有可能出现的问题及重大故障有全面的分析的得6分，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（2）有应急预案，预案基本能够针对本项目得4分；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（3）有应急预案但不能针对本项目具体内容，得2分；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 xml:space="preserve">  （4）有应急预案但简单不合理或未提供不得分。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施工机械设备配备计划和劳动力安排计划</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机械种类齐备合理、劳动力计划安排工种齐全。</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（1）设备选型配置齐全，能够完全满足项目需要，劳动力计划工种合理、数量充足，得8分；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（2）机械设备配置基本合理，劳动力基本数量充足，得 6分；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（3）机械设备配置及劳动力计划比较简单得4分；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（4）机械设备安排不合理，劳动力不合理得2分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拟投入项目管理人员</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项目管理人员配置满足施工要求、同时证件齐全合理，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（1）管理人员设置满足施工要求、所附各类证明材料齐全，得6分；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（2）管理人员岗位设置基本满足施工要求、所附相关证明材料基本齐全，得4分；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color w:val="auto"/>
                <w:kern w:val="0"/>
                <w:sz w:val="21"/>
                <w:szCs w:val="21"/>
              </w:rPr>
            </w:pPr>
            <w:r>
              <w:rPr>
                <w:rFonts w:hint="eastAsia" w:ascii="CESI仿宋-GB2312" w:hAnsi="CESI仿宋-GB2312" w:eastAsia="CESI仿宋-GB2312" w:cs="CESI仿宋-GB2312"/>
                <w:snapToGrid w:val="0"/>
                <w:color w:val="auto"/>
                <w:kern w:val="0"/>
                <w:sz w:val="21"/>
                <w:szCs w:val="21"/>
              </w:rPr>
              <w:t>（3）管理人员安排不合理或者所附相关证明材料不齐全，得2分</w:t>
            </w:r>
            <w:r>
              <w:rPr>
                <w:rFonts w:hint="eastAsia" w:ascii="CESI仿宋-GB2312" w:hAnsi="CESI仿宋-GB2312" w:eastAsia="CESI仿宋-GB2312" w:cs="CESI仿宋-GB2312"/>
                <w:color w:val="auto"/>
                <w:kern w:val="0"/>
                <w:sz w:val="21"/>
                <w:szCs w:val="21"/>
              </w:rPr>
              <w:t>。</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未提供相关证明资料不得分</w:t>
            </w:r>
            <w:r>
              <w:rPr>
                <w:rFonts w:hint="eastAsia" w:ascii="CESI仿宋-GB2312" w:hAnsi="CESI仿宋-GB2312" w:eastAsia="CESI仿宋-GB2312" w:cs="CESI仿宋-GB2312"/>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新技术、工艺</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新技术、新产品、新工艺、新材料应用方案合理、可行、科学、</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其中：每提出1项适合本维修工程的新技术或工艺，并说明其优点得2分，最高</w:t>
            </w:r>
            <w:r>
              <w:rPr>
                <w:rFonts w:hint="eastAsia" w:ascii="CESI仿宋-GB2312" w:hAnsi="CESI仿宋-GB2312" w:eastAsia="CESI仿宋-GB2312" w:cs="CESI仿宋-GB2312"/>
                <w:snapToGrid w:val="0"/>
                <w:color w:val="auto"/>
                <w:kern w:val="0"/>
                <w:sz w:val="21"/>
                <w:szCs w:val="21"/>
                <w:lang w:val="en-US" w:eastAsia="zh-CN"/>
              </w:rPr>
              <w:t>4</w:t>
            </w:r>
            <w:r>
              <w:rPr>
                <w:rFonts w:hint="eastAsia" w:ascii="CESI仿宋-GB2312" w:hAnsi="CESI仿宋-GB2312" w:eastAsia="CESI仿宋-GB2312" w:cs="CESI仿宋-GB2312"/>
                <w:snapToGrid w:val="0"/>
                <w:color w:val="auto"/>
                <w:kern w:val="0"/>
                <w:sz w:val="21"/>
                <w:szCs w:val="21"/>
              </w:rPr>
              <w:t>分，未提供或存在明显不符合本项目施工内容的不得分。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lang w:eastAsia="zh-CN"/>
              </w:rPr>
            </w:pPr>
            <w:r>
              <w:rPr>
                <w:rFonts w:hint="eastAsia" w:asciiTheme="minorEastAsia" w:hAnsiTheme="minorEastAsia" w:eastAsiaTheme="minorEastAsia" w:cstheme="minorEastAsia"/>
                <w:snapToGrid w:val="0"/>
                <w:color w:val="auto"/>
                <w:kern w:val="0"/>
                <w:sz w:val="21"/>
                <w:szCs w:val="21"/>
                <w:lang w:val="en-US" w:eastAsia="zh-CN"/>
              </w:rPr>
              <w:t>4</w:t>
            </w:r>
            <w:r>
              <w:rPr>
                <w:rFonts w:hint="eastAsia" w:asciiTheme="minorEastAsia" w:hAnsiTheme="minorEastAsia" w:eastAsiaTheme="minorEastAsia" w:cstheme="minorEastAsia"/>
                <w:snapToGrid w:val="0"/>
                <w:color w:val="auto"/>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color w:val="auto"/>
                <w:sz w:val="21"/>
                <w:szCs w:val="21"/>
              </w:rPr>
            </w:pPr>
            <w:r>
              <w:rPr>
                <w:rFonts w:hint="eastAsia" w:ascii="CESI仿宋-GB2312" w:hAnsi="CESI仿宋-GB2312" w:eastAsia="CESI仿宋-GB2312" w:cs="CESI仿宋-GB2312"/>
                <w:color w:val="auto"/>
                <w:sz w:val="21"/>
                <w:szCs w:val="21"/>
              </w:rPr>
              <w:t>商务部分</w:t>
            </w: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业绩</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2023年1月1日至今已完工（以合同完工日期为准）的类似项目业绩1个得4分，每增加1个类似项目加2分，累计得分最高8分。</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注：以提供的业绩证明材料为准（含中标通知书、施工合同）。</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5" w:name="_Toc220256169"/>
      <w:bookmarkStart w:id="296" w:name="_Toc217759814"/>
      <w:bookmarkStart w:id="297" w:name="_Toc217757405"/>
      <w:bookmarkStart w:id="298" w:name="_Hlk217761520"/>
      <w:r>
        <w:rPr>
          <w:rFonts w:hint="eastAsia" w:ascii="黑体" w:hAnsi="黑体" w:eastAsia="黑体"/>
          <w:sz w:val="21"/>
          <w:szCs w:val="21"/>
        </w:rPr>
        <w:t>附件2-6 关于信用承诺网上公示操作指南</w:t>
      </w:r>
      <w:bookmarkEnd w:id="295"/>
      <w:bookmarkEnd w:id="296"/>
      <w:bookmarkEnd w:id="297"/>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pPr>
        <w:pStyle w:val="5"/>
        <w:adjustRightInd w:val="0"/>
        <w:snapToGrid w:val="0"/>
        <w:spacing w:before="156" w:beforeLines="50" w:after="0" w:line="360" w:lineRule="auto"/>
        <w:rPr>
          <w:sz w:val="24"/>
          <w:szCs w:val="24"/>
        </w:rPr>
      </w:pPr>
      <w:bookmarkStart w:id="302" w:name="_Toc220256172"/>
      <w:bookmarkStart w:id="303" w:name="_Toc199775005"/>
      <w:r>
        <w:rPr>
          <w:rFonts w:hint="eastAsia"/>
          <w:sz w:val="24"/>
          <w:szCs w:val="24"/>
        </w:rPr>
        <w:t>1.采购需求简要描述</w:t>
      </w:r>
      <w:bookmarkEnd w:id="302"/>
      <w:bookmarkEnd w:id="30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eastAsia="zh-CN"/>
        </w:rPr>
        <w:t>榆林中心城区外运小区双提双改公共部位配套基础设施建设项目</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建安路东</w:t>
      </w:r>
      <w:r>
        <w:rPr>
          <w:rFonts w:hint="eastAsia"/>
          <w:szCs w:val="21"/>
          <w:u w:val="single"/>
          <w:lang w:val="en-US" w:eastAsia="zh-CN"/>
        </w:rPr>
        <w:t>35号</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90日历天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4" w:name="_Toc220256173"/>
      <w:bookmarkStart w:id="305" w:name="_Toc199775006"/>
      <w:r>
        <w:rPr>
          <w:rFonts w:hint="eastAsia"/>
          <w:sz w:val="24"/>
          <w:szCs w:val="24"/>
        </w:rPr>
        <w:t>2.技术规范</w:t>
      </w:r>
      <w:bookmarkEnd w:id="304"/>
      <w:bookmarkEnd w:id="305"/>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6" w:name="_Toc199775007"/>
      <w:bookmarkStart w:id="307" w:name="_Toc220256174"/>
      <w:r>
        <w:rPr>
          <w:rFonts w:hint="eastAsia"/>
          <w:sz w:val="24"/>
          <w:szCs w:val="24"/>
        </w:rPr>
        <w:t>3.技术要求</w:t>
      </w:r>
      <w:bookmarkEnd w:id="306"/>
      <w:bookmarkEnd w:id="307"/>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13178523"/>
      <w:bookmarkStart w:id="313" w:name="_Toc206428820"/>
      <w:r>
        <w:rPr>
          <w:rFonts w:hint="eastAsia" w:ascii="宋体" w:hAnsi="宋体" w:eastAsia="宋体" w:cs="宋体"/>
          <w:sz w:val="21"/>
          <w:szCs w:val="21"/>
        </w:rPr>
        <w:t>项目名称：榆林中心城区外运小区双提双改公共部位配套基础设施建设项目</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u w:val="none"/>
          <w:lang w:eastAsia="zh-CN"/>
        </w:rPr>
      </w:pPr>
      <w:r>
        <w:rPr>
          <w:rFonts w:hint="eastAsia" w:ascii="宋体" w:hAnsi="宋体" w:eastAsia="宋体" w:cs="宋体"/>
          <w:sz w:val="21"/>
          <w:szCs w:val="21"/>
        </w:rPr>
        <w:t>预算金额</w:t>
      </w:r>
      <w:r>
        <w:rPr>
          <w:rFonts w:hint="eastAsia" w:cs="宋体"/>
          <w:sz w:val="21"/>
          <w:szCs w:val="21"/>
          <w:lang w:val="en-US" w:eastAsia="zh-CN"/>
        </w:rPr>
        <w:t>2315035.13</w:t>
      </w:r>
      <w:r>
        <w:rPr>
          <w:rFonts w:hint="eastAsia" w:ascii="宋体" w:hAnsi="宋体" w:eastAsia="宋体" w:cs="宋体"/>
          <w:sz w:val="21"/>
          <w:szCs w:val="21"/>
          <w:u w:val="none"/>
        </w:rPr>
        <w:t>元</w:t>
      </w:r>
      <w:r>
        <w:rPr>
          <w:rFonts w:hint="eastAsia" w:asciiTheme="minorEastAsia" w:hAnsiTheme="minorEastAsia"/>
          <w:szCs w:val="21"/>
          <w:u w:val="none"/>
          <w:lang w:eastAsia="zh-CN"/>
        </w:rPr>
        <w:t>（暂列金</w:t>
      </w:r>
      <w:r>
        <w:rPr>
          <w:rFonts w:hint="eastAsia" w:asciiTheme="minorEastAsia" w:hAnsiTheme="minorEastAsia"/>
          <w:szCs w:val="21"/>
          <w:u w:val="none"/>
          <w:lang w:val="en-US" w:eastAsia="zh-CN"/>
        </w:rPr>
        <w:t>110239.96元</w:t>
      </w:r>
      <w:r>
        <w:rPr>
          <w:rFonts w:hint="eastAsia" w:asciiTheme="minorEastAsia" w:hAnsiTheme="minorEastAsia"/>
          <w:szCs w:val="21"/>
          <w:u w:val="none"/>
          <w:lang w:eastAsia="zh-CN"/>
        </w:rPr>
        <w:t>）</w:t>
      </w:r>
      <w:r>
        <w:rPr>
          <w:rFonts w:hint="eastAsia" w:ascii="宋体" w:hAnsi="宋体" w:eastAsia="宋体" w:cs="宋体"/>
          <w:sz w:val="21"/>
          <w:szCs w:val="21"/>
          <w:u w:val="none"/>
        </w:rPr>
        <w:t>，最高限价：</w:t>
      </w:r>
      <w:r>
        <w:rPr>
          <w:rFonts w:hint="eastAsia" w:cs="宋体"/>
          <w:sz w:val="21"/>
          <w:szCs w:val="21"/>
          <w:u w:val="none"/>
          <w:lang w:val="en-US" w:eastAsia="zh-CN"/>
        </w:rPr>
        <w:t>2315035.13</w:t>
      </w:r>
      <w:r>
        <w:rPr>
          <w:rFonts w:hint="eastAsia" w:ascii="宋体" w:hAnsi="宋体" w:eastAsia="宋体" w:cs="宋体"/>
          <w:sz w:val="21"/>
          <w:szCs w:val="21"/>
          <w:u w:val="none"/>
        </w:rPr>
        <w:t>元</w:t>
      </w:r>
      <w:r>
        <w:rPr>
          <w:rFonts w:hint="eastAsia" w:asciiTheme="minorEastAsia" w:hAnsiTheme="minorEastAsia"/>
          <w:szCs w:val="21"/>
          <w:u w:val="none"/>
          <w:lang w:eastAsia="zh-CN"/>
        </w:rPr>
        <w:t>（暂列金</w:t>
      </w:r>
      <w:r>
        <w:rPr>
          <w:rFonts w:hint="eastAsia" w:asciiTheme="minorEastAsia" w:hAnsiTheme="minorEastAsia"/>
          <w:szCs w:val="21"/>
          <w:u w:val="none"/>
          <w:lang w:val="en-US" w:eastAsia="zh-CN"/>
        </w:rPr>
        <w:t>110239.96元</w:t>
      </w:r>
      <w:r>
        <w:rPr>
          <w:rFonts w:hint="eastAsia" w:asciiTheme="minorEastAsia" w:hAnsiTheme="minorEastAsia"/>
          <w:szCs w:val="21"/>
          <w:u w:val="none"/>
          <w:lang w:eastAsia="zh-CN"/>
        </w:rPr>
        <w:t>）</w:t>
      </w:r>
      <w:r>
        <w:rPr>
          <w:rFonts w:hint="eastAsia" w:cs="宋体"/>
          <w:sz w:val="21"/>
          <w:szCs w:val="21"/>
          <w:u w:val="none"/>
          <w:lang w:eastAsia="zh-CN"/>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FF0000"/>
          <w:sz w:val="21"/>
          <w:szCs w:val="21"/>
        </w:rPr>
      </w:pPr>
      <w:r>
        <w:rPr>
          <w:rFonts w:hint="eastAsia" w:ascii="宋体" w:hAnsi="宋体" w:eastAsia="宋体" w:cs="宋体"/>
          <w:color w:val="auto"/>
          <w:sz w:val="21"/>
          <w:szCs w:val="21"/>
        </w:rPr>
        <w:t>1.1工程背景：</w:t>
      </w:r>
      <w:r>
        <w:rPr>
          <w:rFonts w:hint="eastAsia" w:cs="宋体"/>
          <w:color w:val="auto"/>
          <w:sz w:val="21"/>
          <w:szCs w:val="21"/>
          <w:lang w:eastAsia="zh-CN"/>
        </w:rPr>
        <w:t>外运小区楼体及配套基础设施年久失修，已经严重不满足现阶段社会经济发展对居住条件的要求，为响应上级政策，推动城市更新工作，进一步提升榆林市城市的整体形象。</w:t>
      </w:r>
    </w:p>
    <w:p>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eastAsia="zh-CN"/>
        </w:rPr>
        <w:t>榆阳区外运小区。</w:t>
      </w:r>
      <w:r>
        <w:rPr>
          <w:rFonts w:hint="eastAsia" w:ascii="宋体" w:hAnsi="宋体" w:eastAsia="宋体" w:cs="宋体"/>
          <w:sz w:val="21"/>
          <w:szCs w:val="21"/>
        </w:rPr>
        <w:t xml:space="preserve"> </w:t>
      </w:r>
      <w:r>
        <w:rPr>
          <w:rFonts w:hint="eastAsia" w:cs="宋体"/>
          <w:sz w:val="21"/>
          <w:szCs w:val="21"/>
          <w:lang w:val="en-US" w:eastAsia="zh-CN"/>
        </w:rPr>
        <w:t xml:space="preserve">    </w:t>
      </w:r>
      <w:r>
        <w:rPr>
          <w:rFonts w:hint="eastAsia" w:cs="宋体"/>
          <w:sz w:val="21"/>
          <w:szCs w:val="21"/>
          <w:lang w:eastAsia="zh-CN"/>
        </w:rPr>
        <w:t xml:space="preserve">   </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FF0000"/>
          <w:sz w:val="21"/>
          <w:szCs w:val="21"/>
        </w:rPr>
      </w:pPr>
      <w:r>
        <w:rPr>
          <w:rFonts w:hint="eastAsia" w:ascii="宋体" w:hAnsi="宋体" w:eastAsia="宋体" w:cs="宋体"/>
          <w:sz w:val="21"/>
          <w:szCs w:val="21"/>
        </w:rPr>
        <w:t>1.3建设内容：</w:t>
      </w:r>
      <w:r>
        <w:rPr>
          <w:rFonts w:hint="eastAsia" w:cs="宋体"/>
          <w:color w:val="auto"/>
          <w:sz w:val="21"/>
          <w:szCs w:val="21"/>
          <w:lang w:eastAsia="zh-CN"/>
        </w:rPr>
        <w:t>改造计划</w:t>
      </w:r>
      <w:r>
        <w:rPr>
          <w:rFonts w:hint="eastAsia" w:cs="宋体"/>
          <w:color w:val="auto"/>
          <w:sz w:val="21"/>
          <w:szCs w:val="21"/>
          <w:lang w:val="en-US" w:eastAsia="zh-CN"/>
        </w:rPr>
        <w:t>102户，改造内容：新做小区院内混凝土硬化，围墙修缮，更换室外给排水管网、室外供暖管网、更换室外电力电缆、新做“四网合一”工程等</w:t>
      </w:r>
      <w:r>
        <w:rPr>
          <w:rFonts w:hint="eastAsia" w:ascii="宋体" w:hAnsi="宋体" w:eastAsia="宋体" w:cs="宋体"/>
          <w:color w:val="auto"/>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90</w:t>
      </w:r>
      <w:r>
        <w:rPr>
          <w:rFonts w:hint="eastAsia" w:ascii="宋体" w:hAnsi="宋体" w:eastAsia="宋体" w:cs="宋体"/>
          <w:sz w:val="21"/>
          <w:szCs w:val="21"/>
        </w:rPr>
        <w:t>日历天。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开工后付款40%，竣工验收合格后付至80%，剩余部分60天内支付完成</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rPr>
          <w:rFonts w:hint="eastAsia"/>
        </w:rPr>
      </w:pPr>
      <w:bookmarkStart w:id="314"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widowControl/>
        <w:spacing w:before="50" w:line="360" w:lineRule="auto"/>
        <w:jc w:val="left"/>
        <w:rPr>
          <w:rFonts w:hint="eastAsia" w:ascii="CESI仿宋-GB2312" w:hAnsi="CESI仿宋-GB2312" w:eastAsia="CESI仿宋-GB2312" w:cs="CESI仿宋-GB2312"/>
          <w:sz w:val="28"/>
          <w:szCs w:val="28"/>
          <w:lang w:eastAsia="zh-CN"/>
        </w:rPr>
      </w:pPr>
      <w:r>
        <w:rPr>
          <w:rFonts w:hint="eastAsia" w:ascii="CESI仿宋-GB2312" w:hAnsi="CESI仿宋-GB2312" w:eastAsia="CESI仿宋-GB2312" w:cs="CESI仿宋-GB2312"/>
          <w:sz w:val="28"/>
          <w:szCs w:val="28"/>
          <w:lang w:eastAsia="zh-CN"/>
        </w:rPr>
        <w:t>暂列金</w:t>
      </w:r>
    </w:p>
    <w:tbl>
      <w:tblPr>
        <w:tblStyle w:val="46"/>
        <w:tblW w:w="90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24"/>
        <w:gridCol w:w="5721"/>
        <w:gridCol w:w="1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2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暂列金额</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预留金</w:t>
            </w:r>
          </w:p>
        </w:tc>
        <w:tc>
          <w:tcPr>
            <w:tcW w:w="57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r>
              <w:rPr>
                <w:rFonts w:hint="eastAsia" w:cs="Times New Roman" w:asciiTheme="minorEastAsia" w:hAnsiTheme="minorEastAsia"/>
                <w:szCs w:val="21"/>
                <w:lang w:val="en-US" w:eastAsia="zh-CN"/>
              </w:rPr>
              <w:t>110239.96元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wordWrap w:val="0"/>
              <w:jc w:val="right"/>
              <w:textAlignment w:val="center"/>
              <w:rPr>
                <w:rFonts w:hint="default" w:ascii="宋体" w:hAnsi="宋体" w:eastAsia="宋体" w:cs="宋体"/>
                <w:i w:val="0"/>
                <w:iCs w:val="0"/>
                <w:color w:val="000000"/>
                <w:kern w:val="0"/>
                <w:sz w:val="20"/>
                <w:szCs w:val="20"/>
                <w:u w:val="none"/>
                <w:lang w:val="en-US" w:eastAsia="zh-CN" w:bidi="ar"/>
              </w:rPr>
            </w:pPr>
          </w:p>
        </w:tc>
      </w:tr>
    </w:tbl>
    <w:p>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pPr>
        <w:pStyle w:val="3"/>
        <w:spacing w:before="50"/>
        <w:jc w:val="center"/>
        <w:rPr>
          <w:rFonts w:hint="eastAsia" w:ascii="黑体" w:hAnsi="华文中宋" w:eastAsia="黑体"/>
          <w:sz w:val="28"/>
          <w:szCs w:val="28"/>
        </w:rPr>
      </w:pPr>
      <w:bookmarkStart w:id="318" w:name="_Toc220256243"/>
      <w:bookmarkStart w:id="319" w:name="_Toc197789469"/>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52042548"/>
      <w:bookmarkStart w:id="324" w:name="_Toc14497482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asciiTheme="minorEastAsia" w:hAnsiTheme="minorEastAsia" w:eastAsiaTheme="minorEastAsia"/>
          <w:bCs/>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90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52042550"/>
      <w:bookmarkStart w:id="327"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0" w:name="_Toc220256245"/>
      <w:bookmarkStart w:id="331" w:name="_Toc197789497"/>
      <w:r>
        <w:rPr>
          <w:rFonts w:hint="eastAsia" w:ascii="黑体" w:hAnsi="华文中宋" w:eastAsia="黑体"/>
          <w:sz w:val="28"/>
          <w:szCs w:val="28"/>
        </w:rPr>
        <w:t>第三节 合同专用条款</w:t>
      </w:r>
      <w:bookmarkEnd w:id="330"/>
      <w:bookmarkEnd w:id="331"/>
    </w:p>
    <w:bookmarkEnd w:id="320"/>
    <w:p>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199775016"/>
      <w:bookmarkStart w:id="334" w:name="_Toc197789498"/>
      <w:bookmarkStart w:id="335" w:name="_Toc351203633"/>
      <w:r>
        <w:rPr>
          <w:rFonts w:ascii="黑体" w:hAnsi="黑体" w:eastAsia="黑体"/>
          <w:sz w:val="28"/>
          <w:szCs w:val="28"/>
        </w:rPr>
        <w:t>1.一般约定</w:t>
      </w:r>
      <w:bookmarkEnd w:id="332"/>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12677986"/>
      <w:bookmarkStart w:id="344" w:name="_Toc304295521"/>
      <w:bookmarkStart w:id="345" w:name="_Toc303539100"/>
      <w:bookmarkStart w:id="346" w:name="_Toc318581155"/>
      <w:bookmarkStart w:id="347" w:name="_Toc300934943"/>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8581171"/>
      <w:bookmarkStart w:id="377"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303539150"/>
      <w:bookmarkStart w:id="393" w:name="_Toc297120497"/>
      <w:bookmarkStart w:id="394" w:name="_Toc296503197"/>
      <w:bookmarkStart w:id="395" w:name="_Toc292559402"/>
      <w:bookmarkStart w:id="396" w:name="_Toc296944536"/>
      <w:bookmarkStart w:id="397" w:name="_Toc292559907"/>
      <w:bookmarkStart w:id="398" w:name="_Toc297048383"/>
      <w:bookmarkStart w:id="399" w:name="_Toc297123544"/>
      <w:bookmarkStart w:id="400" w:name="_Toc296347196"/>
      <w:bookmarkStart w:id="401" w:name="_Toc300934993"/>
      <w:bookmarkStart w:id="402" w:name="_Toc296891025"/>
      <w:bookmarkStart w:id="403" w:name="_Toc296346698"/>
      <w:bookmarkStart w:id="404" w:name="_Toc296891237"/>
      <w:bookmarkStart w:id="405" w:name="_Toc297216203"/>
      <w:bookmarkStart w:id="406" w:name="_Toc312678029"/>
      <w:bookmarkStart w:id="407" w:name="_Toc312677503"/>
      <w:bookmarkStart w:id="408" w:name="_Toc304295570"/>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303539151"/>
      <w:bookmarkStart w:id="410" w:name="_Toc297048389"/>
      <w:bookmarkStart w:id="411" w:name="_Toc292559408"/>
      <w:bookmarkStart w:id="412" w:name="_Toc297120503"/>
      <w:bookmarkStart w:id="413" w:name="_Toc300934994"/>
      <w:bookmarkStart w:id="414" w:name="_Toc297123545"/>
      <w:bookmarkStart w:id="415" w:name="_Toc296944542"/>
      <w:bookmarkStart w:id="416" w:name="_Toc296891031"/>
      <w:bookmarkStart w:id="417" w:name="_Toc296503203"/>
      <w:bookmarkStart w:id="418" w:name="_Toc296346704"/>
      <w:bookmarkStart w:id="419" w:name="_Toc296891243"/>
      <w:bookmarkStart w:id="420" w:name="_Toc297216204"/>
      <w:bookmarkStart w:id="421" w:name="_Toc296347202"/>
      <w:bookmarkStart w:id="422" w:name="_Toc292559913"/>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318581175"/>
      <w:bookmarkStart w:id="424" w:name="_Toc312678030"/>
      <w:bookmarkStart w:id="425" w:name="_Toc297048390"/>
      <w:bookmarkStart w:id="426" w:name="_Toc304295571"/>
      <w:bookmarkStart w:id="427" w:name="_Toc296891032"/>
      <w:bookmarkStart w:id="428" w:name="_Toc296891244"/>
      <w:bookmarkStart w:id="429" w:name="_Toc297216205"/>
      <w:bookmarkStart w:id="430" w:name="_Toc296347203"/>
      <w:bookmarkStart w:id="431" w:name="_Toc303539152"/>
      <w:bookmarkStart w:id="432" w:name="_Toc300934995"/>
      <w:bookmarkStart w:id="433" w:name="_Toc296944543"/>
      <w:bookmarkStart w:id="434" w:name="_Toc292559409"/>
      <w:bookmarkStart w:id="435" w:name="_Toc297123546"/>
      <w:bookmarkStart w:id="436" w:name="_Toc312677504"/>
      <w:bookmarkStart w:id="437" w:name="_Toc296346705"/>
      <w:bookmarkStart w:id="438" w:name="_Toc292559914"/>
      <w:bookmarkStart w:id="439" w:name="_Toc296503204"/>
      <w:bookmarkStart w:id="440" w:name="_Toc297120504"/>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296944538"/>
      <w:bookmarkStart w:id="443" w:name="_Toc292559404"/>
      <w:bookmarkStart w:id="444" w:name="_Toc304295574"/>
      <w:bookmarkStart w:id="445" w:name="_Toc312677507"/>
      <w:bookmarkStart w:id="446" w:name="_Toc297048385"/>
      <w:bookmarkStart w:id="447" w:name="_Toc296347198"/>
      <w:bookmarkStart w:id="448" w:name="_Toc297216207"/>
      <w:bookmarkStart w:id="449" w:name="_Toc296503199"/>
      <w:bookmarkStart w:id="450" w:name="_Toc312678033"/>
      <w:bookmarkStart w:id="451" w:name="_Toc296346700"/>
      <w:bookmarkStart w:id="452" w:name="_Toc292559909"/>
      <w:bookmarkStart w:id="453" w:name="_Toc297123548"/>
      <w:bookmarkStart w:id="454" w:name="_Toc303539154"/>
      <w:bookmarkStart w:id="455" w:name="_Toc296891239"/>
      <w:bookmarkStart w:id="456" w:name="_Toc297120499"/>
      <w:bookmarkStart w:id="457" w:name="_Toc296891027"/>
      <w:bookmarkStart w:id="458" w:name="_Toc300934997"/>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8581176"/>
      <w:bookmarkStart w:id="460" w:name="_Toc312677508"/>
      <w:bookmarkStart w:id="461"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2677509"/>
      <w:bookmarkStart w:id="463" w:name="_Toc318581177"/>
      <w:bookmarkStart w:id="464" w:name="_Toc312678035"/>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502"/>
      <w:bookmarkStart w:id="484" w:name="_Toc267251498"/>
      <w:bookmarkStart w:id="485" w:name="_Toc267251496"/>
      <w:bookmarkStart w:id="486" w:name="_Toc267251493"/>
      <w:bookmarkStart w:id="487" w:name="_Toc267251492"/>
      <w:bookmarkStart w:id="488" w:name="_Toc267251491"/>
      <w:bookmarkStart w:id="489" w:name="_Toc267251494"/>
      <w:bookmarkStart w:id="490" w:name="_Toc267251495"/>
      <w:bookmarkStart w:id="491" w:name="_Toc267251497"/>
      <w:bookmarkStart w:id="492" w:name="_Toc267251499"/>
      <w:bookmarkStart w:id="493" w:name="_Toc267251501"/>
      <w:bookmarkStart w:id="494" w:name="_Toc267251503"/>
      <w:bookmarkStart w:id="495" w:name="_Toc267251506"/>
      <w:bookmarkStart w:id="496" w:name="_Toc267251504"/>
      <w:bookmarkStart w:id="497" w:name="_Toc267251507"/>
      <w:bookmarkStart w:id="498" w:name="_Toc267251508"/>
      <w:bookmarkStart w:id="499" w:name="_Toc267251514"/>
      <w:bookmarkStart w:id="500" w:name="_Toc267251515"/>
      <w:bookmarkStart w:id="501" w:name="_Toc267251513"/>
      <w:bookmarkStart w:id="502" w:name="_Toc267251511"/>
      <w:bookmarkStart w:id="503" w:name="_Toc267251509"/>
      <w:bookmarkStart w:id="504" w:name="_Toc267251510"/>
      <w:r>
        <w:rPr>
          <w:rFonts w:ascii="黑体" w:hAnsi="黑体" w:eastAsia="黑体"/>
          <w:sz w:val="28"/>
          <w:szCs w:val="28"/>
        </w:rPr>
        <w:t>15. 缺陷责任期与保修</w:t>
      </w:r>
      <w:bookmarkEnd w:id="482"/>
    </w:p>
    <w:p>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pPr>
        <w:adjustRightInd w:val="0"/>
        <w:snapToGrid w:val="0"/>
        <w:spacing w:before="156" w:beforeLines="50" w:line="360" w:lineRule="auto"/>
      </w:pPr>
      <w:r>
        <w:rPr>
          <w:rFonts w:ascii="宋体" w:hAnsi="宋体"/>
          <w:szCs w:val="21"/>
        </w:rPr>
        <w:br w:type="page"/>
      </w:r>
    </w:p>
    <w:bookmarkEnd w:id="333"/>
    <w:bookmarkEnd w:id="334"/>
    <w:bookmarkEnd w:id="335"/>
    <w:p>
      <w:pPr>
        <w:pStyle w:val="4"/>
        <w:rPr>
          <w:sz w:val="21"/>
          <w:szCs w:val="21"/>
        </w:rPr>
      </w:pPr>
      <w:bookmarkStart w:id="521" w:name="_Toc220256330"/>
      <w:bookmarkStart w:id="522" w:name="_Toc199775035"/>
      <w:r>
        <w:rPr>
          <w:rFonts w:hint="eastAsia"/>
          <w:sz w:val="21"/>
          <w:szCs w:val="21"/>
        </w:rPr>
        <w:t>附件4-1 工程质量保修书</w:t>
      </w:r>
      <w:bookmarkEnd w:id="521"/>
      <w:bookmarkEnd w:id="522"/>
    </w:p>
    <w:p>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7453333"/>
      <w:bookmarkStart w:id="527"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8" w:name="_Toc197615246"/>
      <w:bookmarkStart w:id="529" w:name="_Toc220256332"/>
      <w:r>
        <w:rPr>
          <w:rFonts w:hint="eastAsia" w:ascii="黑体" w:hAnsi="黑体" w:eastAsia="黑体"/>
          <w:sz w:val="44"/>
          <w:szCs w:val="44"/>
        </w:rPr>
        <w:t>第一部分 资格证明文件</w:t>
      </w:r>
      <w:bookmarkEnd w:id="528"/>
      <w:bookmarkEnd w:id="529"/>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4" w:name="_Hlk201649762"/>
      <w:bookmarkStart w:id="535" w:name="_Hlk199670637"/>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bookmarkStart w:id="540" w:name="_Toc199595257"/>
    </w:p>
    <w:p>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5" w:name="_Toc220256336"/>
      <w:bookmarkStart w:id="546" w:name="_Toc199595258"/>
      <w:r>
        <w:rPr>
          <w:rFonts w:hint="eastAsia" w:ascii="黑体" w:hAnsi="黑体"/>
          <w:sz w:val="21"/>
          <w:szCs w:val="21"/>
        </w:rPr>
        <w:t>附件2-2授权委托书（如有）</w:t>
      </w:r>
      <w:bookmarkEnd w:id="545"/>
      <w:bookmarkEnd w:id="546"/>
    </w:p>
    <w:p>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9"/>
    <w:p>
      <w:pPr>
        <w:pStyle w:val="4"/>
        <w:jc w:val="center"/>
        <w:rPr>
          <w:rFonts w:hint="eastAsia" w:ascii="黑体" w:hAnsi="黑体" w:eastAsia="黑体"/>
        </w:rPr>
      </w:pPr>
      <w:r>
        <w:rPr>
          <w:rFonts w:ascii="宋体"/>
          <w:color w:val="000000"/>
        </w:rPr>
        <w:br w:type="page"/>
      </w:r>
      <w:bookmarkStart w:id="553" w:name="_Toc197615253"/>
      <w:bookmarkStart w:id="554" w:name="_Toc220256337"/>
      <w:bookmarkStart w:id="555" w:name="OLE_LINK6"/>
      <w:r>
        <w:rPr>
          <w:rFonts w:hint="eastAsia" w:ascii="黑体" w:hAnsi="黑体" w:eastAsia="黑体"/>
        </w:rPr>
        <w:t>三、联合协议（联合体适用）</w:t>
      </w:r>
      <w:bookmarkEnd w:id="553"/>
      <w:bookmarkEnd w:id="554"/>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247514249"/>
      <w:bookmarkStart w:id="558" w:name="_Toc361508755"/>
      <w:bookmarkStart w:id="559" w:name="_Toc152042579"/>
      <w:bookmarkStart w:id="560" w:name="_Toc247527830"/>
      <w:bookmarkStart w:id="561" w:name="_Toc144974859"/>
      <w:bookmarkStart w:id="562" w:name="_Toc300835212"/>
      <w:bookmarkStart w:id="563" w:name="_Toc384308378"/>
      <w:bookmarkStart w:id="564" w:name="_Toc152045790"/>
      <w:r>
        <w:rPr>
          <w:rFonts w:hint="eastAsia" w:asciiTheme="minorEastAsia" w:hAnsiTheme="minorEastAsia" w:eastAsiaTheme="minorEastAsia"/>
        </w:rPr>
        <w:t>关的</w:t>
      </w:r>
      <w:bookmarkStart w:id="565" w:name="_Toc369531700"/>
      <w:bookmarkStart w:id="566" w:name="_Toc352691664"/>
      <w:bookmarkStart w:id="567" w:name="_Toc7749"/>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27930"/>
      <w:bookmarkStart w:id="569" w:name="_Toc144974860"/>
      <w:bookmarkStart w:id="570" w:name="_Toc369531701"/>
      <w:bookmarkStart w:id="571" w:name="_Toc300835213"/>
      <w:bookmarkStart w:id="572" w:name="_Toc152042580"/>
      <w:bookmarkStart w:id="573" w:name="_Toc384308380"/>
      <w:bookmarkStart w:id="574" w:name="_Toc152045791"/>
      <w:bookmarkStart w:id="575" w:name="_Toc352691665"/>
      <w:bookmarkStart w:id="576" w:name="_Toc247527831"/>
      <w:bookmarkStart w:id="577" w:name="_Toc247514283"/>
      <w:bookmarkStart w:id="578" w:name="_Toc361508756"/>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5" w:name="_Toc197615254"/>
      <w:r>
        <w:br w:type="page"/>
      </w:r>
    </w:p>
    <w:p>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7"/>
    <w:p>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pPr>
        <w:adjustRightInd w:val="0"/>
        <w:snapToGrid w:val="0"/>
        <w:spacing w:line="360" w:lineRule="auto"/>
        <w:ind w:right="420" w:firstLine="630" w:firstLineChars="300"/>
        <w:rPr>
          <w:rFonts w:hint="eastAsia" w:ascii="宋体" w:hAnsi="宋体"/>
          <w:szCs w:val="21"/>
        </w:rPr>
      </w:pPr>
    </w:p>
    <w:bookmarkEnd w:id="589"/>
    <w:p>
      <w:pPr>
        <w:pStyle w:val="4"/>
        <w:jc w:val="center"/>
        <w:rPr>
          <w:rFonts w:hint="eastAsia" w:ascii="黑体" w:hAnsi="黑体" w:eastAsia="黑体"/>
        </w:rPr>
      </w:pPr>
      <w:bookmarkStart w:id="595" w:name="_Toc220256339"/>
      <w:bookmarkStart w:id="596" w:name="_Toc197615255"/>
      <w:r>
        <w:rPr>
          <w:rFonts w:hint="eastAsia" w:ascii="黑体" w:hAnsi="黑体" w:eastAsia="黑体"/>
        </w:rPr>
        <w:t>五、中小企业的证明资料</w:t>
      </w:r>
      <w:bookmarkEnd w:id="595"/>
      <w:bookmarkEnd w:id="596"/>
    </w:p>
    <w:p>
      <w:pPr>
        <w:pStyle w:val="5"/>
        <w:rPr>
          <w:rFonts w:hint="eastAsia" w:ascii="黑体" w:hAnsi="黑体"/>
          <w:sz w:val="21"/>
          <w:szCs w:val="21"/>
        </w:rPr>
      </w:pPr>
      <w:bookmarkStart w:id="597" w:name="_Toc197615256"/>
      <w:bookmarkStart w:id="598" w:name="_Toc220256340"/>
      <w:r>
        <w:rPr>
          <w:rFonts w:hint="eastAsia" w:ascii="黑体" w:hAnsi="黑体"/>
          <w:sz w:val="21"/>
          <w:szCs w:val="21"/>
        </w:rPr>
        <w:t>附件5-1 《中小企业声明函》(服务、工程)</w:t>
      </w:r>
      <w:bookmarkEnd w:id="597"/>
      <w:bookmarkEnd w:id="598"/>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pPr>
        <w:pStyle w:val="5"/>
        <w:rPr>
          <w:rFonts w:hint="eastAsia" w:ascii="黑体" w:hAnsi="黑体"/>
          <w:sz w:val="21"/>
          <w:szCs w:val="21"/>
        </w:rPr>
      </w:pPr>
      <w:bookmarkStart w:id="606" w:name="_Toc197615257"/>
      <w:bookmarkStart w:id="607" w:name="_Toc220256341"/>
      <w:r>
        <w:rPr>
          <w:rFonts w:hint="eastAsia" w:ascii="黑体" w:hAnsi="黑体"/>
          <w:sz w:val="21"/>
          <w:szCs w:val="21"/>
        </w:rPr>
        <w:t>附件5-2 残疾人福利性单位声明函</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8" w:name="_Toc220256342"/>
      <w:bookmarkStart w:id="609" w:name="_Toc197615258"/>
      <w:r>
        <w:rPr>
          <w:rFonts w:hint="eastAsia" w:ascii="黑体" w:hAnsi="黑体"/>
          <w:sz w:val="21"/>
          <w:szCs w:val="21"/>
        </w:rPr>
        <w:t>附件5-3 监狱企业证明资料</w:t>
      </w:r>
      <w:bookmarkEnd w:id="608"/>
      <w:bookmarkEnd w:id="609"/>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0" w:name="_Toc196514491"/>
      <w:bookmarkStart w:id="611" w:name="_Toc220256343"/>
      <w:bookmarkStart w:id="612" w:name="_Toc197615259"/>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pPr>
        <w:pStyle w:val="5"/>
        <w:rPr>
          <w:rFonts w:hint="eastAsia" w:ascii="黑体" w:hAnsi="黑体"/>
          <w:sz w:val="21"/>
          <w:szCs w:val="21"/>
        </w:rPr>
      </w:pPr>
      <w:bookmarkStart w:id="614" w:name="_Toc220256344"/>
      <w:bookmarkStart w:id="615" w:name="_Toc196514492"/>
      <w:bookmarkStart w:id="616" w:name="_Toc216947954"/>
      <w:bookmarkStart w:id="617" w:name="_Toc216898430"/>
      <w:bookmarkStart w:id="618" w:name="_Toc205723535"/>
      <w:bookmarkStart w:id="619" w:name="_Hlk201585789"/>
      <w:bookmarkStart w:id="620" w:name="_Hlk200090589"/>
      <w:bookmarkStart w:id="621" w:name="_Hlk206235128"/>
      <w:bookmarkStart w:id="622" w:name="OLE_LINK7"/>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pPr>
        <w:topLinePunct/>
        <w:spacing w:before="156" w:beforeLines="50" w:line="360" w:lineRule="auto"/>
        <w:jc w:val="center"/>
        <w:rPr>
          <w:rFonts w:hint="eastAsia" w:ascii="黑体" w:hAnsi="黑体" w:eastAsia="黑体"/>
          <w:sz w:val="28"/>
          <w:szCs w:val="28"/>
        </w:rPr>
      </w:pPr>
      <w:bookmarkStart w:id="623" w:name="_Hlk196544657"/>
      <w:bookmarkStart w:id="624" w:name="_Hlk199999518"/>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8" w:name="_Toc220256345"/>
      <w:bookmarkStart w:id="629" w:name="_Toc216898431"/>
      <w:bookmarkStart w:id="630" w:name="_Toc216947955"/>
      <w:r>
        <w:rPr>
          <w:rFonts w:hint="eastAsia" w:ascii="黑体" w:hAnsi="黑体"/>
          <w:sz w:val="21"/>
          <w:szCs w:val="21"/>
        </w:rPr>
        <w:t>附件6-2 供应商资格声明</w:t>
      </w:r>
      <w:bookmarkEnd w:id="628"/>
      <w:bookmarkEnd w:id="629"/>
      <w:bookmarkEnd w:id="630"/>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pPr>
        <w:adjustRightInd w:val="0"/>
        <w:snapToGrid w:val="0"/>
        <w:spacing w:line="360" w:lineRule="auto"/>
        <w:rPr>
          <w:rFonts w:hint="eastAsia" w:ascii="宋体" w:hAnsi="宋体"/>
          <w:szCs w:val="21"/>
        </w:rPr>
      </w:pPr>
      <w:bookmarkStart w:id="635"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pPr>
        <w:widowControl/>
        <w:jc w:val="left"/>
        <w:rPr>
          <w:rFonts w:hint="eastAsia" w:ascii="黑体" w:hAnsi="黑体" w:eastAsia="黑体"/>
          <w:b/>
          <w:bCs/>
          <w:szCs w:val="21"/>
        </w:rPr>
      </w:pPr>
      <w:bookmarkStart w:id="636" w:name="_Toc196514493"/>
      <w:r>
        <w:rPr>
          <w:rFonts w:hint="eastAsia" w:ascii="黑体" w:hAnsi="黑体"/>
          <w:szCs w:val="21"/>
        </w:rPr>
        <w:br w:type="page"/>
      </w:r>
    </w:p>
    <w:p>
      <w:pPr>
        <w:pStyle w:val="5"/>
        <w:rPr>
          <w:rFonts w:hint="eastAsia" w:ascii="黑体" w:hAnsi="黑体"/>
          <w:sz w:val="21"/>
          <w:szCs w:val="21"/>
        </w:rPr>
      </w:pPr>
      <w:bookmarkStart w:id="637" w:name="_Toc220256346"/>
      <w:bookmarkStart w:id="638" w:name="_Toc212910366"/>
      <w:bookmarkStart w:id="639" w:name="_Toc216947956"/>
      <w:bookmarkStart w:id="640" w:name="_Toc216898432"/>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6" w:name="_Toc220256347"/>
      <w:bookmarkStart w:id="647" w:name="_Toc212910367"/>
      <w:bookmarkStart w:id="648" w:name="_Toc196514494"/>
      <w:bookmarkStart w:id="649" w:name="_Toc216947957"/>
      <w:bookmarkStart w:id="650" w:name="_Toc216898433"/>
      <w:r>
        <w:rPr>
          <w:rFonts w:hint="eastAsia" w:ascii="黑体" w:hAnsi="黑体"/>
          <w:sz w:val="21"/>
          <w:szCs w:val="21"/>
        </w:rPr>
        <w:t>附件6-4 特定资格条件证明材料或者情况说明</w:t>
      </w:r>
      <w:bookmarkEnd w:id="646"/>
      <w:bookmarkEnd w:id="647"/>
      <w:bookmarkEnd w:id="648"/>
      <w:bookmarkEnd w:id="649"/>
      <w:bookmarkEnd w:id="650"/>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3" w:name="_Toc212910368"/>
      <w:bookmarkStart w:id="654" w:name="_Toc216898434"/>
      <w:bookmarkStart w:id="655" w:name="_Toc220256348"/>
      <w:bookmarkStart w:id="656" w:name="_Toc216947958"/>
      <w:r>
        <w:rPr>
          <w:rFonts w:hint="eastAsia" w:ascii="黑体" w:hAnsi="黑体"/>
          <w:sz w:val="21"/>
          <w:szCs w:val="21"/>
        </w:rPr>
        <w:t>附件6-5 资格条件更新资料</w:t>
      </w:r>
      <w:bookmarkEnd w:id="653"/>
      <w:bookmarkEnd w:id="654"/>
      <w:bookmarkEnd w:id="655"/>
      <w:bookmarkEnd w:id="656"/>
    </w:p>
    <w:p>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8" w:name="_Toc217759875"/>
      <w:r>
        <w:rPr>
          <w:rFonts w:hint="eastAsia" w:ascii="黑体" w:hAnsi="黑体"/>
          <w:szCs w:val="21"/>
        </w:rPr>
        <w:br w:type="page"/>
      </w:r>
    </w:p>
    <w:p>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2" w:name="_Toc217759876"/>
      <w:bookmarkStart w:id="663" w:name="_Toc217757506"/>
      <w:bookmarkStart w:id="664" w:name="_Toc220256350"/>
      <w:r>
        <w:rPr>
          <w:rFonts w:hint="eastAsia" w:ascii="黑体" w:hAnsi="黑体"/>
          <w:sz w:val="21"/>
          <w:szCs w:val="21"/>
        </w:rPr>
        <w:t>附件6-7 供应商信用承诺书（格式）</w:t>
      </w:r>
      <w:bookmarkEnd w:id="662"/>
      <w:bookmarkEnd w:id="663"/>
      <w:bookmarkEnd w:id="664"/>
    </w:p>
    <w:p>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9" w:name="_Toc220256351"/>
      <w:bookmarkStart w:id="670" w:name="_Toc217759877"/>
      <w:bookmarkStart w:id="671" w:name="_Toc217757507"/>
      <w:r>
        <w:rPr>
          <w:rFonts w:hint="eastAsia" w:ascii="黑体" w:hAnsi="黑体"/>
          <w:sz w:val="21"/>
          <w:szCs w:val="21"/>
        </w:rPr>
        <w:t>附件6-8 供应商委托代理人员信用承诺书（格式）</w:t>
      </w:r>
      <w:bookmarkEnd w:id="669"/>
      <w:bookmarkEnd w:id="670"/>
      <w:bookmarkEnd w:id="671"/>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3" w:name="_Toc220256352"/>
      <w:bookmarkStart w:id="674" w:name="_Toc217757508"/>
      <w:bookmarkStart w:id="675" w:name="_Toc217759878"/>
      <w:r>
        <w:rPr>
          <w:rFonts w:hint="eastAsia" w:ascii="黑体" w:hAnsi="黑体"/>
          <w:sz w:val="21"/>
          <w:szCs w:val="21"/>
        </w:rPr>
        <w:t>附件6-9 投标（响应）信用承诺书（格式）</w:t>
      </w:r>
      <w:bookmarkEnd w:id="673"/>
      <w:bookmarkEnd w:id="674"/>
      <w:bookmarkEnd w:id="675"/>
    </w:p>
    <w:p>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9" w:name="_Toc216898435"/>
      <w:bookmarkStart w:id="680" w:name="_Toc220256353"/>
      <w:r>
        <w:rPr>
          <w:rFonts w:hint="eastAsia" w:ascii="黑体" w:hAnsi="黑体" w:eastAsia="黑体"/>
          <w:sz w:val="44"/>
          <w:szCs w:val="44"/>
        </w:rPr>
        <w:t>第二部分 技术商务响应文件</w:t>
      </w:r>
      <w:bookmarkEnd w:id="679"/>
      <w:bookmarkEnd w:id="680"/>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b/>
          <w:sz w:val="36"/>
          <w:szCs w:val="36"/>
        </w:rPr>
      </w:pPr>
    </w:p>
    <w:p>
      <w:pPr>
        <w:adjustRightInd w:val="0"/>
        <w:snapToGrid w:val="0"/>
        <w:spacing w:line="360" w:lineRule="auto"/>
        <w:jc w:val="center"/>
        <w:rPr>
          <w:rFonts w:hint="eastAsia" w:ascii="黑体" w:hAnsi="黑体" w:eastAsia="黑体"/>
          <w:b/>
          <w:sz w:val="36"/>
          <w:szCs w:val="36"/>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5" w:name="_Toc217928661"/>
      <w:bookmarkStart w:id="686" w:name="_Toc206404753"/>
      <w:bookmarkStart w:id="687" w:name="_Hlk201931204"/>
      <w:r>
        <w:rPr>
          <w:rFonts w:hint="eastAsia" w:ascii="黑体" w:hAnsi="黑体"/>
          <w:szCs w:val="21"/>
        </w:rPr>
        <w:br w:type="page"/>
      </w:r>
    </w:p>
    <w:p>
      <w:pPr>
        <w:pStyle w:val="5"/>
        <w:rPr>
          <w:rFonts w:hint="eastAsia" w:ascii="黑体" w:hAnsi="黑体"/>
          <w:sz w:val="24"/>
          <w:szCs w:val="24"/>
        </w:rPr>
      </w:pPr>
      <w:bookmarkStart w:id="688" w:name="_Toc217983487"/>
      <w:bookmarkStart w:id="689" w:name="_Toc220256355"/>
      <w:r>
        <w:rPr>
          <w:rFonts w:hint="eastAsia" w:ascii="黑体" w:hAnsi="黑体"/>
          <w:sz w:val="24"/>
          <w:szCs w:val="24"/>
        </w:rPr>
        <w:t>附件7-1项目部关键岗位人员一览表</w:t>
      </w:r>
      <w:bookmarkEnd w:id="688"/>
      <w:bookmarkEnd w:id="689"/>
    </w:p>
    <w:p>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1" w:name="_Toc220256356"/>
      <w:bookmarkStart w:id="692" w:name="_Toc217983488"/>
      <w:r>
        <w:rPr>
          <w:rFonts w:hint="eastAsia" w:ascii="黑体" w:hAnsi="黑体"/>
          <w:sz w:val="24"/>
          <w:szCs w:val="24"/>
        </w:rPr>
        <w:t>附件7-2项目部关键岗位人员简历表</w:t>
      </w:r>
      <w:bookmarkEnd w:id="691"/>
      <w:bookmarkEnd w:id="692"/>
    </w:p>
    <w:p>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17983489"/>
      <w:bookmarkStart w:id="695" w:name="_Toc217928664"/>
      <w:bookmarkStart w:id="696" w:name="_Toc220256357"/>
      <w:bookmarkStart w:id="697" w:name="_Toc206404756"/>
      <w:r>
        <w:rPr>
          <w:rFonts w:hint="eastAsia" w:ascii="黑体" w:hAnsi="黑体"/>
          <w:sz w:val="21"/>
          <w:szCs w:val="21"/>
        </w:rPr>
        <w:t>附件7-3 近年同类项目情况表</w:t>
      </w:r>
      <w:bookmarkEnd w:id="694"/>
      <w:bookmarkEnd w:id="695"/>
      <w:bookmarkEnd w:id="696"/>
      <w:bookmarkEnd w:id="697"/>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4"/>
    <w:p>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pPr>
        <w:pStyle w:val="5"/>
        <w:rPr>
          <w:rFonts w:hint="eastAsia" w:ascii="黑体" w:hAnsi="黑体" w:cs="黑体"/>
          <w:sz w:val="21"/>
          <w:szCs w:val="21"/>
        </w:rPr>
      </w:pPr>
      <w:bookmarkStart w:id="702" w:name="_Toc220256359"/>
      <w:bookmarkStart w:id="703" w:name="_Toc19918"/>
      <w:bookmarkStart w:id="704" w:name="_Toc219983312"/>
      <w:bookmarkStart w:id="705" w:name="_Toc219973883"/>
      <w:bookmarkStart w:id="706" w:name="_Toc219987622"/>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pPr>
        <w:pStyle w:val="5"/>
        <w:rPr>
          <w:rFonts w:hint="eastAsia" w:ascii="黑体" w:hAnsi="黑体" w:cs="黑体"/>
          <w:b w:val="0"/>
          <w:bCs w:val="0"/>
          <w:sz w:val="21"/>
          <w:szCs w:val="21"/>
        </w:rPr>
      </w:pPr>
      <w:bookmarkStart w:id="709" w:name="_Toc219973884"/>
      <w:bookmarkStart w:id="710" w:name="_Toc15561"/>
      <w:bookmarkStart w:id="711" w:name="_Toc219987623"/>
      <w:bookmarkStart w:id="712" w:name="_Toc219983313"/>
      <w:bookmarkStart w:id="713" w:name="_Toc220256360"/>
      <w:r>
        <w:rPr>
          <w:rFonts w:hint="eastAsia" w:ascii="黑体" w:hAnsi="黑体" w:cs="黑体"/>
          <w:b w:val="0"/>
          <w:bCs w:val="0"/>
          <w:sz w:val="21"/>
          <w:szCs w:val="21"/>
        </w:rPr>
        <w:t>附件8-2 商务要求偏离表</w:t>
      </w:r>
      <w:bookmarkEnd w:id="709"/>
      <w:bookmarkEnd w:id="710"/>
      <w:bookmarkEnd w:id="711"/>
      <w:bookmarkEnd w:id="712"/>
      <w:bookmarkEnd w:id="713"/>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356382"/>
      <w:bookmarkStart w:id="716" w:name="_Hlk58415339"/>
      <w:bookmarkStart w:id="717" w:name="_Hlk201221624"/>
    </w:p>
    <w:bookmarkEnd w:id="715"/>
    <w:bookmarkEnd w:id="716"/>
    <w:bookmarkEnd w:id="717"/>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8" w:name="_Toc220256361"/>
      <w:bookmarkStart w:id="719" w:name="_Toc197615272"/>
      <w:r>
        <w:rPr>
          <w:rFonts w:hint="eastAsia" w:ascii="黑体" w:hAnsi="黑体" w:eastAsia="黑体"/>
          <w:sz w:val="44"/>
          <w:szCs w:val="44"/>
        </w:rPr>
        <w:t>第三部分 报价文件</w:t>
      </w:r>
      <w:bookmarkEnd w:id="718"/>
      <w:bookmarkEnd w:id="719"/>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4" w:name="_Hlk215764535"/>
      <w:bookmarkStart w:id="725" w:name="_Toc220256364"/>
      <w:bookmarkStart w:id="726" w:name="_Toc216983538"/>
      <w:bookmarkStart w:id="727" w:name="_Toc216898445"/>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9" w:name="_Toc216898447"/>
      <w:bookmarkStart w:id="730" w:name="_Toc220256365"/>
      <w:r>
        <w:rPr>
          <w:rFonts w:hint="eastAsia" w:ascii="黑体" w:hAnsi="黑体" w:eastAsia="黑体"/>
        </w:rPr>
        <w:t>十二、其他资料</w:t>
      </w:r>
      <w:bookmarkEnd w:id="729"/>
      <w:bookmarkEnd w:id="730"/>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603F01FF" w:csb1="FFFF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ESI仿宋-GB2312">
    <w:panose1 w:val="02000500000000000000"/>
    <w:charset w:val="86"/>
    <w:family w:val="auto"/>
    <w:pitch w:val="default"/>
    <w:sig w:usb0="800002AF" w:usb1="084F6CF8" w:usb2="00000010" w:usb3="00000000" w:csb0="0004000F"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D2933F0"/>
    <w:rsid w:val="5DE38D77"/>
    <w:rsid w:val="5E7F4387"/>
    <w:rsid w:val="604B5FC0"/>
    <w:rsid w:val="625366DC"/>
    <w:rsid w:val="649F01D1"/>
    <w:rsid w:val="65971DFF"/>
    <w:rsid w:val="697F1838"/>
    <w:rsid w:val="69DA274F"/>
    <w:rsid w:val="6B29228B"/>
    <w:rsid w:val="6DCC43B7"/>
    <w:rsid w:val="6E52293A"/>
    <w:rsid w:val="6E8973E6"/>
    <w:rsid w:val="71A462ED"/>
    <w:rsid w:val="733712EA"/>
    <w:rsid w:val="74136E43"/>
    <w:rsid w:val="741C6D50"/>
    <w:rsid w:val="7490061D"/>
    <w:rsid w:val="74C976B2"/>
    <w:rsid w:val="750A005E"/>
    <w:rsid w:val="75FD537A"/>
    <w:rsid w:val="770037CB"/>
    <w:rsid w:val="773F3CC4"/>
    <w:rsid w:val="77DD0608"/>
    <w:rsid w:val="79DB3589"/>
    <w:rsid w:val="7BDA022F"/>
    <w:rsid w:val="7D4E04C3"/>
    <w:rsid w:val="7EDD70FA"/>
    <w:rsid w:val="7F73512F"/>
    <w:rsid w:val="7F7D2225"/>
    <w:rsid w:val="A35FC81D"/>
    <w:rsid w:val="ADF1C1EB"/>
    <w:rsid w:val="B6CF77F8"/>
    <w:rsid w:val="CDBF9383"/>
    <w:rsid w:val="DF4D5974"/>
    <w:rsid w:val="DF7DE546"/>
    <w:rsid w:val="EFBE8CBB"/>
    <w:rsid w:val="F96D0D76"/>
    <w:rsid w:val="FDEE0FAD"/>
    <w:rsid w:val="FF4FF035"/>
    <w:rsid w:val="FFBB9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41666</Words>
  <Characters>44817</Characters>
  <Lines>291</Lines>
  <Paragraphs>189</Paragraphs>
  <TotalTime>30</TotalTime>
  <ScaleCrop>false</ScaleCrop>
  <LinksUpToDate>false</LinksUpToDate>
  <CharactersWithSpaces>52767</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2025-05-17T04:09:00Z</dcterms:created>
  <dc:creator>微软用户</dc:creator>
  <cp:lastModifiedBy>THTF</cp:lastModifiedBy>
  <cp:lastPrinted>2026-07-01T03:11:00Z</cp:lastPrinted>
  <dcterms:modified xsi:type="dcterms:W3CDTF">2026-08-28T11:15:51Z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