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版本号：SXTW-2026-061520260704001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2026年短期展览项目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SXTW-2026-0615</w:t>
      </w:r>
      <w:r>
        <w:br/>
      </w:r>
      <w:r>
        <w:br/>
      </w:r>
      <w:r>
        <w:br/>
      </w:r>
    </w:p>
    <w:p>
      <w:pPr>
        <w:pStyle w:val="null3"/>
        <w:jc w:val="center"/>
        <w:outlineLvl w:val="2"/>
      </w:pPr>
      <w:r>
        <w:rPr>
          <w:rFonts w:ascii="仿宋_GB2312" w:hAnsi="仿宋_GB2312" w:cs="仿宋_GB2312" w:eastAsia="仿宋_GB2312"/>
          <w:sz w:val="28"/>
          <w:b/>
        </w:rPr>
        <w:t>渭南市科技馆</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渭南市科技馆</w:t>
      </w:r>
      <w:r>
        <w:rPr>
          <w:rFonts w:ascii="仿宋_GB2312" w:hAnsi="仿宋_GB2312" w:cs="仿宋_GB2312" w:eastAsia="仿宋_GB2312"/>
        </w:rPr>
        <w:t>委托，拟对</w:t>
      </w:r>
      <w:r>
        <w:rPr>
          <w:rFonts w:ascii="仿宋_GB2312" w:hAnsi="仿宋_GB2312" w:cs="仿宋_GB2312" w:eastAsia="仿宋_GB2312"/>
        </w:rPr>
        <w:t>2026年短期展览项目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SXTW-2026-0615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2026年短期展览项目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按照高品质前沿科技主题短期展览完成整体布展工作，丰富场馆科普展陈内容，打造科普特色亮点，提升场馆公共科普服务能力，助力全民科学素质提升。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采购包1（渭南市科技馆2026年短期展览项目包1）：属于专门面向中小企业采购。</w:t>
      </w:r>
    </w:p>
    <w:p>
      <w:pPr>
        <w:pStyle w:val="null3"/>
      </w:pPr>
      <w:r>
        <w:rPr>
          <w:rFonts w:ascii="仿宋_GB2312" w:hAnsi="仿宋_GB2312" w:cs="仿宋_GB2312" w:eastAsia="仿宋_GB2312"/>
        </w:rPr>
        <w:t>采购包2（渭南市科技馆2026年短期展览项目包2）：属于专门面向中小企业采购。</w:t>
      </w:r>
    </w:p>
    <w:p>
      <w:pPr>
        <w:pStyle w:val="null3"/>
      </w:pPr>
      <w:r>
        <w:rPr>
          <w:rFonts w:ascii="仿宋_GB2312" w:hAnsi="仿宋_GB2312" w:cs="仿宋_GB2312" w:eastAsia="仿宋_GB2312"/>
        </w:rPr>
        <w:t>采购包3（渭南市科技馆2026年短期展览项目包3）：属于专门面向中小企业采购。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5、具有履行合同的声明：提供具有履行本合同所必需的设备和专业技术能力的声明；</w:t>
      </w:r>
    </w:p>
    <w:p>
      <w:pPr>
        <w:pStyle w:val="null3"/>
      </w:pPr>
      <w:r>
        <w:rPr>
          <w:rFonts w:ascii="仿宋_GB2312" w:hAnsi="仿宋_GB2312" w:cs="仿宋_GB2312" w:eastAsia="仿宋_GB2312"/>
        </w:rPr>
        <w:t>6、无重大违法记录书面声明：参加政府采购活动前三年内在经营活动中无重大违法记录的书面声明；</w:t>
      </w:r>
    </w:p>
    <w:p>
      <w:pPr>
        <w:pStyle w:val="null3"/>
      </w:pPr>
      <w:r>
        <w:rPr>
          <w:rFonts w:ascii="仿宋_GB2312" w:hAnsi="仿宋_GB2312" w:cs="仿宋_GB2312" w:eastAsia="仿宋_GB2312"/>
        </w:rPr>
        <w:t>7、信誉信息：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8、无控股、管理承诺：单位负责人为同一人或者存在直接控股、管理关系的不同供应商，不得同时参加同一合同项下的政府采购活动；</w:t>
      </w:r>
    </w:p>
    <w:p>
      <w:pPr>
        <w:pStyle w:val="null3"/>
      </w:pPr>
      <w:r>
        <w:rPr>
          <w:rFonts w:ascii="仿宋_GB2312" w:hAnsi="仿宋_GB2312" w:cs="仿宋_GB2312" w:eastAsia="仿宋_GB2312"/>
        </w:rPr>
        <w:t>9、法定代表人授权书/法定代表人身份证明书：供应商应授权合法的人员参加投标全过程,其中法定代表人或其他组织负责人直接参加投标的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10、不接受联合体磋商：提供非联合体声明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证明文件：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5、具有履行合同的声明：提供具有履行本合同所必需的设备和专业技术能力的声明；</w:t>
      </w:r>
    </w:p>
    <w:p>
      <w:pPr>
        <w:pStyle w:val="null3"/>
      </w:pPr>
      <w:r>
        <w:rPr>
          <w:rFonts w:ascii="仿宋_GB2312" w:hAnsi="仿宋_GB2312" w:cs="仿宋_GB2312" w:eastAsia="仿宋_GB2312"/>
        </w:rPr>
        <w:t>6、无重大违法记录书面声明：参加政府采购活动前三年内在经营活动中无重大违法记录的书面声明；</w:t>
      </w:r>
    </w:p>
    <w:p>
      <w:pPr>
        <w:pStyle w:val="null3"/>
      </w:pPr>
      <w:r>
        <w:rPr>
          <w:rFonts w:ascii="仿宋_GB2312" w:hAnsi="仿宋_GB2312" w:cs="仿宋_GB2312" w:eastAsia="仿宋_GB2312"/>
        </w:rPr>
        <w:t>7、信誉信息：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8、无控股、管理承诺：单位负责人为同一人或者存在直接控股、管理关系的不同供应商，不得同时参加同一合同项下的政府采购活动；</w:t>
      </w:r>
    </w:p>
    <w:p>
      <w:pPr>
        <w:pStyle w:val="null3"/>
      </w:pPr>
      <w:r>
        <w:rPr>
          <w:rFonts w:ascii="仿宋_GB2312" w:hAnsi="仿宋_GB2312" w:cs="仿宋_GB2312" w:eastAsia="仿宋_GB2312"/>
        </w:rPr>
        <w:t>9、法定代表人授权书/法定代表人身份证明书：供应商应授权合法的人员参加投标全过程,其中法定代表人或其他组织负责人直接参加投标的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10、不接受联合体磋商：提供非联合体声明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证明文件：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5、具有履行合同的声明：提供具有履行本合同所必需的设备和专业技术能力的声明；</w:t>
      </w:r>
    </w:p>
    <w:p>
      <w:pPr>
        <w:pStyle w:val="null3"/>
      </w:pPr>
      <w:r>
        <w:rPr>
          <w:rFonts w:ascii="仿宋_GB2312" w:hAnsi="仿宋_GB2312" w:cs="仿宋_GB2312" w:eastAsia="仿宋_GB2312"/>
        </w:rPr>
        <w:t>6、无重大违法记录书面声明：参加政府采购活动前三年内在经营活动中无重大违法记录的书面声明；</w:t>
      </w:r>
    </w:p>
    <w:p>
      <w:pPr>
        <w:pStyle w:val="null3"/>
      </w:pPr>
      <w:r>
        <w:rPr>
          <w:rFonts w:ascii="仿宋_GB2312" w:hAnsi="仿宋_GB2312" w:cs="仿宋_GB2312" w:eastAsia="仿宋_GB2312"/>
        </w:rPr>
        <w:t>7、信誉信息：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8、无控股、管理承诺：单位负责人为同一人或者存在直接控股、管理关系的不同供应商，不得同时参加同一合同项下的政府采购活动；</w:t>
      </w:r>
    </w:p>
    <w:p>
      <w:pPr>
        <w:pStyle w:val="null3"/>
      </w:pPr>
      <w:r>
        <w:rPr>
          <w:rFonts w:ascii="仿宋_GB2312" w:hAnsi="仿宋_GB2312" w:cs="仿宋_GB2312" w:eastAsia="仿宋_GB2312"/>
        </w:rPr>
        <w:t>9、法定代表人授权书/法定代表人身份证明书：供应商应授权合法的人员参加投标全过程,其中法定代表人或其他组织负责人直接参加投标的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10、不接受联合体磋商：提供非联合体声明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渭南市科技馆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渭南市临渭区六泉路中心西片区多功能馆</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李颖琳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0913-2661927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李思瑶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p>
          <w:p>
            <w:pPr>
              <w:pStyle w:val="null3"/>
            </w:pPr>
            <w:r>
              <w:rPr>
                <w:rFonts w:ascii="仿宋_GB2312" w:hAnsi="仿宋_GB2312" w:cs="仿宋_GB2312" w:eastAsia="仿宋_GB2312"/>
              </w:rPr>
              <w:t>采购包2：270,000.00元</w:t>
            </w:r>
          </w:p>
          <w:p>
            <w:pPr>
              <w:pStyle w:val="null3"/>
            </w:pPr>
            <w:r>
              <w:rPr>
                <w:rFonts w:ascii="仿宋_GB2312" w:hAnsi="仿宋_GB2312" w:cs="仿宋_GB2312" w:eastAsia="仿宋_GB2312"/>
              </w:rPr>
              <w:t>采购包3：270,000.00元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采购包3保证金金额：3,000.00元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以及国家发改价格〔2011〕534号文件”的标准计取，按照各标包成交金额为基数计算采购代理服务费。由各标包中标/成交供应商一次性支付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渭南市科技馆</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渭南市科技馆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渭南市科技馆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联系人：李思瑶</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地址：渭南市临渭区胜利大街与前进路十字西200米路南雅馨花园C座C08</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按照高品质前沿科技主题短期展览完成整体布展工作，丰富场馆科普展陈内容，打造科普特色亮点，提升场馆公共科普服务能力，助力全民科学素质提升。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渭南市科技馆2026年短期展览项目包1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渭南市科技馆2026年短期展览项目包2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渭南市科技馆2026年短期展览项目包3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标的名称：渭南市科技馆2026年短期展览项目包1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rPr>
              <w:t>一、服务指标的具体要</w:t>
            </w:r>
            <w:r>
              <w:rPr>
                <w:rFonts w:ascii="仿宋_GB2312" w:hAnsi="仿宋_GB2312" w:cs="仿宋_GB2312" w:eastAsia="仿宋_GB2312"/>
                <w:sz w:val="22"/>
                <w:b/>
              </w:rPr>
              <w:t>求</w:t>
            </w: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）基本要求</w:t>
            </w:r>
          </w:p>
          <w:p>
            <w:pPr>
              <w:pStyle w:val="null3"/>
            </w:pPr>
            <w:r>
              <w:rPr>
                <w:rFonts w:ascii="仿宋_GB2312" w:hAnsi="仿宋_GB2312" w:cs="仿宋_GB2312" w:eastAsia="仿宋_GB2312"/>
              </w:rPr>
              <w:t>数量指标：展览天数</w:t>
            </w:r>
            <w:r>
              <w:rPr>
                <w:rFonts w:ascii="仿宋_GB2312" w:hAnsi="仿宋_GB2312" w:cs="仿宋_GB2312" w:eastAsia="仿宋_GB2312"/>
              </w:rPr>
              <w:t>≥6</w:t>
            </w:r>
            <w:r>
              <w:rPr>
                <w:rFonts w:ascii="仿宋_GB2312" w:hAnsi="仿宋_GB2312" w:cs="仿宋_GB2312" w:eastAsia="仿宋_GB2312"/>
              </w:rPr>
              <w:t>0天</w:t>
            </w:r>
          </w:p>
          <w:p>
            <w:pPr>
              <w:pStyle w:val="null3"/>
            </w:pPr>
            <w:r>
              <w:rPr>
                <w:rFonts w:ascii="仿宋_GB2312" w:hAnsi="仿宋_GB2312" w:cs="仿宋_GB2312" w:eastAsia="仿宋_GB2312"/>
              </w:rPr>
              <w:t>质量指标：设备完好率</w:t>
            </w:r>
            <w:r>
              <w:rPr>
                <w:rFonts w:ascii="仿宋_GB2312" w:hAnsi="仿宋_GB2312" w:cs="仿宋_GB2312" w:eastAsia="仿宋_GB2312"/>
              </w:rPr>
              <w:t>≥</w:t>
            </w:r>
            <w:r>
              <w:rPr>
                <w:rFonts w:ascii="仿宋_GB2312" w:hAnsi="仿宋_GB2312" w:cs="仿宋_GB2312" w:eastAsia="仿宋_GB2312"/>
              </w:rPr>
              <w:t>95%</w:t>
            </w:r>
          </w:p>
          <w:p>
            <w:pPr>
              <w:pStyle w:val="null3"/>
            </w:pPr>
            <w:r>
              <w:rPr>
                <w:rFonts w:ascii="仿宋_GB2312" w:hAnsi="仿宋_GB2312" w:cs="仿宋_GB2312" w:eastAsia="仿宋_GB2312"/>
              </w:rPr>
              <w:t>游客满意度</w:t>
            </w:r>
            <w:r>
              <w:rPr>
                <w:rFonts w:ascii="仿宋_GB2312" w:hAnsi="仿宋_GB2312" w:cs="仿宋_GB2312" w:eastAsia="仿宋_GB2312"/>
              </w:rPr>
              <w:t>≥</w:t>
            </w:r>
            <w:r>
              <w:rPr>
                <w:rFonts w:ascii="仿宋_GB2312" w:hAnsi="仿宋_GB2312" w:cs="仿宋_GB2312" w:eastAsia="仿宋_GB2312"/>
              </w:rPr>
              <w:t>90%</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）工作范围</w:t>
            </w:r>
          </w:p>
          <w:p>
            <w:pPr>
              <w:pStyle w:val="null3"/>
            </w:pPr>
            <w:r>
              <w:rPr>
                <w:rFonts w:ascii="仿宋_GB2312" w:hAnsi="仿宋_GB2312" w:cs="仿宋_GB2312" w:eastAsia="仿宋_GB2312"/>
              </w:rPr>
              <w:t>须按国家有关标准及规范完成</w:t>
            </w:r>
            <w:r>
              <w:rPr>
                <w:rFonts w:ascii="仿宋_GB2312" w:hAnsi="仿宋_GB2312" w:cs="仿宋_GB2312" w:eastAsia="仿宋_GB2312"/>
              </w:rPr>
              <w:t>磋商</w:t>
            </w:r>
            <w:r>
              <w:rPr>
                <w:rFonts w:ascii="仿宋_GB2312" w:hAnsi="仿宋_GB2312" w:cs="仿宋_GB2312" w:eastAsia="仿宋_GB2312"/>
              </w:rPr>
              <w:t>文件规定的所有工作内容：</w:t>
            </w:r>
          </w:p>
          <w:p>
            <w:pPr>
              <w:pStyle w:val="null3"/>
            </w:pPr>
            <w:r>
              <w:rPr>
                <w:rFonts w:ascii="仿宋_GB2312" w:hAnsi="仿宋_GB2312" w:cs="仿宋_GB2312" w:eastAsia="仿宋_GB2312"/>
              </w:rPr>
              <w:t>1.履行所有规定服务；</w:t>
            </w:r>
          </w:p>
          <w:p>
            <w:pPr>
              <w:pStyle w:val="null3"/>
            </w:pPr>
            <w:r>
              <w:rPr>
                <w:rFonts w:ascii="仿宋_GB2312" w:hAnsi="仿宋_GB2312" w:cs="仿宋_GB2312" w:eastAsia="仿宋_GB2312"/>
              </w:rPr>
              <w:t>2.服务须达到</w:t>
            </w:r>
            <w:r>
              <w:rPr>
                <w:rFonts w:ascii="仿宋_GB2312" w:hAnsi="仿宋_GB2312" w:cs="仿宋_GB2312" w:eastAsia="仿宋_GB2312"/>
              </w:rPr>
              <w:t>磋商</w:t>
            </w:r>
            <w:r>
              <w:rPr>
                <w:rFonts w:ascii="仿宋_GB2312" w:hAnsi="仿宋_GB2312" w:cs="仿宋_GB2312" w:eastAsia="仿宋_GB2312"/>
              </w:rPr>
              <w:t>文件规定的质量标准及使用要求。</w:t>
            </w:r>
          </w:p>
          <w:p>
            <w:pPr>
              <w:pStyle w:val="null3"/>
            </w:pPr>
            <w:r>
              <w:rPr>
                <w:rFonts w:ascii="仿宋_GB2312" w:hAnsi="仿宋_GB2312" w:cs="仿宋_GB2312" w:eastAsia="仿宋_GB2312"/>
              </w:rPr>
              <w:t>3</w:t>
            </w:r>
            <w:r>
              <w:rPr>
                <w:rFonts w:ascii="仿宋_GB2312" w:hAnsi="仿宋_GB2312" w:cs="仿宋_GB2312" w:eastAsia="仿宋_GB2312"/>
              </w:rPr>
              <w:t>.展览目标受众：</w:t>
            </w:r>
          </w:p>
          <w:p>
            <w:pPr>
              <w:pStyle w:val="null3"/>
            </w:pPr>
            <w:r>
              <w:rPr>
                <w:rFonts w:ascii="仿宋_GB2312" w:hAnsi="仿宋_GB2312" w:cs="仿宋_GB2312" w:eastAsia="仿宋_GB2312"/>
              </w:rPr>
              <w:t>4</w:t>
            </w:r>
            <w:r>
              <w:rPr>
                <w:rFonts w:ascii="仿宋_GB2312" w:hAnsi="仿宋_GB2312" w:cs="仿宋_GB2312" w:eastAsia="仿宋_GB2312"/>
              </w:rPr>
              <w:t>.展览主题：</w:t>
            </w:r>
          </w:p>
          <w:p>
            <w:pPr>
              <w:pStyle w:val="null3"/>
            </w:pPr>
            <w:r>
              <w:rPr>
                <w:rFonts w:ascii="仿宋_GB2312" w:hAnsi="仿宋_GB2312" w:cs="仿宋_GB2312" w:eastAsia="仿宋_GB2312"/>
              </w:rPr>
              <w:t>本合同包</w:t>
            </w:r>
            <w:r>
              <w:rPr>
                <w:rFonts w:ascii="仿宋_GB2312" w:hAnsi="仿宋_GB2312" w:cs="仿宋_GB2312" w:eastAsia="仿宋_GB2312"/>
              </w:rPr>
              <w:t>1：按照火星探索类主题完成整体布展工作，打造兼具趣味性、知识性的科普临展，传递火星探索相关科普知识，提升公众对宇宙科学及火星探索的兴趣与认知。</w:t>
            </w:r>
          </w:p>
          <w:p>
            <w:pPr>
              <w:pStyle w:val="null3"/>
            </w:pPr>
            <w:r>
              <w:rPr>
                <w:rFonts w:ascii="仿宋_GB2312" w:hAnsi="仿宋_GB2312" w:cs="仿宋_GB2312" w:eastAsia="仿宋_GB2312"/>
              </w:rPr>
              <w:t>需安排人员配合市科技馆的临展讲解、科普活动开展等工作；临展展陈设施设备出现问题时及时进行维修理</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.展览面积：</w:t>
            </w:r>
            <w:r>
              <w:rPr>
                <w:rFonts w:ascii="仿宋_GB2312" w:hAnsi="仿宋_GB2312" w:cs="仿宋_GB2312" w:eastAsia="仿宋_GB2312"/>
              </w:rPr>
              <w:t>约</w:t>
            </w:r>
            <w:r>
              <w:rPr>
                <w:rFonts w:ascii="仿宋_GB2312" w:hAnsi="仿宋_GB2312" w:cs="仿宋_GB2312" w:eastAsia="仿宋_GB2312"/>
              </w:rPr>
              <w:t>350-400</w:t>
            </w:r>
            <w:r>
              <w:rPr>
                <w:rFonts w:ascii="仿宋_GB2312" w:hAnsi="仿宋_GB2312" w:cs="仿宋_GB2312" w:eastAsia="仿宋_GB2312"/>
              </w:rPr>
              <w:t>平方米。</w:t>
            </w:r>
          </w:p>
          <w:p>
            <w:pPr>
              <w:pStyle w:val="null3"/>
            </w:pPr>
            <w:r>
              <w:rPr>
                <w:rFonts w:ascii="仿宋_GB2312" w:hAnsi="仿宋_GB2312" w:cs="仿宋_GB2312" w:eastAsia="仿宋_GB2312"/>
              </w:rPr>
              <w:t>6</w:t>
            </w:r>
            <w:r>
              <w:rPr>
                <w:rFonts w:ascii="仿宋_GB2312" w:hAnsi="仿宋_GB2312" w:cs="仿宋_GB2312" w:eastAsia="仿宋_GB2312"/>
              </w:rPr>
              <w:t>.展出时间：</w:t>
            </w:r>
            <w:r>
              <w:rPr>
                <w:rFonts w:ascii="仿宋_GB2312" w:hAnsi="仿宋_GB2312" w:cs="仿宋_GB2312" w:eastAsia="仿宋_GB2312"/>
              </w:rPr>
              <w:t>2</w:t>
            </w:r>
            <w:r>
              <w:rPr>
                <w:rFonts w:ascii="仿宋_GB2312" w:hAnsi="仿宋_GB2312" w:cs="仿宋_GB2312" w:eastAsia="仿宋_GB2312"/>
              </w:rPr>
              <w:t>个月。</w:t>
            </w:r>
          </w:p>
          <w:p>
            <w:pPr>
              <w:pStyle w:val="null3"/>
            </w:pPr>
            <w:r>
              <w:rPr>
                <w:rFonts w:ascii="仿宋_GB2312" w:hAnsi="仿宋_GB2312" w:cs="仿宋_GB2312" w:eastAsia="仿宋_GB2312"/>
                <w:b/>
              </w:rPr>
              <w:t>二、服务质量、标准、期限、效率等要求</w:t>
            </w:r>
          </w:p>
          <w:p>
            <w:pPr>
              <w:pStyle w:val="null3"/>
            </w:pPr>
            <w:r>
              <w:rPr>
                <w:rFonts w:ascii="仿宋_GB2312" w:hAnsi="仿宋_GB2312" w:cs="仿宋_GB2312" w:eastAsia="仿宋_GB2312"/>
              </w:rPr>
              <w:t>1、供应商整体设计展厅布展效果图;</w:t>
            </w:r>
          </w:p>
          <w:p>
            <w:pPr>
              <w:pStyle w:val="null3"/>
            </w:pPr>
            <w:r>
              <w:rPr>
                <w:rFonts w:ascii="仿宋_GB2312" w:hAnsi="仿宋_GB2312" w:cs="仿宋_GB2312" w:eastAsia="仿宋_GB2312"/>
              </w:rPr>
              <w:t>2、供应商与采购人详细沟通展览的布展效果相关内容，并根据采购人要求，完善展厅布展效果设计，与采购人确定最终布展效果;</w:t>
            </w:r>
          </w:p>
          <w:p>
            <w:pPr>
              <w:pStyle w:val="null3"/>
            </w:pPr>
            <w:r>
              <w:rPr>
                <w:rFonts w:ascii="仿宋_GB2312" w:hAnsi="仿宋_GB2312" w:cs="仿宋_GB2312" w:eastAsia="仿宋_GB2312"/>
              </w:rPr>
              <w:t>3、供应商与采购人交流各方进场相关事宜，包括环境搭建进场、展览展项及布展团队人员进场等，并安排各方团队进场进行布展;</w:t>
            </w:r>
          </w:p>
          <w:p>
            <w:pPr>
              <w:pStyle w:val="null3"/>
            </w:pPr>
            <w:r>
              <w:rPr>
                <w:rFonts w:ascii="仿宋_GB2312" w:hAnsi="仿宋_GB2312" w:cs="仿宋_GB2312" w:eastAsia="仿宋_GB2312"/>
              </w:rPr>
              <w:t>4、现场布展过程中，供应商随时与采购人进行交流，确保展览总体效</w:t>
            </w:r>
            <w:r>
              <w:rPr>
                <w:rFonts w:ascii="仿宋_GB2312" w:hAnsi="仿宋_GB2312" w:cs="仿宋_GB2312" w:eastAsia="仿宋_GB2312"/>
              </w:rPr>
              <w:t>果</w:t>
            </w:r>
            <w:r>
              <w:rPr>
                <w:rFonts w:ascii="仿宋_GB2312" w:hAnsi="仿宋_GB2312" w:cs="仿宋_GB2312" w:eastAsia="仿宋_GB2312"/>
              </w:rPr>
              <w:t>;</w:t>
            </w:r>
          </w:p>
          <w:p>
            <w:pPr>
              <w:pStyle w:val="null3"/>
            </w:pPr>
            <w:r>
              <w:rPr>
                <w:rFonts w:ascii="仿宋_GB2312" w:hAnsi="仿宋_GB2312" w:cs="仿宋_GB2312" w:eastAsia="仿宋_GB2312"/>
              </w:rPr>
              <w:t>5、供应商将严格按照定的开展时间要求完成现场布展工作，并与采购人完成布展验收工作;</w:t>
            </w:r>
          </w:p>
          <w:p>
            <w:pPr>
              <w:pStyle w:val="null3"/>
            </w:pPr>
            <w:r>
              <w:rPr>
                <w:rFonts w:ascii="仿宋_GB2312" w:hAnsi="仿宋_GB2312" w:cs="仿宋_GB2312" w:eastAsia="仿宋_GB2312"/>
              </w:rPr>
              <w:t>6、供应商对采购人完成展览及展项的培训工作;</w:t>
            </w:r>
          </w:p>
          <w:p>
            <w:pPr>
              <w:pStyle w:val="null3"/>
            </w:pPr>
            <w:r>
              <w:rPr>
                <w:rFonts w:ascii="仿宋_GB2312" w:hAnsi="仿宋_GB2312" w:cs="仿宋_GB2312" w:eastAsia="仿宋_GB2312"/>
                <w:sz w:val="21"/>
              </w:rPr>
              <w:t>7、供应商负责展览期中各类协调工作的管理。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标的名称：渭南市科技馆2026年短期展览项目包2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rPr>
              <w:t>一、服务指标的具体要</w:t>
            </w:r>
            <w:r>
              <w:rPr>
                <w:rFonts w:ascii="仿宋_GB2312" w:hAnsi="仿宋_GB2312" w:cs="仿宋_GB2312" w:eastAsia="仿宋_GB2312"/>
                <w:sz w:val="22"/>
                <w:b/>
              </w:rPr>
              <w:t>求</w:t>
            </w: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）基本要求</w:t>
            </w:r>
          </w:p>
          <w:p>
            <w:pPr>
              <w:pStyle w:val="null3"/>
            </w:pPr>
            <w:r>
              <w:rPr>
                <w:rFonts w:ascii="仿宋_GB2312" w:hAnsi="仿宋_GB2312" w:cs="仿宋_GB2312" w:eastAsia="仿宋_GB2312"/>
              </w:rPr>
              <w:t>数量指标：展览天数</w:t>
            </w:r>
            <w:r>
              <w:rPr>
                <w:rFonts w:ascii="仿宋_GB2312" w:hAnsi="仿宋_GB2312" w:cs="仿宋_GB2312" w:eastAsia="仿宋_GB2312"/>
              </w:rPr>
              <w:t>≥6</w:t>
            </w:r>
            <w:r>
              <w:rPr>
                <w:rFonts w:ascii="仿宋_GB2312" w:hAnsi="仿宋_GB2312" w:cs="仿宋_GB2312" w:eastAsia="仿宋_GB2312"/>
              </w:rPr>
              <w:t>0天</w:t>
            </w:r>
          </w:p>
          <w:p>
            <w:pPr>
              <w:pStyle w:val="null3"/>
            </w:pPr>
            <w:r>
              <w:rPr>
                <w:rFonts w:ascii="仿宋_GB2312" w:hAnsi="仿宋_GB2312" w:cs="仿宋_GB2312" w:eastAsia="仿宋_GB2312"/>
              </w:rPr>
              <w:t>质量指标：设备完好率</w:t>
            </w:r>
            <w:r>
              <w:rPr>
                <w:rFonts w:ascii="仿宋_GB2312" w:hAnsi="仿宋_GB2312" w:cs="仿宋_GB2312" w:eastAsia="仿宋_GB2312"/>
              </w:rPr>
              <w:t>≥</w:t>
            </w:r>
            <w:r>
              <w:rPr>
                <w:rFonts w:ascii="仿宋_GB2312" w:hAnsi="仿宋_GB2312" w:cs="仿宋_GB2312" w:eastAsia="仿宋_GB2312"/>
              </w:rPr>
              <w:t>95%</w:t>
            </w:r>
          </w:p>
          <w:p>
            <w:pPr>
              <w:pStyle w:val="null3"/>
            </w:pPr>
            <w:r>
              <w:rPr>
                <w:rFonts w:ascii="仿宋_GB2312" w:hAnsi="仿宋_GB2312" w:cs="仿宋_GB2312" w:eastAsia="仿宋_GB2312"/>
              </w:rPr>
              <w:t>游客满意度</w:t>
            </w:r>
            <w:r>
              <w:rPr>
                <w:rFonts w:ascii="仿宋_GB2312" w:hAnsi="仿宋_GB2312" w:cs="仿宋_GB2312" w:eastAsia="仿宋_GB2312"/>
              </w:rPr>
              <w:t>≥</w:t>
            </w:r>
            <w:r>
              <w:rPr>
                <w:rFonts w:ascii="仿宋_GB2312" w:hAnsi="仿宋_GB2312" w:cs="仿宋_GB2312" w:eastAsia="仿宋_GB2312"/>
              </w:rPr>
              <w:t>90%</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）工作范围</w:t>
            </w:r>
          </w:p>
          <w:p>
            <w:pPr>
              <w:pStyle w:val="null3"/>
            </w:pPr>
            <w:r>
              <w:rPr>
                <w:rFonts w:ascii="仿宋_GB2312" w:hAnsi="仿宋_GB2312" w:cs="仿宋_GB2312" w:eastAsia="仿宋_GB2312"/>
              </w:rPr>
              <w:t>须按国家有关标准及规范完成</w:t>
            </w:r>
            <w:r>
              <w:rPr>
                <w:rFonts w:ascii="仿宋_GB2312" w:hAnsi="仿宋_GB2312" w:cs="仿宋_GB2312" w:eastAsia="仿宋_GB2312"/>
              </w:rPr>
              <w:t>磋商</w:t>
            </w:r>
            <w:r>
              <w:rPr>
                <w:rFonts w:ascii="仿宋_GB2312" w:hAnsi="仿宋_GB2312" w:cs="仿宋_GB2312" w:eastAsia="仿宋_GB2312"/>
              </w:rPr>
              <w:t>文件规定的所有工作内容：</w:t>
            </w:r>
          </w:p>
          <w:p>
            <w:pPr>
              <w:pStyle w:val="null3"/>
            </w:pPr>
            <w:r>
              <w:rPr>
                <w:rFonts w:ascii="仿宋_GB2312" w:hAnsi="仿宋_GB2312" w:cs="仿宋_GB2312" w:eastAsia="仿宋_GB2312"/>
              </w:rPr>
              <w:t>1.履行所有规定服务；</w:t>
            </w:r>
          </w:p>
          <w:p>
            <w:pPr>
              <w:pStyle w:val="null3"/>
            </w:pPr>
            <w:r>
              <w:rPr>
                <w:rFonts w:ascii="仿宋_GB2312" w:hAnsi="仿宋_GB2312" w:cs="仿宋_GB2312" w:eastAsia="仿宋_GB2312"/>
              </w:rPr>
              <w:t>2.服务须达到</w:t>
            </w:r>
            <w:r>
              <w:rPr>
                <w:rFonts w:ascii="仿宋_GB2312" w:hAnsi="仿宋_GB2312" w:cs="仿宋_GB2312" w:eastAsia="仿宋_GB2312"/>
              </w:rPr>
              <w:t>磋商</w:t>
            </w:r>
            <w:r>
              <w:rPr>
                <w:rFonts w:ascii="仿宋_GB2312" w:hAnsi="仿宋_GB2312" w:cs="仿宋_GB2312" w:eastAsia="仿宋_GB2312"/>
              </w:rPr>
              <w:t>文件规定的质量标准及使用要求。</w:t>
            </w:r>
          </w:p>
          <w:p>
            <w:pPr>
              <w:pStyle w:val="null3"/>
            </w:pPr>
            <w:r>
              <w:rPr>
                <w:rFonts w:ascii="仿宋_GB2312" w:hAnsi="仿宋_GB2312" w:cs="仿宋_GB2312" w:eastAsia="仿宋_GB2312"/>
              </w:rPr>
              <w:t>3</w:t>
            </w:r>
            <w:r>
              <w:rPr>
                <w:rFonts w:ascii="仿宋_GB2312" w:hAnsi="仿宋_GB2312" w:cs="仿宋_GB2312" w:eastAsia="仿宋_GB2312"/>
              </w:rPr>
              <w:t>.展览目标受众：</w:t>
            </w:r>
          </w:p>
          <w:p>
            <w:pPr>
              <w:pStyle w:val="null3"/>
            </w:pPr>
            <w:r>
              <w:rPr>
                <w:rFonts w:ascii="仿宋_GB2312" w:hAnsi="仿宋_GB2312" w:cs="仿宋_GB2312" w:eastAsia="仿宋_GB2312"/>
              </w:rPr>
              <w:t>4</w:t>
            </w:r>
            <w:r>
              <w:rPr>
                <w:rFonts w:ascii="仿宋_GB2312" w:hAnsi="仿宋_GB2312" w:cs="仿宋_GB2312" w:eastAsia="仿宋_GB2312"/>
              </w:rPr>
              <w:t>.展览主题：</w:t>
            </w:r>
          </w:p>
          <w:p>
            <w:pPr>
              <w:pStyle w:val="null3"/>
            </w:pPr>
            <w:r>
              <w:rPr>
                <w:rFonts w:ascii="仿宋_GB2312" w:hAnsi="仿宋_GB2312" w:cs="仿宋_GB2312" w:eastAsia="仿宋_GB2312"/>
              </w:rPr>
              <w:t>本按照数理科普类短期展览主题完成整体布展工作，通过互动体验、场景呈现等形式，普及数理相关知识，激发公众尤其是青少年对数理学科的学习热情。</w:t>
            </w:r>
          </w:p>
          <w:p>
            <w:pPr>
              <w:pStyle w:val="null3"/>
            </w:pPr>
            <w:r>
              <w:rPr>
                <w:rFonts w:ascii="仿宋_GB2312" w:hAnsi="仿宋_GB2312" w:cs="仿宋_GB2312" w:eastAsia="仿宋_GB2312"/>
              </w:rPr>
              <w:t>提供的展品展项总数不少于</w:t>
            </w:r>
            <w:r>
              <w:rPr>
                <w:rFonts w:ascii="仿宋_GB2312" w:hAnsi="仿宋_GB2312" w:cs="仿宋_GB2312" w:eastAsia="仿宋_GB2312"/>
              </w:rPr>
              <w:t>50件，其中互动展项不少于20项。</w:t>
            </w:r>
          </w:p>
          <w:p>
            <w:pPr>
              <w:pStyle w:val="null3"/>
            </w:pPr>
            <w:r>
              <w:rPr>
                <w:rFonts w:ascii="仿宋_GB2312" w:hAnsi="仿宋_GB2312" w:cs="仿宋_GB2312" w:eastAsia="仿宋_GB2312"/>
              </w:rPr>
              <w:t>需安排人员配合市科技馆的临展讲解、科普活动开展等工作；临展展陈设施设备出现问题时及时进行维修理</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.展览面积：</w:t>
            </w:r>
            <w:r>
              <w:rPr>
                <w:rFonts w:ascii="仿宋_GB2312" w:hAnsi="仿宋_GB2312" w:cs="仿宋_GB2312" w:eastAsia="仿宋_GB2312"/>
              </w:rPr>
              <w:t>约</w:t>
            </w:r>
            <w:r>
              <w:rPr>
                <w:rFonts w:ascii="仿宋_GB2312" w:hAnsi="仿宋_GB2312" w:cs="仿宋_GB2312" w:eastAsia="仿宋_GB2312"/>
              </w:rPr>
              <w:t>350-400</w:t>
            </w:r>
            <w:r>
              <w:rPr>
                <w:rFonts w:ascii="仿宋_GB2312" w:hAnsi="仿宋_GB2312" w:cs="仿宋_GB2312" w:eastAsia="仿宋_GB2312"/>
              </w:rPr>
              <w:t>平方米。</w:t>
            </w:r>
          </w:p>
          <w:p>
            <w:pPr>
              <w:pStyle w:val="null3"/>
            </w:pPr>
            <w:r>
              <w:rPr>
                <w:rFonts w:ascii="仿宋_GB2312" w:hAnsi="仿宋_GB2312" w:cs="仿宋_GB2312" w:eastAsia="仿宋_GB2312"/>
              </w:rPr>
              <w:t>6</w:t>
            </w:r>
            <w:r>
              <w:rPr>
                <w:rFonts w:ascii="仿宋_GB2312" w:hAnsi="仿宋_GB2312" w:cs="仿宋_GB2312" w:eastAsia="仿宋_GB2312"/>
              </w:rPr>
              <w:t>.展出时间：</w:t>
            </w:r>
            <w:r>
              <w:rPr>
                <w:rFonts w:ascii="仿宋_GB2312" w:hAnsi="仿宋_GB2312" w:cs="仿宋_GB2312" w:eastAsia="仿宋_GB2312"/>
              </w:rPr>
              <w:t>2</w:t>
            </w:r>
            <w:r>
              <w:rPr>
                <w:rFonts w:ascii="仿宋_GB2312" w:hAnsi="仿宋_GB2312" w:cs="仿宋_GB2312" w:eastAsia="仿宋_GB2312"/>
              </w:rPr>
              <w:t>个月。</w:t>
            </w:r>
          </w:p>
          <w:p>
            <w:pPr>
              <w:pStyle w:val="null3"/>
            </w:pPr>
            <w:r>
              <w:rPr>
                <w:rFonts w:ascii="仿宋_GB2312" w:hAnsi="仿宋_GB2312" w:cs="仿宋_GB2312" w:eastAsia="仿宋_GB2312"/>
                <w:b/>
              </w:rPr>
              <w:t>二、服务质量、标准、期限、效率等要求</w:t>
            </w:r>
          </w:p>
          <w:p>
            <w:pPr>
              <w:pStyle w:val="null3"/>
            </w:pPr>
            <w:r>
              <w:rPr>
                <w:rFonts w:ascii="仿宋_GB2312" w:hAnsi="仿宋_GB2312" w:cs="仿宋_GB2312" w:eastAsia="仿宋_GB2312"/>
              </w:rPr>
              <w:t>1、供应商整体设计展厅布展效果图;</w:t>
            </w:r>
          </w:p>
          <w:p>
            <w:pPr>
              <w:pStyle w:val="null3"/>
            </w:pPr>
            <w:r>
              <w:rPr>
                <w:rFonts w:ascii="仿宋_GB2312" w:hAnsi="仿宋_GB2312" w:cs="仿宋_GB2312" w:eastAsia="仿宋_GB2312"/>
              </w:rPr>
              <w:t>2、供应商与采购人详细沟通展览的布展效果相关内容，并根据采购人要求，完善展厅布展效果设计，与采购人确定最终布展效果;</w:t>
            </w:r>
          </w:p>
          <w:p>
            <w:pPr>
              <w:pStyle w:val="null3"/>
            </w:pPr>
            <w:r>
              <w:rPr>
                <w:rFonts w:ascii="仿宋_GB2312" w:hAnsi="仿宋_GB2312" w:cs="仿宋_GB2312" w:eastAsia="仿宋_GB2312"/>
              </w:rPr>
              <w:t>3、供应商与采购人交流各方进场相关事宜，包括环境搭建进场、展览展项及布展团队人员进场等，并安排各方团队进场进行布展;</w:t>
            </w:r>
          </w:p>
          <w:p>
            <w:pPr>
              <w:pStyle w:val="null3"/>
            </w:pPr>
            <w:r>
              <w:rPr>
                <w:rFonts w:ascii="仿宋_GB2312" w:hAnsi="仿宋_GB2312" w:cs="仿宋_GB2312" w:eastAsia="仿宋_GB2312"/>
              </w:rPr>
              <w:t>4、现场布展过程中，供应商随时与采购人进行交流，确保展览总体效</w:t>
            </w:r>
            <w:r>
              <w:rPr>
                <w:rFonts w:ascii="仿宋_GB2312" w:hAnsi="仿宋_GB2312" w:cs="仿宋_GB2312" w:eastAsia="仿宋_GB2312"/>
              </w:rPr>
              <w:t>果</w:t>
            </w:r>
            <w:r>
              <w:rPr>
                <w:rFonts w:ascii="仿宋_GB2312" w:hAnsi="仿宋_GB2312" w:cs="仿宋_GB2312" w:eastAsia="仿宋_GB2312"/>
              </w:rPr>
              <w:t>;</w:t>
            </w:r>
          </w:p>
          <w:p>
            <w:pPr>
              <w:pStyle w:val="null3"/>
            </w:pPr>
            <w:r>
              <w:rPr>
                <w:rFonts w:ascii="仿宋_GB2312" w:hAnsi="仿宋_GB2312" w:cs="仿宋_GB2312" w:eastAsia="仿宋_GB2312"/>
              </w:rPr>
              <w:t>5、供应商将严格按照定的开展时间要求完成现场布展工作，并与采购人完成布展验收工作;</w:t>
            </w:r>
          </w:p>
          <w:p>
            <w:pPr>
              <w:pStyle w:val="null3"/>
            </w:pPr>
            <w:r>
              <w:rPr>
                <w:rFonts w:ascii="仿宋_GB2312" w:hAnsi="仿宋_GB2312" w:cs="仿宋_GB2312" w:eastAsia="仿宋_GB2312"/>
              </w:rPr>
              <w:t>6、供应商对采购人完成展览及展项的培训工作;</w:t>
            </w:r>
          </w:p>
          <w:p>
            <w:pPr>
              <w:pStyle w:val="null3"/>
            </w:pPr>
            <w:r>
              <w:rPr>
                <w:rFonts w:ascii="仿宋_GB2312" w:hAnsi="仿宋_GB2312" w:cs="仿宋_GB2312" w:eastAsia="仿宋_GB2312"/>
                <w:sz w:val="21"/>
              </w:rPr>
              <w:t>7、供应商负责展览期中各类协调工作的管理。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标的名称：渭南市科技馆2026年短期展览项目包3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rPr>
              <w:t>一、服务指标的具体要</w:t>
            </w:r>
            <w:r>
              <w:rPr>
                <w:rFonts w:ascii="仿宋_GB2312" w:hAnsi="仿宋_GB2312" w:cs="仿宋_GB2312" w:eastAsia="仿宋_GB2312"/>
                <w:sz w:val="22"/>
                <w:b/>
              </w:rPr>
              <w:t>求</w:t>
            </w: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）基本要求</w:t>
            </w:r>
          </w:p>
          <w:p>
            <w:pPr>
              <w:pStyle w:val="null3"/>
            </w:pPr>
            <w:r>
              <w:rPr>
                <w:rFonts w:ascii="仿宋_GB2312" w:hAnsi="仿宋_GB2312" w:cs="仿宋_GB2312" w:eastAsia="仿宋_GB2312"/>
              </w:rPr>
              <w:t>数量指标：展览天数</w:t>
            </w:r>
            <w:r>
              <w:rPr>
                <w:rFonts w:ascii="仿宋_GB2312" w:hAnsi="仿宋_GB2312" w:cs="仿宋_GB2312" w:eastAsia="仿宋_GB2312"/>
              </w:rPr>
              <w:t>≥6</w:t>
            </w:r>
            <w:r>
              <w:rPr>
                <w:rFonts w:ascii="仿宋_GB2312" w:hAnsi="仿宋_GB2312" w:cs="仿宋_GB2312" w:eastAsia="仿宋_GB2312"/>
              </w:rPr>
              <w:t>0天</w:t>
            </w:r>
          </w:p>
          <w:p>
            <w:pPr>
              <w:pStyle w:val="null3"/>
            </w:pPr>
            <w:r>
              <w:rPr>
                <w:rFonts w:ascii="仿宋_GB2312" w:hAnsi="仿宋_GB2312" w:cs="仿宋_GB2312" w:eastAsia="仿宋_GB2312"/>
              </w:rPr>
              <w:t>质量指标：设备完好率</w:t>
            </w:r>
            <w:r>
              <w:rPr>
                <w:rFonts w:ascii="仿宋_GB2312" w:hAnsi="仿宋_GB2312" w:cs="仿宋_GB2312" w:eastAsia="仿宋_GB2312"/>
              </w:rPr>
              <w:t>≥</w:t>
            </w:r>
            <w:r>
              <w:rPr>
                <w:rFonts w:ascii="仿宋_GB2312" w:hAnsi="仿宋_GB2312" w:cs="仿宋_GB2312" w:eastAsia="仿宋_GB2312"/>
              </w:rPr>
              <w:t>95%</w:t>
            </w:r>
          </w:p>
          <w:p>
            <w:pPr>
              <w:pStyle w:val="null3"/>
            </w:pPr>
            <w:r>
              <w:rPr>
                <w:rFonts w:ascii="仿宋_GB2312" w:hAnsi="仿宋_GB2312" w:cs="仿宋_GB2312" w:eastAsia="仿宋_GB2312"/>
              </w:rPr>
              <w:t>游客满意度</w:t>
            </w:r>
            <w:r>
              <w:rPr>
                <w:rFonts w:ascii="仿宋_GB2312" w:hAnsi="仿宋_GB2312" w:cs="仿宋_GB2312" w:eastAsia="仿宋_GB2312"/>
              </w:rPr>
              <w:t>≥</w:t>
            </w:r>
            <w:r>
              <w:rPr>
                <w:rFonts w:ascii="仿宋_GB2312" w:hAnsi="仿宋_GB2312" w:cs="仿宋_GB2312" w:eastAsia="仿宋_GB2312"/>
              </w:rPr>
              <w:t>90%</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）工作范围</w:t>
            </w:r>
          </w:p>
          <w:p>
            <w:pPr>
              <w:pStyle w:val="null3"/>
            </w:pPr>
            <w:r>
              <w:rPr>
                <w:rFonts w:ascii="仿宋_GB2312" w:hAnsi="仿宋_GB2312" w:cs="仿宋_GB2312" w:eastAsia="仿宋_GB2312"/>
              </w:rPr>
              <w:t>须按国家有关标准及规范完成</w:t>
            </w:r>
            <w:r>
              <w:rPr>
                <w:rFonts w:ascii="仿宋_GB2312" w:hAnsi="仿宋_GB2312" w:cs="仿宋_GB2312" w:eastAsia="仿宋_GB2312"/>
              </w:rPr>
              <w:t>磋商</w:t>
            </w:r>
            <w:r>
              <w:rPr>
                <w:rFonts w:ascii="仿宋_GB2312" w:hAnsi="仿宋_GB2312" w:cs="仿宋_GB2312" w:eastAsia="仿宋_GB2312"/>
              </w:rPr>
              <w:t>文件规定的所有工作内容：</w:t>
            </w:r>
          </w:p>
          <w:p>
            <w:pPr>
              <w:pStyle w:val="null3"/>
            </w:pPr>
            <w:r>
              <w:rPr>
                <w:rFonts w:ascii="仿宋_GB2312" w:hAnsi="仿宋_GB2312" w:cs="仿宋_GB2312" w:eastAsia="仿宋_GB2312"/>
              </w:rPr>
              <w:t>1.履行所有规定服务；</w:t>
            </w:r>
          </w:p>
          <w:p>
            <w:pPr>
              <w:pStyle w:val="null3"/>
            </w:pPr>
            <w:r>
              <w:rPr>
                <w:rFonts w:ascii="仿宋_GB2312" w:hAnsi="仿宋_GB2312" w:cs="仿宋_GB2312" w:eastAsia="仿宋_GB2312"/>
              </w:rPr>
              <w:t>2.服务须达到</w:t>
            </w:r>
            <w:r>
              <w:rPr>
                <w:rFonts w:ascii="仿宋_GB2312" w:hAnsi="仿宋_GB2312" w:cs="仿宋_GB2312" w:eastAsia="仿宋_GB2312"/>
              </w:rPr>
              <w:t>磋商</w:t>
            </w:r>
            <w:r>
              <w:rPr>
                <w:rFonts w:ascii="仿宋_GB2312" w:hAnsi="仿宋_GB2312" w:cs="仿宋_GB2312" w:eastAsia="仿宋_GB2312"/>
              </w:rPr>
              <w:t>文件规定的质量标准及使用要求。</w:t>
            </w:r>
          </w:p>
          <w:p>
            <w:pPr>
              <w:pStyle w:val="null3"/>
            </w:pPr>
            <w:r>
              <w:rPr>
                <w:rFonts w:ascii="仿宋_GB2312" w:hAnsi="仿宋_GB2312" w:cs="仿宋_GB2312" w:eastAsia="仿宋_GB2312"/>
              </w:rPr>
              <w:t>3</w:t>
            </w:r>
            <w:r>
              <w:rPr>
                <w:rFonts w:ascii="仿宋_GB2312" w:hAnsi="仿宋_GB2312" w:cs="仿宋_GB2312" w:eastAsia="仿宋_GB2312"/>
              </w:rPr>
              <w:t>.展览目标受众：</w:t>
            </w:r>
          </w:p>
          <w:p>
            <w:pPr>
              <w:pStyle w:val="null3"/>
            </w:pPr>
            <w:r>
              <w:rPr>
                <w:rFonts w:ascii="仿宋_GB2312" w:hAnsi="仿宋_GB2312" w:cs="仿宋_GB2312" w:eastAsia="仿宋_GB2312"/>
              </w:rPr>
              <w:t>4</w:t>
            </w:r>
            <w:r>
              <w:rPr>
                <w:rFonts w:ascii="仿宋_GB2312" w:hAnsi="仿宋_GB2312" w:cs="仿宋_GB2312" w:eastAsia="仿宋_GB2312"/>
              </w:rPr>
              <w:t>.展览主题：</w:t>
            </w:r>
          </w:p>
          <w:p>
            <w:pPr>
              <w:pStyle w:val="null3"/>
            </w:pPr>
            <w:r>
              <w:rPr>
                <w:rFonts w:ascii="仿宋_GB2312" w:hAnsi="仿宋_GB2312" w:cs="仿宋_GB2312" w:eastAsia="仿宋_GB2312"/>
              </w:rPr>
              <w:t>本按照思维探索类主题完成整体布展工作，打造兼具互动性与体验感的科普临展，引导公众通过思维探索的方式感知世界，感受探索乐趣，激发对未知世界的探索欲望。</w:t>
            </w:r>
          </w:p>
          <w:p>
            <w:pPr>
              <w:pStyle w:val="null3"/>
            </w:pPr>
            <w:r>
              <w:rPr>
                <w:rFonts w:ascii="仿宋_GB2312" w:hAnsi="仿宋_GB2312" w:cs="仿宋_GB2312" w:eastAsia="仿宋_GB2312"/>
              </w:rPr>
              <w:t>展览由主题场景、互动展品、科普图文、多媒体内容等构成，展品采用租赁方式，展品总数量不少于</w:t>
            </w:r>
            <w:r>
              <w:rPr>
                <w:rFonts w:ascii="仿宋_GB2312" w:hAnsi="仿宋_GB2312" w:cs="仿宋_GB2312" w:eastAsia="仿宋_GB2312"/>
              </w:rPr>
              <w:t xml:space="preserve"> 35 件（互动展品不少于展品总数的 90%）</w:t>
            </w:r>
            <w:r>
              <w:rPr>
                <w:rFonts w:ascii="仿宋_GB2312" w:hAnsi="仿宋_GB2312" w:cs="仿宋_GB2312" w:eastAsia="仿宋_GB2312"/>
              </w:rPr>
              <w:t>。</w:t>
            </w:r>
          </w:p>
          <w:p>
            <w:pPr>
              <w:pStyle w:val="null3"/>
            </w:pPr>
            <w:r>
              <w:rPr>
                <w:rFonts w:ascii="仿宋_GB2312" w:hAnsi="仿宋_GB2312" w:cs="仿宋_GB2312" w:eastAsia="仿宋_GB2312"/>
              </w:rPr>
              <w:t>需安排人员配合市科技馆的临展讲解、科普活动开展等工作；临展展陈设施设备出现问题时及时进行维修理</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.展览面积：</w:t>
            </w:r>
            <w:r>
              <w:rPr>
                <w:rFonts w:ascii="仿宋_GB2312" w:hAnsi="仿宋_GB2312" w:cs="仿宋_GB2312" w:eastAsia="仿宋_GB2312"/>
              </w:rPr>
              <w:t>约</w:t>
            </w:r>
            <w:r>
              <w:rPr>
                <w:rFonts w:ascii="仿宋_GB2312" w:hAnsi="仿宋_GB2312" w:cs="仿宋_GB2312" w:eastAsia="仿宋_GB2312"/>
              </w:rPr>
              <w:t>350-400</w:t>
            </w:r>
            <w:r>
              <w:rPr>
                <w:rFonts w:ascii="仿宋_GB2312" w:hAnsi="仿宋_GB2312" w:cs="仿宋_GB2312" w:eastAsia="仿宋_GB2312"/>
              </w:rPr>
              <w:t>平方米。</w:t>
            </w:r>
          </w:p>
          <w:p>
            <w:pPr>
              <w:pStyle w:val="null3"/>
            </w:pPr>
            <w:r>
              <w:rPr>
                <w:rFonts w:ascii="仿宋_GB2312" w:hAnsi="仿宋_GB2312" w:cs="仿宋_GB2312" w:eastAsia="仿宋_GB2312"/>
              </w:rPr>
              <w:t>6</w:t>
            </w:r>
            <w:r>
              <w:rPr>
                <w:rFonts w:ascii="仿宋_GB2312" w:hAnsi="仿宋_GB2312" w:cs="仿宋_GB2312" w:eastAsia="仿宋_GB2312"/>
              </w:rPr>
              <w:t>.展出时间：</w:t>
            </w:r>
            <w:r>
              <w:rPr>
                <w:rFonts w:ascii="仿宋_GB2312" w:hAnsi="仿宋_GB2312" w:cs="仿宋_GB2312" w:eastAsia="仿宋_GB2312"/>
              </w:rPr>
              <w:t>2</w:t>
            </w:r>
            <w:r>
              <w:rPr>
                <w:rFonts w:ascii="仿宋_GB2312" w:hAnsi="仿宋_GB2312" w:cs="仿宋_GB2312" w:eastAsia="仿宋_GB2312"/>
              </w:rPr>
              <w:t>个月。</w:t>
            </w:r>
          </w:p>
          <w:p>
            <w:pPr>
              <w:pStyle w:val="null3"/>
            </w:pPr>
            <w:r>
              <w:rPr>
                <w:rFonts w:ascii="仿宋_GB2312" w:hAnsi="仿宋_GB2312" w:cs="仿宋_GB2312" w:eastAsia="仿宋_GB2312"/>
                <w:b/>
              </w:rPr>
              <w:t>二、服务质量、标准、期限、效率等要求</w:t>
            </w:r>
          </w:p>
          <w:p>
            <w:pPr>
              <w:pStyle w:val="null3"/>
            </w:pPr>
            <w:r>
              <w:rPr>
                <w:rFonts w:ascii="仿宋_GB2312" w:hAnsi="仿宋_GB2312" w:cs="仿宋_GB2312" w:eastAsia="仿宋_GB2312"/>
              </w:rPr>
              <w:t>1、供应商整体设计展厅布展效果图;</w:t>
            </w:r>
          </w:p>
          <w:p>
            <w:pPr>
              <w:pStyle w:val="null3"/>
            </w:pPr>
            <w:r>
              <w:rPr>
                <w:rFonts w:ascii="仿宋_GB2312" w:hAnsi="仿宋_GB2312" w:cs="仿宋_GB2312" w:eastAsia="仿宋_GB2312"/>
              </w:rPr>
              <w:t>2、供应商与采购人详细沟通展览的布展效果相关内容，并根据采购人要求，完善展厅布展效果设计，与采购人确定最终布展效果;</w:t>
            </w:r>
          </w:p>
          <w:p>
            <w:pPr>
              <w:pStyle w:val="null3"/>
            </w:pPr>
            <w:r>
              <w:rPr>
                <w:rFonts w:ascii="仿宋_GB2312" w:hAnsi="仿宋_GB2312" w:cs="仿宋_GB2312" w:eastAsia="仿宋_GB2312"/>
              </w:rPr>
              <w:t>3、供应商与采购人交流各方进场相关事宜，包括环境搭建进场、展览展项及布展团队人员进场等，并安排各方团队进场进行布展;</w:t>
            </w:r>
          </w:p>
          <w:p>
            <w:pPr>
              <w:pStyle w:val="null3"/>
            </w:pPr>
            <w:r>
              <w:rPr>
                <w:rFonts w:ascii="仿宋_GB2312" w:hAnsi="仿宋_GB2312" w:cs="仿宋_GB2312" w:eastAsia="仿宋_GB2312"/>
              </w:rPr>
              <w:t>4、现场布展过程中，供应商随时与采购人进行交流，确保展览总体效</w:t>
            </w:r>
            <w:r>
              <w:rPr>
                <w:rFonts w:ascii="仿宋_GB2312" w:hAnsi="仿宋_GB2312" w:cs="仿宋_GB2312" w:eastAsia="仿宋_GB2312"/>
              </w:rPr>
              <w:t>果</w:t>
            </w:r>
            <w:r>
              <w:rPr>
                <w:rFonts w:ascii="仿宋_GB2312" w:hAnsi="仿宋_GB2312" w:cs="仿宋_GB2312" w:eastAsia="仿宋_GB2312"/>
              </w:rPr>
              <w:t>;</w:t>
            </w:r>
          </w:p>
          <w:p>
            <w:pPr>
              <w:pStyle w:val="null3"/>
            </w:pPr>
            <w:r>
              <w:rPr>
                <w:rFonts w:ascii="仿宋_GB2312" w:hAnsi="仿宋_GB2312" w:cs="仿宋_GB2312" w:eastAsia="仿宋_GB2312"/>
              </w:rPr>
              <w:t>5、供应商将严格按照定的开展时间要求完成现场布展工作，并与采购人完成布展验收工作;</w:t>
            </w:r>
          </w:p>
          <w:p>
            <w:pPr>
              <w:pStyle w:val="null3"/>
            </w:pPr>
            <w:r>
              <w:rPr>
                <w:rFonts w:ascii="仿宋_GB2312" w:hAnsi="仿宋_GB2312" w:cs="仿宋_GB2312" w:eastAsia="仿宋_GB2312"/>
              </w:rPr>
              <w:t>6、供应商对采购人完成展览及展项的培训工作;</w:t>
            </w:r>
          </w:p>
          <w:p>
            <w:pPr>
              <w:pStyle w:val="null3"/>
            </w:pPr>
            <w:r>
              <w:rPr>
                <w:rFonts w:ascii="仿宋_GB2312" w:hAnsi="仿宋_GB2312" w:cs="仿宋_GB2312" w:eastAsia="仿宋_GB2312"/>
                <w:sz w:val="21"/>
              </w:rPr>
              <w:t>7、供应商负责展览期中各类协调工作的管理。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满足采购需求并配合市科技馆的临展及讲解安排进行讲解、科普活动等工作；临展展陈设施设备出现问题时及时进行维修处理。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满足采购需求并配合市科技馆的临展及讲解安排进行讲解、科普活动等工作；临展展陈设施设备出现问题时及时进行维修处理。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满足采购需求并配合市科技馆的临展及讲解安排进行讲解、科普活动等工作；临展展陈设施设备出现问题时及时进行维修处理。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满足本项目建设需要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满足本项目建设需要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满足本项目建设需要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自合同签订之日起至活动结束并撤展完成，合同签订之日起5日内完成布展，展出时间2个月，结束展出5日内完成撤展。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自合同签订之日起至活动结束并撤展完成，合同签订之日起5日内完成布展，展出时间2个月，结束展出5日内完成撤展。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自合同签订之日起至活动结束并撤展完成，合同签订之日起5日内完成布展，展出时间2个月，结束展出5日内完成撤展。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渭南市科技馆一楼临时展厅，展览面积：约350-400平方米。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渭南市科技馆一楼临时展厅，展览面积：约350-400平方米。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渭南市科技馆一楼临时展厅，展览面积：约350-400平方米。</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展览布展完成后由成交供应商向采购人提出验收申请，采购人根据磋商文件、成交供应商响应文件及合同组织相关人员进行验收。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展览布展完成后由成交供应商向采购人提出验收申请，采购人根据磋商文件、成交供应商响应文件及合同组织相关人员进行验收。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展览布展完成后由成交供应商向采购人提出验收申请，采购人根据磋商文件、成交供应商响应文件及合同组织相关人员进行验收。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预付款，布展完成并验收合格 ，达到付款条件起7个工作日内，支付合同总金额的60.0%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进度款，按合同要求完成展览工作，撤展后，达到付款条件起7个工作日内，支付合同总金额的40.0%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预付款，布展完成并验收合格，达到付款条件起7个工作日内，支付合同总金额的60.0%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进度款，按合同要求完成展览工作，撤展后，达到付款条件起7个工作日内，支付合同总金额的40.0%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预付款，布展完成并验收合格，达到付款条件起7个工作日内，支付合同总金额的60.0%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按合同要求完成展览工作，撤展后，达到付款条件起7个工作日内，支付合同总金额的40.0%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为保证项目质量及及时性，投标人可以同时参与多个包，但最多只能中一个包。若投标人为多个包排序第一的中标候选人，则按照从包1到包2到包3的评审顺序，成为前一包的排序第一中标候选人，不做为后续包的中标候选人推荐。 3.4.2、投标保证金注意事项：（1）以转账、支票、汇票等方式递交投标保证金的，须从供应商基本账户转出。（2）以电子保函形式交纳投标保证金的，供应商应在投标截止时间前将电子保函扫描件发送至代理机构邮箱（sxtwgs@163.com）；供应商应在投标文件中附电子保函扫描件。 3.4.3、中标人应在成交结果公示后2个工作日内提供纸质版投标文件两份、电子版（PDF格式）一份（经编标工具生成的投标文件进行下载、打印），提供的纸质版文件内容确保与线上电子投标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政府采购供应商拒绝政府采购领域商业贿赂承诺书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响应文件按照磋商文件要求进行签署、盖章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自合同签订之日起至活动结束并撤展完成，合同签订之日起5日内完成布展，展出时间2个月，结束展出5日内完成撤展。</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完全理解并接受磋商文件的约束</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其它资料.pdf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政府采购供应商拒绝政府采购领域商业贿赂承诺书.pdf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响应文件按照磋商文件要求进行签署、盖章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自合同签订之日起至活动结束并撤展完成，合同签订之日起5日内完成布展，展出时间2个月，结束展出5日内完成撤展。</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完全理解并接受磋商文件的约束</w:t>
            </w:r>
          </w:p>
        </w:tc>
        <w:tc>
          <w:tcPr>
            <w:tcW w:type="dxa" w:w="1661"/>
          </w:tcPr>
          <w:p>
            <w:pPr>
              <w:pStyle w:val="null3"/>
            </w:pPr>
            <w:r>
              <w:rPr>
                <w:rFonts w:ascii="仿宋_GB2312" w:hAnsi="仿宋_GB2312" w:cs="仿宋_GB2312" w:eastAsia="仿宋_GB2312"/>
              </w:rPr>
              <w:t>商务应答表.pdf 服务内容及服务要求应答表.pdf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其它资料.pdf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政府采购供应商拒绝政府采购领域商业贿赂承诺书.pdf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响应文件按照磋商文件要求进行签署、盖章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自合同签订之日起至活动结束并撤展完成，合同签订之日起5日内完成布展，展出时间2个月，结束展出5日内完成撤展。</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完全理解并接受磋商文件的约束</w:t>
            </w:r>
          </w:p>
        </w:tc>
        <w:tc>
          <w:tcPr>
            <w:tcW w:type="dxa" w:w="1661"/>
          </w:tcPr>
          <w:p>
            <w:pPr>
              <w:pStyle w:val="null3"/>
            </w:pPr>
            <w:r>
              <w:rPr>
                <w:rFonts w:ascii="仿宋_GB2312" w:hAnsi="仿宋_GB2312" w:cs="仿宋_GB2312" w:eastAsia="仿宋_GB2312"/>
              </w:rPr>
              <w:t>商务应答表.pdf 服务内容及服务要求应答表.pdf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其它资料.pdf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一、评审内容：针对本项目提供质量保证方案，包括但不限于：①质量目标；②质量保障措施； 二、评审标准：提供详细、合理、科学可行的方案，方案符合本项目采购需求有针对性，以上2项，以序号①、②为项数，内容无缺项、无漏项且无缺陷的得4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一、评审内容、针对本次项目具有可行的应急预案，确保临展安全有序进行，包括但不限于①应急事件处置流程；②应急保障措施；③应急人员保障等。 二、评审标准：各个部分内容全面、合理、逻辑清晰、阐述条理清晰且描述详细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应急预案pdf.pdf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括但不限于：①布展设计方案；②布展施工方案；③现场管理方案④撤展方案；二、评审标准：各个部分内容全面、合理、逻辑清晰、阐述条理清晰且描述详细符合本项目采购需求有针对性，以上4项，以序号①、②、③、④为项数，内容无缺项、无漏项且无缺陷的得20分，其中每有一项内容存在缺项或漏项的扣5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实施方案pdf.pdf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供应商提供针对本项目团队成员配备方案，包括：①组织架构②拟派人员名单、数量及相关证件、岗位职责及工作经验，以上内容无缺项、无漏项且无缺陷的得10分，其中每有一项内容存在缺项或漏项的扣5分，每项内容中每有一处存在缺陷的扣0.5分，该项分值扣完为止，未提供不得分。 三、赋分说明：“缺陷”是指人员配备不能满足本项目实施要求，项目组织机构框架不清晰，岗位分工与岗位职责未作出明确界定；方案直接套用其他项目内容；方案与本项目实际需求契合度不高，针对性不足；相关内容表述笼统、编制深度不足；其他不符合项目履约条件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服务团队.pdf</w:t>
            </w:r>
          </w:p>
        </w:tc>
      </w:tr>
      <w:tr>
        <w:tc>
          <w:tcPr>
            <w:tcW w:type="dxa" w:w="831"/>
            <w:vMerge/>
          </w:tcPr>
          <w:p/>
        </w:tc>
        <w:tc>
          <w:tcPr>
            <w:tcW w:type="dxa" w:w="1661"/>
          </w:tcPr>
          <w:p>
            <w:pPr>
              <w:pStyle w:val="null3"/>
            </w:pPr>
            <w:r>
              <w:rPr>
                <w:rFonts w:ascii="仿宋_GB2312" w:hAnsi="仿宋_GB2312" w:cs="仿宋_GB2312" w:eastAsia="仿宋_GB2312"/>
              </w:rPr>
              <w:t>公司管理制度</w:t>
            </w:r>
          </w:p>
        </w:tc>
        <w:tc>
          <w:tcPr>
            <w:tcW w:type="dxa" w:w="2492"/>
          </w:tcPr>
          <w:p>
            <w:pPr>
              <w:pStyle w:val="null3"/>
            </w:pPr>
            <w:r>
              <w:rPr>
                <w:rFonts w:ascii="仿宋_GB2312" w:hAnsi="仿宋_GB2312" w:cs="仿宋_GB2312" w:eastAsia="仿宋_GB2312"/>
              </w:rPr>
              <w:t>供应商具有完善的公司管理制度(包括服务质量控制制度、财务管理制度、人事管理制度、风险控制制度),每提供一种制度得2.0分，满分8.0分。 注：提供管理制度的复印件(或扫描件)并加盖供应商公章；未提供或未按要求提供的不得分。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公司管理制度.pdf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根据供应商提供的针对本项目的增值服务进行评审，每提供一条合理、有针对性的增值服务的得1分，最多得3分。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全部响应以下要求并提供书面承诺的，每项得2分，满分12分： 1.接到采购人通知后30分钟内作出响应，并在1小时(不含1小时)-2小时(含2小时)内 给出处理方案 2.临展前对采购人人员开展技术操作与故障应急培训； 3.承诺项目不转包、不分包，布展团队为自有人员； 4.承诺搭建材料符合国家环保与消防安全标准，不使用劣质材料； 5. 承诺承担搭建及临展期间全部安全责任； 6.承诺按采购人要求时限完成布展、撤展。</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供应商提供自2023年1月至今类似项目业绩，每项业绩得4分，最高得12分。 注：业绩须提供合同扫描件并加盖供应商公章，时间以合同签订时间为准，不提供的不得分。（合同中必须能清楚地反映出合同时间、合同金额、合同内容、签字盖章页）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价格分统一采用低价优先法，即满足磋商文件要求且最后报价最低的供应商的价格为磋商基准价，其价格分为满分25 分。其他供应商的价格分统一按照下列公式计算： 磋商报价得分＝（磋商基准价/最后磋商报价）×25％×100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一、评审内容：针对本项目提供质量保证方案，包括但不限于：①质量目标；②质量保障措施； 二、评审标准：提供详细、合理、科学可行的方案，方案符合本项目采购需求有针对性，以上2项，以序号①、②为项数，内容无缺项、无漏项且无缺陷的得4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一、评审内容、针对本次项目具有可行的应急预案，确保临展安全有序进行，包括但不限于①应急事件处置流程；②应急保障措施；③应急人员保障等。 二、评审标准：各个部分内容全面、合理、逻辑清晰、阐述条理清晰且描述详细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括但不限于：①布展设计方案；②布展施工方案；③现场管理方案④撤展方案；二、评审标准：各个部分内容全面、合理、逻辑清晰、阐述条理清晰且描述详细符合本项目采购需求有针对性，以上4项，以序号①、②、③、④为项数，内容无缺项、无漏项且无缺陷的得20分，其中每有一项内容存在缺项或漏项的扣5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供应商提供针对本项目团队成员配备方案，包括：①组织架构②拟派人员名单、数量及相关证件、岗位职责及工作经验，以上内容无缺项、无漏项且无缺陷的得10分，其中每有一项内容存在缺项或漏项的扣5分，每项内容中每有一处存在缺陷的扣0.5分，该项分值扣完为止，未提供不得分。 三、赋分说明：“缺陷”是指人员配备不能满足本项目实施要求，项目组织机构框架不清晰，岗位分工与岗位职责未作出明确界定；方案直接套用其他项目内容；方案与本项目实际需求契合度不高，针对性不足；相关内容表述笼统、编制深度不足；其他不符合项目履约条件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服务团队.pdf</w:t>
            </w:r>
          </w:p>
        </w:tc>
      </w:tr>
      <w:tr>
        <w:tc>
          <w:tcPr>
            <w:tcW w:type="dxa" w:w="831"/>
            <w:vMerge/>
          </w:tcPr>
          <w:p/>
        </w:tc>
        <w:tc>
          <w:tcPr>
            <w:tcW w:type="dxa" w:w="1661"/>
          </w:tcPr>
          <w:p>
            <w:pPr>
              <w:pStyle w:val="null3"/>
            </w:pPr>
            <w:r>
              <w:rPr>
                <w:rFonts w:ascii="仿宋_GB2312" w:hAnsi="仿宋_GB2312" w:cs="仿宋_GB2312" w:eastAsia="仿宋_GB2312"/>
              </w:rPr>
              <w:t>公司管理制度</w:t>
            </w:r>
          </w:p>
        </w:tc>
        <w:tc>
          <w:tcPr>
            <w:tcW w:type="dxa" w:w="2492"/>
          </w:tcPr>
          <w:p>
            <w:pPr>
              <w:pStyle w:val="null3"/>
            </w:pPr>
            <w:r>
              <w:rPr>
                <w:rFonts w:ascii="仿宋_GB2312" w:hAnsi="仿宋_GB2312" w:cs="仿宋_GB2312" w:eastAsia="仿宋_GB2312"/>
              </w:rPr>
              <w:t>供应商具有完善的公司管理制度(包括服务质量控制制度、财务管理制度、人事管理制度、风险控制制度),每提供一种制度得2.0分，满分8.0分。 注：提供管理制度的复印件(或扫描件)并加盖供应商公章；未提供或未按要求提供的不得分。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公司管理制度.pdf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根据供应商提供的针对本项目的增值服务进行评审，每提供一条合理、有针对性的增值服务的得1分，最多得3分。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全部响应以下要求并提供书面承诺的，每项得2分，满分12分： 1.接到采购人通知后30分钟内作出响应，并在1小时(不含1小时)-2小时(含2小时)内 给出处理方案 2.临展前对采购人人员开展技术操作与故障应急培训； 3.承诺项目不转包、不分包，布展团队为自有人员； 4.承诺搭建材料符合国家环保与消防安全标准，不使用劣质材料； 5. 承诺承担搭建及临展期间全部安全责任； 6.承诺按采购人要求时限完成布展、撤展。</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供应商提供自2023年1月至今类似项目业绩，每项业绩得4分，最高得12分。 注：业绩须提供合同扫描件并加盖供应商公章，时间以合同签订时间为准，不提供的不得分。（合同中必须能清楚地反映出合同时间、合同金额、合同内容、签字盖章页）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价格分统一采用低价优先法，即满足磋商文件要求且最后报价最低的供应商的价格为磋商基准价，其价格分为满分25 分。其他供应商的价格分统一按照下列公式计算： 磋商报价得分＝（磋商基准价/最后磋商报价）×25％×100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一、评审内容：针对本项目提供质量保证方案，包括但不限于：①质量目标；②质量保障措施； 二、评审标准：提供详细、合理、科学可行的方案，方案符合本项目采购需求有针对性，以上2项，以序号①、②为项数，内容无缺项、无漏项且无缺陷的得4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一、评审内容、针对本次项目具有可行的应急预案，确保临展安全有序进行，包括但不限于①应急事件处置流程；②应急保障措施；③应急人员保障等。 二、评审标准：各个部分内容全面、合理、逻辑清晰、阐述条理清晰且描述详细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括但不限于：①布展设计方案；②布展施工方案；③现场管理方案④撤展方案；二、评审标准：各个部分内容全面、合理、逻辑清晰、阐述条理清晰且描述详细符合本项目采购需求有针对性，以上4项，以序号①、②、③、④为项数，内容无缺项、无漏项且无缺陷的得20分，其中每有一项内容存在缺项或漏项的扣5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实施方案pdf.pdf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供应商提供针对本项目团队成员配备方案，包括：①组织架构②拟派人员名单、数量及相关证件、岗位职责及工作经验，以上内容无缺项、无漏项且无缺陷的得10分，其中每有一项内容存在缺项或漏项的扣5分，每项内容中每有一处存在缺陷的扣0.5分，该项分值扣完为止，未提供不得分。 三、赋分说明：“缺陷”是指人员配备不能满足本项目实施要求，项目组织机构框架不清晰，岗位分工与岗位职责未作出明确界定；方案直接套用其他项目内容；方案与本项目实际需求契合度不高，针对性不足；相关内容表述笼统、编制深度不足；其他不符合项目履约条件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服务团队.pdf</w:t>
            </w:r>
          </w:p>
        </w:tc>
      </w:tr>
      <w:tr>
        <w:tc>
          <w:tcPr>
            <w:tcW w:type="dxa" w:w="831"/>
            <w:vMerge/>
          </w:tcPr>
          <w:p/>
        </w:tc>
        <w:tc>
          <w:tcPr>
            <w:tcW w:type="dxa" w:w="1661"/>
          </w:tcPr>
          <w:p>
            <w:pPr>
              <w:pStyle w:val="null3"/>
            </w:pPr>
            <w:r>
              <w:rPr>
                <w:rFonts w:ascii="仿宋_GB2312" w:hAnsi="仿宋_GB2312" w:cs="仿宋_GB2312" w:eastAsia="仿宋_GB2312"/>
              </w:rPr>
              <w:t>公司管理制度</w:t>
            </w:r>
          </w:p>
        </w:tc>
        <w:tc>
          <w:tcPr>
            <w:tcW w:type="dxa" w:w="2492"/>
          </w:tcPr>
          <w:p>
            <w:pPr>
              <w:pStyle w:val="null3"/>
            </w:pPr>
            <w:r>
              <w:rPr>
                <w:rFonts w:ascii="仿宋_GB2312" w:hAnsi="仿宋_GB2312" w:cs="仿宋_GB2312" w:eastAsia="仿宋_GB2312"/>
              </w:rPr>
              <w:t>供应商具有完善的公司管理制度(包括服务质量控制制度、财务管理制度、人事管理制度、风险控制制度),每提供一种制度得2.0分，满分8.0分。 注：提供管理制度的复印件(或扫描件)并加盖供应商公章；未提供或未按要求提供的不得分。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公司管理制度.pdf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根据供应商提供的针对本项目的增值服务进行评审，每提供一条合理、有针对性的增值服务的得1分，最多得3分。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全部响应以下要求并提供书面承诺的，每项得2分，满分12分： 1.接到采购人通知后30分钟内作出响应，并在1小时(不含1小时)-2小时(含2小时)内 给出处理方案 2.临展前对采购人人员开展技术操作与故障应急培训； 3.承诺项目不转包、不分包，布展团队为自有人员； 4.承诺搭建材料符合国家环保与消防安全标准，不使用劣质材料； 5. 承诺承担搭建及临展期间全部安全责任； 6.承诺按采购人要求时限完成布展、撤展。</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供应商提供自2023年1月至今类似项目业绩，每项业绩得4分，最高得12分。 注：业绩须提供合同扫描件并加盖供应商公章，时间以合同签订时间为准，不提供的不得分。（合同中必须能清楚地反映出合同时间、合同金额、合同内容、签字盖章页）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价格分统一采用低价优先法，即满足磋商文件要求且最后报价最低的供应商的价格为磋商基准价，其价格分为满分25 分。其他供应商的价格分统一按照下列公式计算： 磋商报价得分＝（磋商基准价/最后磋商报价）×25％×100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详见附件：业绩表</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详见附件：服务承诺.pdf</w:t>
      </w:r>
    </w:p>
    <w:p>
      <w:pPr>
        <w:pStyle w:val="null3"/>
        <w:ind w:firstLine="960"/>
      </w:pPr>
      <w:r>
        <w:rPr>
          <w:rFonts w:ascii="仿宋_GB2312" w:hAnsi="仿宋_GB2312" w:cs="仿宋_GB2312" w:eastAsia="仿宋_GB2312"/>
        </w:rPr>
        <w:t>详见附件：服务团队.pdf</w:t>
      </w:r>
    </w:p>
    <w:p>
      <w:pPr>
        <w:pStyle w:val="null3"/>
        <w:ind w:firstLine="960"/>
      </w:pPr>
      <w:r>
        <w:rPr>
          <w:rFonts w:ascii="仿宋_GB2312" w:hAnsi="仿宋_GB2312" w:cs="仿宋_GB2312" w:eastAsia="仿宋_GB2312"/>
        </w:rPr>
        <w:t>详见附件：公司管理制度.pdf</w:t>
      </w:r>
    </w:p>
    <w:p>
      <w:pPr>
        <w:pStyle w:val="null3"/>
        <w:ind w:firstLine="960"/>
      </w:pPr>
      <w:r>
        <w:rPr>
          <w:rFonts w:ascii="仿宋_GB2312" w:hAnsi="仿宋_GB2312" w:cs="仿宋_GB2312" w:eastAsia="仿宋_GB2312"/>
        </w:rPr>
        <w:t>详见附件：实施方案pdf.pdf</w:t>
      </w:r>
    </w:p>
    <w:p>
      <w:pPr>
        <w:pStyle w:val="null3"/>
        <w:ind w:firstLine="960"/>
      </w:pPr>
      <w:r>
        <w:rPr>
          <w:rFonts w:ascii="仿宋_GB2312" w:hAnsi="仿宋_GB2312" w:cs="仿宋_GB2312" w:eastAsia="仿宋_GB2312"/>
        </w:rPr>
        <w:t>详见附件：应急预案pdf.pdf</w:t>
      </w:r>
    </w:p>
    <w:p>
      <w:pPr>
        <w:pStyle w:val="null3"/>
        <w:ind w:firstLine="960"/>
      </w:pPr>
      <w:r>
        <w:rPr>
          <w:rFonts w:ascii="仿宋_GB2312" w:hAnsi="仿宋_GB2312" w:cs="仿宋_GB2312" w:eastAsia="仿宋_GB2312"/>
        </w:rPr>
        <w:t>详见附件：增值服务.pdf</w:t>
      </w:r>
    </w:p>
    <w:p>
      <w:pPr>
        <w:pStyle w:val="null3"/>
        <w:ind w:firstLine="960"/>
      </w:pPr>
      <w:r>
        <w:rPr>
          <w:rFonts w:ascii="仿宋_GB2312" w:hAnsi="仿宋_GB2312" w:cs="仿宋_GB2312" w:eastAsia="仿宋_GB2312"/>
        </w:rPr>
        <w:t>详见附件：质量保证方案.pdf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详见附件：其它资料.pdf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详见附件：质量保证方案.pdf</w:t>
      </w:r>
    </w:p>
    <w:p>
      <w:pPr>
        <w:pStyle w:val="null3"/>
        <w:ind w:firstLine="960"/>
      </w:pPr>
      <w:r>
        <w:rPr>
          <w:rFonts w:ascii="仿宋_GB2312" w:hAnsi="仿宋_GB2312" w:cs="仿宋_GB2312" w:eastAsia="仿宋_GB2312"/>
        </w:rPr>
        <w:t>详见附件：服务承诺.pdf</w:t>
      </w:r>
    </w:p>
    <w:p>
      <w:pPr>
        <w:pStyle w:val="null3"/>
        <w:ind w:firstLine="960"/>
      </w:pPr>
      <w:r>
        <w:rPr>
          <w:rFonts w:ascii="仿宋_GB2312" w:hAnsi="仿宋_GB2312" w:cs="仿宋_GB2312" w:eastAsia="仿宋_GB2312"/>
        </w:rPr>
        <w:t>详见附件：服务团队.pdf</w:t>
      </w:r>
    </w:p>
    <w:p>
      <w:pPr>
        <w:pStyle w:val="null3"/>
        <w:ind w:firstLine="960"/>
      </w:pPr>
      <w:r>
        <w:rPr>
          <w:rFonts w:ascii="仿宋_GB2312" w:hAnsi="仿宋_GB2312" w:cs="仿宋_GB2312" w:eastAsia="仿宋_GB2312"/>
        </w:rPr>
        <w:t>详见附件：公司管理制度.pdf</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详见附件：应急预案</w:t>
      </w:r>
    </w:p>
    <w:p>
      <w:pPr>
        <w:pStyle w:val="null3"/>
        <w:ind w:firstLine="960"/>
      </w:pPr>
      <w:r>
        <w:rPr>
          <w:rFonts w:ascii="仿宋_GB2312" w:hAnsi="仿宋_GB2312" w:cs="仿宋_GB2312" w:eastAsia="仿宋_GB2312"/>
        </w:rPr>
        <w:t>详见附件：增值服务.pdf</w:t>
      </w:r>
    </w:p>
    <w:p>
      <w:pPr>
        <w:pStyle w:val="null3"/>
        <w:ind w:firstLine="960"/>
      </w:pPr>
      <w:r>
        <w:rPr>
          <w:rFonts w:ascii="仿宋_GB2312" w:hAnsi="仿宋_GB2312" w:cs="仿宋_GB2312" w:eastAsia="仿宋_GB2312"/>
        </w:rPr>
        <w:t>详见附件：业绩表.pdf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详见附件：其它资料.pdf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详见附件：质量保证方案.pdf</w:t>
      </w:r>
    </w:p>
    <w:p>
      <w:pPr>
        <w:pStyle w:val="null3"/>
        <w:ind w:firstLine="960"/>
      </w:pPr>
      <w:r>
        <w:rPr>
          <w:rFonts w:ascii="仿宋_GB2312" w:hAnsi="仿宋_GB2312" w:cs="仿宋_GB2312" w:eastAsia="仿宋_GB2312"/>
        </w:rPr>
        <w:t>详见附件：服务承诺.pdf</w:t>
      </w:r>
    </w:p>
    <w:p>
      <w:pPr>
        <w:pStyle w:val="null3"/>
        <w:ind w:firstLine="960"/>
      </w:pPr>
      <w:r>
        <w:rPr>
          <w:rFonts w:ascii="仿宋_GB2312" w:hAnsi="仿宋_GB2312" w:cs="仿宋_GB2312" w:eastAsia="仿宋_GB2312"/>
        </w:rPr>
        <w:t>详见附件：服务团队.pdf</w:t>
      </w:r>
    </w:p>
    <w:p>
      <w:pPr>
        <w:pStyle w:val="null3"/>
        <w:ind w:firstLine="960"/>
      </w:pPr>
      <w:r>
        <w:rPr>
          <w:rFonts w:ascii="仿宋_GB2312" w:hAnsi="仿宋_GB2312" w:cs="仿宋_GB2312" w:eastAsia="仿宋_GB2312"/>
        </w:rPr>
        <w:t>详见附件：公司管理制度.pdf</w:t>
      </w:r>
    </w:p>
    <w:p>
      <w:pPr>
        <w:pStyle w:val="null3"/>
        <w:ind w:firstLine="960"/>
      </w:pPr>
      <w:r>
        <w:rPr>
          <w:rFonts w:ascii="仿宋_GB2312" w:hAnsi="仿宋_GB2312" w:cs="仿宋_GB2312" w:eastAsia="仿宋_GB2312"/>
        </w:rPr>
        <w:t>详见附件：实施方案pdf.pdf</w:t>
      </w:r>
    </w:p>
    <w:p>
      <w:pPr>
        <w:pStyle w:val="null3"/>
        <w:ind w:firstLine="960"/>
      </w:pPr>
      <w:r>
        <w:rPr>
          <w:rFonts w:ascii="仿宋_GB2312" w:hAnsi="仿宋_GB2312" w:cs="仿宋_GB2312" w:eastAsia="仿宋_GB2312"/>
        </w:rPr>
        <w:t>详见附件：应急预案</w:t>
      </w:r>
    </w:p>
    <w:p>
      <w:pPr>
        <w:pStyle w:val="null3"/>
        <w:ind w:firstLine="960"/>
      </w:pPr>
      <w:r>
        <w:rPr>
          <w:rFonts w:ascii="仿宋_GB2312" w:hAnsi="仿宋_GB2312" w:cs="仿宋_GB2312" w:eastAsia="仿宋_GB2312"/>
        </w:rPr>
        <w:t>详见附件：增值服务.pdf</w:t>
      </w:r>
    </w:p>
    <w:p>
      <w:pPr>
        <w:pStyle w:val="null3"/>
        <w:ind w:firstLine="960"/>
      </w:pPr>
      <w:r>
        <w:rPr>
          <w:rFonts w:ascii="仿宋_GB2312" w:hAnsi="仿宋_GB2312" w:cs="仿宋_GB2312" w:eastAsia="仿宋_GB2312"/>
        </w:rPr>
        <w:t>详见附件：业绩表.pdf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详见附件：其它资料.pdf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