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4757B">
      <w:pPr>
        <w:pStyle w:val="4"/>
        <w:keepNext w:val="0"/>
        <w:keepLines w:val="0"/>
        <w:pageBreakBefore w:val="0"/>
        <w:kinsoku/>
        <w:overflowPunct/>
        <w:topLinePunct w:val="0"/>
        <w:bidi w:val="0"/>
        <w:adjustRightInd/>
        <w:spacing w:line="360" w:lineRule="auto"/>
        <w:ind w:right="0" w:rightChars="0" w:firstLine="0" w:firstLine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一、项目概况</w:t>
      </w:r>
    </w:p>
    <w:p w14:paraId="051880B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sz w:val="28"/>
          <w:szCs w:val="28"/>
          <w:highlight w:val="none"/>
          <w:lang w:val="en-US" w:eastAsia="zh-Hans"/>
        </w:rPr>
      </w:pPr>
      <w:r>
        <w:rPr>
          <w:rFonts w:hint="eastAsia" w:ascii="宋体" w:hAnsi="宋体" w:eastAsia="宋体" w:cs="宋体"/>
          <w:color w:val="auto"/>
          <w:sz w:val="28"/>
          <w:szCs w:val="28"/>
          <w:highlight w:val="none"/>
        </w:rPr>
        <w:t>为了更好服务学校教职员工，提高教职工的生活质量，促进学校和谐发展，切实保证全体教职工的健康发展等；做好学校食品安全管理工作等。食品安全及食品饭菜质量要符合上级教育行政管理部门、食药监等食品卫生管理部门、及学校相关制度要求。现由专业餐饮公司为教职工提供就餐服务。西安市航天城第一中学</w:t>
      </w:r>
      <w:r>
        <w:rPr>
          <w:rFonts w:hint="eastAsia" w:ascii="宋体" w:hAnsi="宋体" w:eastAsia="宋体" w:cs="宋体"/>
          <w:color w:val="auto"/>
          <w:sz w:val="28"/>
          <w:szCs w:val="28"/>
          <w:highlight w:val="none"/>
          <w:lang w:val="en-US" w:eastAsia="zh-CN"/>
        </w:rPr>
        <w:t>2026年度</w:t>
      </w:r>
      <w:r>
        <w:rPr>
          <w:rFonts w:hint="eastAsia" w:ascii="宋体" w:hAnsi="宋体" w:eastAsia="宋体" w:cs="宋体"/>
          <w:color w:val="auto"/>
          <w:sz w:val="28"/>
          <w:szCs w:val="28"/>
          <w:highlight w:val="none"/>
        </w:rPr>
        <w:t>教职工约</w:t>
      </w:r>
      <w:r>
        <w:rPr>
          <w:rFonts w:hint="eastAsia" w:ascii="宋体" w:hAnsi="宋体" w:eastAsia="宋体" w:cs="宋体"/>
          <w:color w:val="auto"/>
          <w:sz w:val="28"/>
          <w:szCs w:val="28"/>
          <w:highlight w:val="none"/>
          <w:lang w:val="en-US" w:eastAsia="zh-CN"/>
        </w:rPr>
        <w:t>198</w:t>
      </w:r>
      <w:r>
        <w:rPr>
          <w:rFonts w:hint="eastAsia" w:ascii="宋体" w:hAnsi="宋体" w:eastAsia="宋体" w:cs="宋体"/>
          <w:color w:val="auto"/>
          <w:sz w:val="28"/>
          <w:szCs w:val="28"/>
          <w:highlight w:val="none"/>
        </w:rPr>
        <w:t>人，</w:t>
      </w:r>
      <w:r>
        <w:rPr>
          <w:rFonts w:hint="eastAsia" w:ascii="宋体" w:hAnsi="宋体" w:eastAsia="宋体" w:cs="宋体"/>
          <w:color w:val="auto"/>
          <w:sz w:val="28"/>
          <w:szCs w:val="28"/>
          <w:highlight w:val="none"/>
          <w:lang w:val="en-US" w:eastAsia="zh-CN"/>
        </w:rPr>
        <w:t>2027年度教职工约224人</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承担采购人临时性活动产生的用餐任务。</w:t>
      </w:r>
      <w:bookmarkStart w:id="7" w:name="_GoBack"/>
      <w:bookmarkEnd w:id="7"/>
    </w:p>
    <w:p w14:paraId="46E01A06">
      <w:pPr>
        <w:pStyle w:val="4"/>
        <w:keepNext w:val="0"/>
        <w:keepLines w:val="0"/>
        <w:pageBreakBefore w:val="0"/>
        <w:kinsoku/>
        <w:overflowPunct/>
        <w:topLinePunct w:val="0"/>
        <w:bidi w:val="0"/>
        <w:adjustRightInd/>
        <w:spacing w:line="360" w:lineRule="auto"/>
        <w:ind w:right="0" w:rightChars="0" w:firstLine="0" w:firstLine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二、相关定义</w:t>
      </w:r>
    </w:p>
    <w:p w14:paraId="1E532270">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1、餐具：指用于分发或摄取食物的器皿和用具。餐具包括成套的金属器具、陶瓷餐具、玻璃器皿、盘碟和托盘以及用途各异的各种容器和手持用具。如：碗、筷、勺、分餐盘、碟、茶具酒器等就餐手持用具。</w:t>
      </w:r>
    </w:p>
    <w:p w14:paraId="765CD663">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厨具：指以厨房电器为主的厨房用具，包括灶具、炊具、厨房电器和橱柜等。如：菜刀、锅、菜墩、各种铝盆、汤桶、蒸箱、冰箱、烤箱、消毒柜、和面机等，食堂所需的灶炉、桌椅、蒸饭设备、碗筷、冰柜、保洁柜等所有设备设施及水、电、燃料的接入，设施设备均按卫生饮食合格标准设计。各功能区用房齐全，厨具、餐具添置完善。</w:t>
      </w:r>
    </w:p>
    <w:p w14:paraId="14B1CBE9">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3、低值易耗品：指劳动资料中单位价值在规定限额以下或使用年限比较短（一般在一年以内）的物品。如抽纸、抽纸盒、洗洁精、洗衣粉、绞手套、线手套、扫把、撮箕、刮皮刀、抹布、工作服等用品。</w:t>
      </w:r>
    </w:p>
    <w:p w14:paraId="34FEF399">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三、采购内容</w:t>
      </w:r>
    </w:p>
    <w:p w14:paraId="33D40AE7">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w:t>
      </w:r>
      <w:r>
        <w:rPr>
          <w:rFonts w:hint="eastAsia" w:ascii="宋体" w:hAnsi="宋体" w:eastAsia="宋体" w:cs="宋体"/>
          <w:color w:val="auto"/>
          <w:sz w:val="28"/>
          <w:szCs w:val="28"/>
          <w:highlight w:val="none"/>
          <w:lang w:val="zh-CN"/>
        </w:rPr>
        <w:t>基本要求：</w:t>
      </w:r>
      <w:r>
        <w:rPr>
          <w:rFonts w:hint="eastAsia" w:ascii="宋体" w:hAnsi="宋体" w:eastAsia="宋体" w:cs="宋体"/>
          <w:color w:val="auto"/>
          <w:sz w:val="28"/>
          <w:szCs w:val="28"/>
          <w:highlight w:val="none"/>
        </w:rPr>
        <w:t>承担餐厅原材料采购、日常设备维修、餐具设备和餐饮服务管理、餐饮食品加工、出售、服务、保洁等业务及与此相关的管理工作。</w:t>
      </w:r>
    </w:p>
    <w:p w14:paraId="68B2FCFB">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w:t>
      </w:r>
      <w:r>
        <w:rPr>
          <w:rFonts w:hint="eastAsia" w:ascii="宋体" w:hAnsi="宋体" w:eastAsia="宋体" w:cs="宋体"/>
          <w:color w:val="auto"/>
          <w:sz w:val="28"/>
          <w:szCs w:val="28"/>
          <w:highlight w:val="none"/>
          <w:lang w:val="zh-CN"/>
        </w:rPr>
        <w:t>供餐模式</w:t>
      </w:r>
      <w:r>
        <w:rPr>
          <w:rFonts w:hint="eastAsia" w:ascii="宋体" w:hAnsi="宋体" w:eastAsia="宋体" w:cs="宋体"/>
          <w:color w:val="auto"/>
          <w:sz w:val="28"/>
          <w:szCs w:val="28"/>
          <w:highlight w:val="none"/>
        </w:rPr>
        <w:t>：</w:t>
      </w:r>
    </w:p>
    <w:p w14:paraId="35A02ACF">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（三）供餐时间：</w:t>
      </w:r>
    </w:p>
    <w:p w14:paraId="5C972A2E">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早餐（预计）：上午 6:50至上午8 :00</w:t>
      </w:r>
    </w:p>
    <w:p w14:paraId="2E39FE87">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午餐（预计）：中午 11:</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0至中午 12:50</w:t>
      </w:r>
    </w:p>
    <w:p w14:paraId="01E65664">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晚餐（预计）：下午 17:30至下午 19:30</w:t>
      </w:r>
      <w:r>
        <w:rPr>
          <w:rFonts w:hint="eastAsia" w:ascii="宋体" w:hAnsi="宋体" w:eastAsia="宋体" w:cs="宋体"/>
          <w:bCs/>
          <w:color w:val="auto"/>
          <w:sz w:val="28"/>
          <w:szCs w:val="28"/>
          <w:highlight w:val="none"/>
        </w:rPr>
        <w:t>。</w:t>
      </w:r>
    </w:p>
    <w:p w14:paraId="7C8CE988">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供餐时间应根据学校工作实际做出必要调整。</w:t>
      </w:r>
    </w:p>
    <w:p w14:paraId="7BC88B83">
      <w:pPr>
        <w:keepNext w:val="0"/>
        <w:keepLines w:val="0"/>
        <w:pageBreakBefore w:val="0"/>
        <w:numPr>
          <w:ilvl w:val="0"/>
          <w:numId w:val="0"/>
        </w:numPr>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2"/>
          <w:sz w:val="28"/>
          <w:szCs w:val="28"/>
          <w:highlight w:val="none"/>
          <w:lang w:val="en-US" w:eastAsia="zh-CN" w:bidi="ar-SA"/>
        </w:rPr>
        <w:t>（四）</w:t>
      </w:r>
      <w:r>
        <w:rPr>
          <w:rFonts w:hint="eastAsia" w:ascii="宋体" w:hAnsi="宋体" w:eastAsia="宋体" w:cs="宋体"/>
          <w:color w:val="auto"/>
          <w:sz w:val="28"/>
          <w:szCs w:val="28"/>
          <w:highlight w:val="none"/>
        </w:rPr>
        <w:t>供餐内容：</w:t>
      </w:r>
    </w:p>
    <w:p w14:paraId="1110DCDB">
      <w:pPr>
        <w:keepNext w:val="0"/>
        <w:keepLines w:val="0"/>
        <w:pageBreakBefore w:val="0"/>
        <w:numPr>
          <w:ilvl w:val="0"/>
          <w:numId w:val="0"/>
        </w:numPr>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保证全体教职工用餐，包括一日三餐（早上、中午、晚上）及临时的加班用餐，节假日休息期间餐厅应根据学校工作实际，配备相应后厨及餐厅人员，以保证加值班人员的临时用餐需求。</w:t>
      </w:r>
    </w:p>
    <w:p w14:paraId="4EF56D5D">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用餐标准：</w:t>
      </w:r>
    </w:p>
    <w:p w14:paraId="38715E47">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保证多种餐食组合，制定周菜谱，要求菜品多样化，根据市场、季节、营养等综合因素制定食谱，早餐：要求品种丰富、营养均衡，需提供小菜、粥、大点、饮品、煎炸类、粗粮、蛋奶类、小吃粉面等。午晚正餐：需提供:家禽肉类、水产、半荤素、素菜、主食、水果、面食类、粗粮类、地方性特色小吃、汤水类等。</w:t>
      </w:r>
    </w:p>
    <w:tbl>
      <w:tblPr>
        <w:tblStyle w:val="5"/>
        <w:tblW w:w="928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020"/>
        <w:gridCol w:w="8266"/>
      </w:tblGrid>
      <w:tr w14:paraId="1006FD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20" w:type="dxa"/>
            <w:tcBorders>
              <w:top w:val="single" w:color="auto" w:sz="12" w:space="0"/>
              <w:bottom w:val="single" w:color="auto" w:sz="2" w:space="0"/>
            </w:tcBorders>
            <w:shd w:val="clear" w:color="auto" w:fill="F1F1F1"/>
            <w:noWrap/>
            <w:vAlign w:val="center"/>
          </w:tcPr>
          <w:p w14:paraId="703AAD4C">
            <w:pPr>
              <w:pStyle w:val="7"/>
              <w:keepNext w:val="0"/>
              <w:keepLines w:val="0"/>
              <w:pageBreakBefore w:val="0"/>
              <w:kinsoku/>
              <w:wordWrap/>
              <w:overflowPunct/>
              <w:topLinePunct w:val="0"/>
              <w:bidi w:val="0"/>
              <w:adjustRightInd/>
              <w:spacing w:line="360" w:lineRule="auto"/>
              <w:ind w:right="0" w:rightChars="0"/>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餐别</w:t>
            </w:r>
          </w:p>
        </w:tc>
        <w:tc>
          <w:tcPr>
            <w:tcW w:w="8266" w:type="dxa"/>
            <w:tcBorders>
              <w:top w:val="single" w:color="auto" w:sz="12" w:space="0"/>
              <w:bottom w:val="single" w:color="auto" w:sz="2" w:space="0"/>
            </w:tcBorders>
            <w:shd w:val="clear" w:color="auto" w:fill="F1F1F1"/>
            <w:noWrap/>
            <w:vAlign w:val="center"/>
          </w:tcPr>
          <w:p w14:paraId="16171ED8">
            <w:pPr>
              <w:pStyle w:val="7"/>
              <w:keepNext w:val="0"/>
              <w:keepLines w:val="0"/>
              <w:pageBreakBefore w:val="0"/>
              <w:kinsoku/>
              <w:wordWrap/>
              <w:overflowPunct/>
              <w:topLinePunct w:val="0"/>
              <w:bidi w:val="0"/>
              <w:adjustRightInd/>
              <w:spacing w:line="360" w:lineRule="auto"/>
              <w:ind w:right="0" w:rightChars="0"/>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供餐内容</w:t>
            </w:r>
          </w:p>
        </w:tc>
      </w:tr>
      <w:tr w14:paraId="2CC071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330" w:hRule="atLeast"/>
          <w:jc w:val="center"/>
        </w:trPr>
        <w:tc>
          <w:tcPr>
            <w:tcW w:w="1020" w:type="dxa"/>
            <w:tcBorders>
              <w:top w:val="single" w:color="auto" w:sz="2" w:space="0"/>
            </w:tcBorders>
            <w:noWrap/>
            <w:vAlign w:val="center"/>
          </w:tcPr>
          <w:p w14:paraId="772647CA">
            <w:pPr>
              <w:pStyle w:val="7"/>
              <w:keepNext w:val="0"/>
              <w:keepLines w:val="0"/>
              <w:pageBreakBefore w:val="0"/>
              <w:kinsoku/>
              <w:wordWrap/>
              <w:overflowPunct/>
              <w:topLinePunct w:val="0"/>
              <w:bidi w:val="0"/>
              <w:adjustRightInd/>
              <w:spacing w:line="360" w:lineRule="auto"/>
              <w:ind w:right="0" w:rightChars="0"/>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早餐</w:t>
            </w:r>
          </w:p>
        </w:tc>
        <w:tc>
          <w:tcPr>
            <w:tcW w:w="8266" w:type="dxa"/>
            <w:tcBorders>
              <w:top w:val="single" w:color="auto" w:sz="2" w:space="0"/>
            </w:tcBorders>
            <w:noWrap/>
            <w:vAlign w:val="center"/>
          </w:tcPr>
          <w:p w14:paraId="129D0473">
            <w:pPr>
              <w:pStyle w:val="7"/>
              <w:keepNext w:val="0"/>
              <w:keepLines w:val="0"/>
              <w:pageBreakBefore w:val="0"/>
              <w:kinsoku/>
              <w:wordWrap/>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菜品不少于6种（荤菜不少于2种、素菜不少于4种），开口小菜不少于4种，稀饭粥类不少于2种，胡辣汤、油茶、豆腐脑等风味品不少于2种，包子、花卷、馒头、油条、油饼、发糕等中式面点不少于4种，牛奶或酸奶（质量价格中优）、蛋类为每日早餐标配。杂粮不少于2种</w:t>
            </w:r>
          </w:p>
        </w:tc>
      </w:tr>
      <w:tr w14:paraId="437F39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01" w:hRule="atLeast"/>
          <w:jc w:val="center"/>
        </w:trPr>
        <w:tc>
          <w:tcPr>
            <w:tcW w:w="1020" w:type="dxa"/>
            <w:noWrap/>
            <w:vAlign w:val="center"/>
          </w:tcPr>
          <w:p w14:paraId="6DC32E3A">
            <w:pPr>
              <w:pStyle w:val="7"/>
              <w:keepNext w:val="0"/>
              <w:keepLines w:val="0"/>
              <w:pageBreakBefore w:val="0"/>
              <w:kinsoku/>
              <w:wordWrap/>
              <w:overflowPunct/>
              <w:topLinePunct w:val="0"/>
              <w:bidi w:val="0"/>
              <w:adjustRightInd/>
              <w:spacing w:line="360" w:lineRule="auto"/>
              <w:ind w:right="0" w:rightChars="0"/>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午餐</w:t>
            </w:r>
          </w:p>
        </w:tc>
        <w:tc>
          <w:tcPr>
            <w:tcW w:w="8266" w:type="dxa"/>
            <w:noWrap/>
            <w:vAlign w:val="center"/>
          </w:tcPr>
          <w:p w14:paraId="73D16792">
            <w:pPr>
              <w:pStyle w:val="7"/>
              <w:keepNext w:val="0"/>
              <w:keepLines w:val="0"/>
              <w:pageBreakBefore w:val="0"/>
              <w:kinsoku/>
              <w:wordWrap/>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营养快餐）每天菜品不少于6种（主荤不少于2种，半荤不少于2种、素菜不少于2种），汤品不少于1种、米饭两种（白米饭、杂粮米饭），盖浇饭不少于4种，面条类1（不少于4种）种，现场供应泡馍、米粉、砂锅等风味小吃不少于2种，煎饼、馅饼、夹馍等中式面点不少于3种，奶制品不少于2种（牛奶、酸奶），果汁或蔬菜汁1种，水果不少于2种。</w:t>
            </w:r>
          </w:p>
        </w:tc>
      </w:tr>
      <w:tr w14:paraId="16ACE0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20" w:type="dxa"/>
            <w:noWrap/>
            <w:vAlign w:val="center"/>
          </w:tcPr>
          <w:p w14:paraId="02D3D859">
            <w:pPr>
              <w:pStyle w:val="7"/>
              <w:keepNext w:val="0"/>
              <w:keepLines w:val="0"/>
              <w:pageBreakBefore w:val="0"/>
              <w:kinsoku/>
              <w:wordWrap/>
              <w:overflowPunct/>
              <w:topLinePunct w:val="0"/>
              <w:bidi w:val="0"/>
              <w:adjustRightInd/>
              <w:spacing w:line="360" w:lineRule="auto"/>
              <w:ind w:right="0" w:rightChars="0"/>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晚餐</w:t>
            </w:r>
          </w:p>
        </w:tc>
        <w:tc>
          <w:tcPr>
            <w:tcW w:w="8266" w:type="dxa"/>
            <w:noWrap/>
            <w:vAlign w:val="center"/>
          </w:tcPr>
          <w:p w14:paraId="141F7A8B">
            <w:pPr>
              <w:pStyle w:val="7"/>
              <w:keepNext w:val="0"/>
              <w:keepLines w:val="0"/>
              <w:pageBreakBefore w:val="0"/>
              <w:kinsoku/>
              <w:wordWrap/>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设置2个档口，炒菜类档口1个、面食小吃类档口1个。炒菜（营养快餐）类档口供应：菜品不少于6种（半荤不少于2种、素菜不少于4种主荤不少于2种，半荤不少于2种、素菜不少于2种），米饭2种（白米饭、杂粮米饭）;面食小吃类档口供应：麻食、汤面片、米线等风味小吃不少于2种；小菜品不少于4种；馒头、花卷、饼类等中式面点不少于2种；稀饭1种；杂粮1种。</w:t>
            </w:r>
          </w:p>
        </w:tc>
      </w:tr>
      <w:tr w14:paraId="0026F3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20" w:type="dxa"/>
            <w:noWrap/>
            <w:vAlign w:val="center"/>
          </w:tcPr>
          <w:p w14:paraId="012A4304">
            <w:pPr>
              <w:pStyle w:val="7"/>
              <w:keepNext w:val="0"/>
              <w:keepLines w:val="0"/>
              <w:pageBreakBefore w:val="0"/>
              <w:kinsoku/>
              <w:wordWrap/>
              <w:overflowPunct/>
              <w:topLinePunct w:val="0"/>
              <w:bidi w:val="0"/>
              <w:adjustRightInd/>
              <w:spacing w:line="360" w:lineRule="auto"/>
              <w:ind w:right="0" w:rightChars="0"/>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备注</w:t>
            </w:r>
          </w:p>
        </w:tc>
        <w:tc>
          <w:tcPr>
            <w:tcW w:w="8266" w:type="dxa"/>
            <w:noWrap/>
            <w:vAlign w:val="center"/>
          </w:tcPr>
          <w:p w14:paraId="4D599145">
            <w:pPr>
              <w:pStyle w:val="7"/>
              <w:keepNext w:val="0"/>
              <w:keepLines w:val="0"/>
              <w:pageBreakBefore w:val="0"/>
              <w:kinsoku/>
              <w:wordWrap/>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鱼类和牛羊肉类菜品，每周供应不少于1次。</w:t>
            </w:r>
          </w:p>
        </w:tc>
      </w:tr>
    </w:tbl>
    <w:p w14:paraId="7152056D">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每周四提供下周的食谱给学校伙食委员会的监督和后勤部门审核，通过后不得随意更换食谱，需要更换的应提前向学校伙食委员会的监督和后勤部门报备。</w:t>
      </w:r>
    </w:p>
    <w:p w14:paraId="72A728F9">
      <w:pPr>
        <w:pStyle w:val="4"/>
        <w:keepNext w:val="0"/>
        <w:keepLines w:val="0"/>
        <w:pageBreakBefore w:val="0"/>
        <w:kinsoku/>
        <w:overflowPunct/>
        <w:topLinePunct w:val="0"/>
        <w:bidi w:val="0"/>
        <w:adjustRightInd/>
        <w:spacing w:line="360" w:lineRule="auto"/>
        <w:ind w:right="0" w:rightChars="0" w:firstLine="0"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餐品价格定价变更，需通过学校审批确认后，方可定价。</w:t>
      </w:r>
    </w:p>
    <w:p w14:paraId="11DBC2C9">
      <w:pPr>
        <w:pStyle w:val="4"/>
        <w:keepNext w:val="0"/>
        <w:keepLines w:val="0"/>
        <w:pageBreakBefore w:val="0"/>
        <w:kinsoku/>
        <w:overflowPunct/>
        <w:topLinePunct w:val="0"/>
        <w:bidi w:val="0"/>
        <w:adjustRightInd/>
        <w:spacing w:line="360" w:lineRule="auto"/>
        <w:ind w:right="0" w:rightChars="0" w:firstLine="0" w:firstLine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四、员工配备要求</w:t>
      </w:r>
    </w:p>
    <w:p w14:paraId="36CC42E8">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员工身体健康要求。供应商入场服务前，拟在餐厅上岗的所有员工必须通过当地卫生部门指定医院或防疫站的体检，并领取餐饮行业健康证。无健康合格证者，不准在本项目餐厅工作。人员应有健康的身体条件，相貌端正，无伤残或重大疾病，无各种遗传性疾病。</w:t>
      </w:r>
    </w:p>
    <w:p w14:paraId="552F865C">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（二）员工职业技能水平要求。拟上岗人员在入场服务前，必须持有</w:t>
      </w: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rPr>
        <w:t>要求的餐饮行业职业技能等级证书，并且技术水平过硬，能够保证出品质量。</w:t>
      </w:r>
    </w:p>
    <w:p w14:paraId="1B426D96">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（三）员工品德要求。要有敬业精神；要有良好的职业道德，诚实；讲信用。</w:t>
      </w:r>
    </w:p>
    <w:p w14:paraId="5E72D820">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（四）供应商所配备员工年龄必须遵守国家劳动法规定的年龄要求。不得配备超龄或不足年龄的员工。</w:t>
      </w:r>
    </w:p>
    <w:p w14:paraId="76DA2C26">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（五）供应商必须配备专业维修工保障设备及水电维修工。</w:t>
      </w:r>
    </w:p>
    <w:p w14:paraId="2ADC968E">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（六）餐厅所有员工由供应商自行招聘，餐厅员工的工资和福利（五险一金）均由供应商承担，员工进行更换时必须提前报备</w:t>
      </w: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rPr>
        <w:t>，经</w:t>
      </w: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rPr>
        <w:t>同意后方可更换人员上岗。</w:t>
      </w:r>
    </w:p>
    <w:p w14:paraId="6B889D06">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（七）餐厅主管及主管以上（包括大厨）人员变更需通过学校后勤保障中心批准同意。</w:t>
      </w:r>
    </w:p>
    <w:p w14:paraId="72FCEE68">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（八）人员要求：</w:t>
      </w:r>
    </w:p>
    <w:p w14:paraId="6C52F61A">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1、所有拟上岗人员须提供健康证；</w:t>
      </w:r>
    </w:p>
    <w:p w14:paraId="304DB8CD">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需要提供职业等级证书人员须提供职业等级证。中式烹调师等级分五个等级，分别是：初级（国家职业资格五级）、中级（国家职业资格四级）、高级（国家职业资格三级）、技师（国家职业资格二级）、高级技师（国家职业资格一级）。</w:t>
      </w:r>
    </w:p>
    <w:p w14:paraId="4798199B">
      <w:pPr>
        <w:pStyle w:val="7"/>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五、服务要求</w:t>
      </w:r>
    </w:p>
    <w:p w14:paraId="311B2614">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（一）基本要求</w:t>
      </w:r>
    </w:p>
    <w:p w14:paraId="79908DC7">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1.提供餐厅原材料采购、餐饮食品加工、出售、服务、保洁及供餐服务管理。</w:t>
      </w:r>
    </w:p>
    <w:p w14:paraId="399BF431">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2.提供餐厅厨具设备添置、维修维保及破损餐具补充，提供承诺函。</w:t>
      </w:r>
    </w:p>
    <w:p w14:paraId="2EF3E108">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3.提供餐厅低值易耗品及厨房灭四害保障。</w:t>
      </w:r>
    </w:p>
    <w:p w14:paraId="5D0CB297">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4.提供餐厅宣传展板及标识（在采购人指导下）等制作及悬挂。</w:t>
      </w:r>
    </w:p>
    <w:p w14:paraId="4B2C3E05">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5.提供餐厅工作人员业务培训。</w:t>
      </w:r>
    </w:p>
    <w:p w14:paraId="7B54269F">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6.提供供餐服务保障方案。</w:t>
      </w:r>
    </w:p>
    <w:p w14:paraId="665A95AC">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（二）原材料采购要求</w:t>
      </w:r>
    </w:p>
    <w:p w14:paraId="3C2CE7B0">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1.蔬菜采购使用必须进行农药残留检测，检测设备由供应商配置。</w:t>
      </w:r>
    </w:p>
    <w:p w14:paraId="21C11C9D">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2.承诺全面完成政府采购贫困地区农副产品扶贫832平台采购工作，采购扶贫832平台农副产品总金额不少于年度原材料采购总金额的10%。提供承诺函。</w:t>
      </w:r>
    </w:p>
    <w:p w14:paraId="08736611">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（三）消杀工作要求</w:t>
      </w:r>
    </w:p>
    <w:p w14:paraId="6E9DF4ED">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餐厅和操作间的病媒防治工作，必须聘请具有专业资质的病媒防治专业消杀灭公司具体组织实施，并将消杀灭公司资质报采购人备案留存，消杀灭所产生的费用由供应商承担。</w:t>
      </w:r>
    </w:p>
    <w:p w14:paraId="20354563">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六、质量标准</w:t>
      </w:r>
    </w:p>
    <w:p w14:paraId="36B3B2F1">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（一）在业务履行过程中要服从采购人对生产场地、工作及生活环境的安排和要求，严格执行采购现场标准的相关管理规定，并接受采购人的考核。考核内容成交后按</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rPr>
        <w:t>制定标准进行考核。</w:t>
      </w:r>
    </w:p>
    <w:p w14:paraId="26E4A86F">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（二）供应商业务的专业质量标准和规范，须达到《航天城第一中学餐厅工作规范及标准》（附件一）规定的内容。</w:t>
      </w:r>
    </w:p>
    <w:p w14:paraId="2D1E7ED8">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（三）供应商须严格遵守采购人所制定的《原材料采购要求和标准》（附件二），并严格执行。凡违规或违纪采购人有权直接进行处罚或扣除包厨费用，经济处罚一律不再返还。</w:t>
      </w:r>
    </w:p>
    <w:p w14:paraId="05F4FA1E">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（四）餐具保持完好率（指餐具无裂缝、豁口或破损）在98%以上。</w:t>
      </w:r>
    </w:p>
    <w:p w14:paraId="222BF59E">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（五）餐具视实际使用情况进行更换，所更换碗、筷子质量必须按采购人要求和规格进行更换，所需费用均由供应商承担。</w:t>
      </w:r>
    </w:p>
    <w:p w14:paraId="0B7A6207">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（六）厨具中菜刀、铁锅、菜墩、炒勺等小件厨具补充更新，必须按采购要求进行同质量、同品牌进行更换，并由供应商承担支付费用。</w:t>
      </w:r>
    </w:p>
    <w:p w14:paraId="710F5FC9">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（七）低值易耗品更新补充由供应商自行更换补充并承担支付费用。</w:t>
      </w:r>
    </w:p>
    <w:p w14:paraId="75DA9987">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（八）宣传展板和标志标识等须定期更换，所需费用由供应商承担。</w:t>
      </w:r>
    </w:p>
    <w:p w14:paraId="5E40C574">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（九）餐厅工作人员培训每月不少于2次，所需费用由供应商承担。</w:t>
      </w:r>
    </w:p>
    <w:p w14:paraId="75E3E541">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供应商对采购人所配设备及餐具用品需要更换或报废时，更换方案应报学校同意，设备档次不低于原设备品牌档次。合同期满或供应商提前退出时，设备交接必须保持完好率100%，且设备为采购人所配置原品牌同等级及以上，不得私自更换。</w:t>
      </w:r>
    </w:p>
    <w:p w14:paraId="42DEE0F4">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（十一）供应商确保食品质量和食品卫生安全，因供应商厨房出品质量问题，而收到学校教职工投诉的，采购人有权做出各种经济处罚。</w:t>
      </w:r>
    </w:p>
    <w:p w14:paraId="7B68D1AB">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（十二）供应商必须提供供餐服务保障方案。</w:t>
      </w:r>
    </w:p>
    <w:p w14:paraId="7F4095F0">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（十三）供应商承担在履行业务过程中的食品原料的费用（包括水、电、气及油烟罩清洗、隔油池清洁、燃气报警装置、灭火器及售饭系统维保费用）、设备维修维保费、服务管理费、劳务加工及餐具补充费用。</w:t>
      </w:r>
    </w:p>
    <w:p w14:paraId="5CAFB68A">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（十四）餐厅和操作间的病媒防治工作，必须聘请具有专业资质的病媒防治专业消杀灭公司具体组织实施。消杀灭所产生的费用由供应商承担。</w:t>
      </w:r>
    </w:p>
    <w:p w14:paraId="0B8A2825">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七、安全生产要求</w:t>
      </w:r>
    </w:p>
    <w:p w14:paraId="64A4E776">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（一）供应商承担在履行服务过程中的全部安全责任。</w:t>
      </w:r>
    </w:p>
    <w:p w14:paraId="7B0D27D3">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（二）供应商应严格遵守《中华人民共和国食品卫生法》和《中华人民共和国食品安全法》：</w:t>
      </w:r>
    </w:p>
    <w:p w14:paraId="45715028">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原材料验收由供应商验收，供应商必须确保所有采购的原材料符合采购人要求和标准（附件二），不得采购劣质、过期或三无产品，禁止采购不符合国家食品标准要求的食材和法律法规禁止生产经营的其他食品、食品添加剂等，采购人有权对供应商采购的原材料进行监管和抽查，凡采购人发现采购不符合规定要求或劣质、过期或三无产品，有权进行直接处罚，处罚标准在考核细则中明确。</w:t>
      </w:r>
    </w:p>
    <w:p w14:paraId="0FDEA24A">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2.严格进行卫生管理，确保饮食卫生安全。</w:t>
      </w:r>
    </w:p>
    <w:p w14:paraId="63D0C5CC">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3.严格遵守有关食品卫生安全法规，供应商必须每天打扫辖区内的卫生，做到餐具每天消毒，工作人员必须定期接受体检，保证工作人员身体健康、无传染病，符合食品卫生从业人员标准。</w:t>
      </w:r>
    </w:p>
    <w:p w14:paraId="5168D356">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4.不得采购、加工霉烂变质商品或不正常、不卫生的食品在本食堂销售、食用和饮用，严格执行食品卫生法规定。</w:t>
      </w:r>
    </w:p>
    <w:p w14:paraId="155F532C">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5.因供应商管理问题造成就餐者食物中毒，供应商承担全部责任。</w:t>
      </w:r>
    </w:p>
    <w:p w14:paraId="774A8282">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供应商应严格遵守安全使用管理规定，严格进行操作间管理，若因供应商管理问题引起采购人操作间火灾，责任及损失全部由供应商承担；供应商必须严格遵守安全操作规程，各种设施设备必须按操作规程进行操作，不得违反设备使用性能或违规使用。保证安全生产，如果因违规操作而造成设备事故或人员伤亡，一切后果由供应商</w:t>
      </w:r>
      <w:r>
        <w:rPr>
          <w:rFonts w:hint="eastAsia" w:ascii="宋体" w:hAnsi="宋体" w:eastAsia="宋体" w:cs="宋体"/>
          <w:color w:val="auto"/>
          <w:sz w:val="28"/>
          <w:szCs w:val="28"/>
          <w:highlight w:val="none"/>
          <w:lang w:eastAsia="zh-CN"/>
        </w:rPr>
        <w:t>承担</w:t>
      </w:r>
      <w:r>
        <w:rPr>
          <w:rFonts w:hint="eastAsia" w:ascii="宋体" w:hAnsi="宋体" w:eastAsia="宋体" w:cs="宋体"/>
          <w:color w:val="auto"/>
          <w:sz w:val="28"/>
          <w:szCs w:val="28"/>
          <w:highlight w:val="none"/>
        </w:rPr>
        <w:t>。</w:t>
      </w:r>
    </w:p>
    <w:p w14:paraId="40E62837">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（四）供应商应严格遵守国家有关安全生产的法律法规，认真执行合同中的有关安全要求。供应商应定期检查安全、消防设施，发现隐患及时上报，配合采购及时处理各类隐患。</w:t>
      </w:r>
    </w:p>
    <w:p w14:paraId="697BC3B0">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供应商须加强安全生产宣传教育，建立健全各项安全生产的管理机制和安全生产管理制度；教育员工严格遵守安全操作规程，由此引发的一切安全事故及安全责任，由供应商承担；供应商须制订生产安全事故应急救援预案及紧急事故处置应急预案，采购人监督供应商定期组织应急预案演练活动。</w:t>
      </w:r>
    </w:p>
    <w:p w14:paraId="36B2EBEF">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操作人员必须配备劳保上岗，管理人员应随时检查劳动防护用品的穿戴情况，不按规定穿戴防护用品的人员不得上岗。定期召开安全生产动员会，及时传达学校及上级主管部门的有关安全生产精神。定期对员工进行消防、设备安全的基本知识教育，增强全员安全生产意识。</w:t>
      </w:r>
    </w:p>
    <w:p w14:paraId="2FDA25DD">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（七）供应商员工因工或非因工发生的人身伤、残、亡或财产损失的，由供应商负责处理。如供应商违约造成安全事故，供应商承担全部责任，触犯法律的，移送司法机关依法追究责任。</w:t>
      </w:r>
    </w:p>
    <w:p w14:paraId="21285DD6">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（八）采购人可协助供应商管理人员对其员工进行消防、设备安全的基本知识教育。随时对供应商工作现场进行安全生产检查指导，监督供应商及时处理发现的各种安全隐患。</w:t>
      </w:r>
    </w:p>
    <w:p w14:paraId="73445A4A">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（九）意外事故承担：</w:t>
      </w:r>
    </w:p>
    <w:p w14:paraId="42D78D58">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1.就餐者在就餐过程中，因餐厅地面打扫不及时而导致的摔倒、磕伤、碰伤等引起的一切问题由供应商负责。</w:t>
      </w:r>
    </w:p>
    <w:p w14:paraId="746E0357">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2.凡因原材料清洗不干净或程序不规范造成食物中毒或其他问题所引发的全部责任由供应商承担。</w:t>
      </w:r>
    </w:p>
    <w:p w14:paraId="464D7744">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八、</w:t>
      </w:r>
      <w:r>
        <w:rPr>
          <w:rFonts w:hint="eastAsia" w:ascii="宋体" w:hAnsi="宋体" w:eastAsia="宋体" w:cs="宋体"/>
          <w:b/>
          <w:bCs/>
          <w:color w:val="auto"/>
          <w:sz w:val="28"/>
          <w:szCs w:val="28"/>
          <w:highlight w:val="none"/>
          <w:lang w:val="en-US" w:eastAsia="zh-CN"/>
        </w:rPr>
        <w:t>商务</w:t>
      </w:r>
      <w:r>
        <w:rPr>
          <w:rFonts w:hint="eastAsia" w:ascii="宋体" w:hAnsi="宋体" w:eastAsia="宋体" w:cs="宋体"/>
          <w:b/>
          <w:bCs/>
          <w:color w:val="auto"/>
          <w:sz w:val="28"/>
          <w:szCs w:val="28"/>
          <w:highlight w:val="none"/>
        </w:rPr>
        <w:t>要求</w:t>
      </w:r>
    </w:p>
    <w:p w14:paraId="24E54A0A">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（一）服务期：</w:t>
      </w:r>
      <w:r>
        <w:rPr>
          <w:rFonts w:hint="eastAsia" w:ascii="宋体" w:hAnsi="宋体" w:eastAsia="宋体" w:cs="宋体"/>
          <w:color w:val="auto"/>
          <w:sz w:val="28"/>
          <w:szCs w:val="28"/>
          <w:highlight w:val="none"/>
          <w:lang w:eastAsia="zh-CN"/>
        </w:rPr>
        <w:t>自合同签订之日起至2027年7月31日</w:t>
      </w:r>
      <w:r>
        <w:rPr>
          <w:rFonts w:hint="eastAsia" w:ascii="宋体" w:hAnsi="宋体" w:eastAsia="宋体" w:cs="宋体"/>
          <w:color w:val="auto"/>
          <w:sz w:val="28"/>
          <w:szCs w:val="28"/>
          <w:highlight w:val="none"/>
        </w:rPr>
        <w:t>。</w:t>
      </w:r>
    </w:p>
    <w:p w14:paraId="2763AF22">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结算方式：</w:t>
      </w:r>
      <w:r>
        <w:rPr>
          <w:rFonts w:hint="eastAsia" w:ascii="宋体" w:hAnsi="宋体" w:eastAsia="宋体" w:cs="宋体"/>
          <w:color w:val="auto"/>
          <w:sz w:val="28"/>
          <w:szCs w:val="28"/>
          <w:highlight w:val="none"/>
        </w:rPr>
        <w:t>按月支付，具体内容详见支付</w:t>
      </w:r>
      <w:r>
        <w:rPr>
          <w:rFonts w:hint="eastAsia" w:ascii="宋体" w:hAnsi="宋体" w:eastAsia="宋体" w:cs="宋体"/>
          <w:color w:val="auto"/>
          <w:sz w:val="28"/>
          <w:szCs w:val="28"/>
          <w:highlight w:val="none"/>
          <w:lang w:val="en-US" w:eastAsia="zh-CN"/>
        </w:rPr>
        <w:t>方式</w:t>
      </w:r>
    </w:p>
    <w:p w14:paraId="0B0F7C52">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rPr>
        <w:t>）供应商接受委托后不得再转包或分包给第三方。</w:t>
      </w:r>
    </w:p>
    <w:p w14:paraId="6C211913">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九、费用说明</w:t>
      </w:r>
    </w:p>
    <w:p w14:paraId="4CCBCC16">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所有的费用及后期的风险均应在供应商的考虑之列，在服务期内不因物价的调整而降低用餐标准。餐厅的餐点的销售价格应低于校外社会餐厅的销售价格，供应商在餐厅运营过程中应合理控制成本和利润率，所有餐品的销售定价应报学校审核。</w:t>
      </w:r>
    </w:p>
    <w:p w14:paraId="41614E45">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以下费用计入供应商餐厅运营的成本中，由供应商承担：</w:t>
      </w:r>
    </w:p>
    <w:p w14:paraId="4D048495">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1）农药残留检测费用</w:t>
      </w:r>
    </w:p>
    <w:p w14:paraId="415F27F6">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蔬菜采购使用必须进行农药残留检测，日常检测由供应商完成，检测设备由供应商配备；抽查检测由采购人进行，抽检设备由采购人配置。</w:t>
      </w:r>
    </w:p>
    <w:p w14:paraId="7A8CEE6B">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2）设备维修、补充及餐具用品费用</w:t>
      </w:r>
    </w:p>
    <w:p w14:paraId="0BA367D9">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（1）保障供餐的基础设备及餐具初次由采购人配齐，</w:t>
      </w:r>
      <w:r>
        <w:rPr>
          <w:rFonts w:hint="eastAsia" w:ascii="宋体" w:hAnsi="宋体" w:eastAsia="宋体" w:cs="宋体"/>
          <w:b/>
          <w:bCs/>
          <w:color w:val="auto"/>
          <w:sz w:val="28"/>
          <w:szCs w:val="28"/>
          <w:highlight w:val="none"/>
        </w:rPr>
        <w:t>运行后设备的添置、维修及餐具用品补充、增加均由供应商</w:t>
      </w:r>
      <w:r>
        <w:rPr>
          <w:rFonts w:hint="eastAsia" w:ascii="宋体" w:hAnsi="宋体" w:eastAsia="宋体" w:cs="宋体"/>
          <w:b/>
          <w:bCs/>
          <w:color w:val="auto"/>
          <w:sz w:val="28"/>
          <w:szCs w:val="28"/>
          <w:highlight w:val="none"/>
          <w:lang w:eastAsia="zh-CN"/>
        </w:rPr>
        <w:t>承担</w:t>
      </w:r>
      <w:r>
        <w:rPr>
          <w:rFonts w:hint="eastAsia" w:ascii="宋体" w:hAnsi="宋体" w:eastAsia="宋体" w:cs="宋体"/>
          <w:color w:val="auto"/>
          <w:sz w:val="28"/>
          <w:szCs w:val="28"/>
          <w:highlight w:val="none"/>
        </w:rPr>
        <w:t>。餐厅桌椅维修、灯光照明设备维修费用由采购人承担。</w:t>
      </w:r>
    </w:p>
    <w:p w14:paraId="42613C10">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b/>
          <w:bCs/>
          <w:color w:val="auto"/>
          <w:sz w:val="28"/>
          <w:szCs w:val="28"/>
          <w:highlight w:val="none"/>
        </w:rPr>
        <w:t>油烟罩清洗及燃气报警装置维修维护费用由供应商承担</w:t>
      </w:r>
      <w:r>
        <w:rPr>
          <w:rFonts w:hint="eastAsia" w:ascii="宋体" w:hAnsi="宋体" w:eastAsia="宋体" w:cs="宋体"/>
          <w:color w:val="auto"/>
          <w:sz w:val="28"/>
          <w:szCs w:val="28"/>
          <w:highlight w:val="none"/>
        </w:rPr>
        <w:t>。</w:t>
      </w:r>
    </w:p>
    <w:p w14:paraId="5F7A45A3">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b/>
          <w:bCs/>
          <w:color w:val="auto"/>
          <w:sz w:val="28"/>
          <w:szCs w:val="28"/>
          <w:highlight w:val="none"/>
        </w:rPr>
        <w:t>售饭系统及网络由供应商</w:t>
      </w:r>
      <w:r>
        <w:rPr>
          <w:rFonts w:hint="eastAsia" w:ascii="宋体" w:hAnsi="宋体" w:eastAsia="宋体" w:cs="宋体"/>
          <w:b/>
          <w:bCs/>
          <w:color w:val="auto"/>
          <w:sz w:val="28"/>
          <w:szCs w:val="28"/>
          <w:highlight w:val="none"/>
          <w:lang w:eastAsia="zh-CN"/>
        </w:rPr>
        <w:t>承担</w:t>
      </w:r>
      <w:r>
        <w:rPr>
          <w:rFonts w:hint="eastAsia" w:ascii="宋体" w:hAnsi="宋体" w:eastAsia="宋体" w:cs="宋体"/>
          <w:color w:val="auto"/>
          <w:sz w:val="28"/>
          <w:szCs w:val="28"/>
          <w:highlight w:val="none"/>
        </w:rPr>
        <w:t>。</w:t>
      </w:r>
    </w:p>
    <w:p w14:paraId="5C56A477">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3）住宿及办公场所费用</w:t>
      </w:r>
    </w:p>
    <w:p w14:paraId="19573607">
      <w:pPr>
        <w:pStyle w:val="3"/>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供应商自行解决服务人员住宿问题</w:t>
      </w:r>
      <w:r>
        <w:rPr>
          <w:rFonts w:hint="eastAsia" w:ascii="宋体" w:hAnsi="宋体" w:eastAsia="宋体" w:cs="宋体"/>
          <w:color w:val="auto"/>
          <w:sz w:val="28"/>
          <w:szCs w:val="28"/>
          <w:highlight w:val="none"/>
        </w:rPr>
        <w:t>。</w:t>
      </w:r>
    </w:p>
    <w:p w14:paraId="03C54831">
      <w:pPr>
        <w:keepNext w:val="0"/>
        <w:keepLines w:val="0"/>
        <w:pageBreakBefore w:val="0"/>
        <w:numPr>
          <w:ilvl w:val="0"/>
          <w:numId w:val="0"/>
        </w:numPr>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kern w:val="2"/>
          <w:sz w:val="28"/>
          <w:szCs w:val="28"/>
          <w:highlight w:val="none"/>
          <w:lang w:val="en-US" w:eastAsia="zh-CN" w:bidi="ar-SA"/>
        </w:rPr>
        <w:t>4）</w:t>
      </w:r>
      <w:r>
        <w:rPr>
          <w:rFonts w:hint="eastAsia" w:ascii="宋体" w:hAnsi="宋体" w:eastAsia="宋体" w:cs="宋体"/>
          <w:b/>
          <w:bCs/>
          <w:color w:val="auto"/>
          <w:sz w:val="28"/>
          <w:szCs w:val="28"/>
          <w:highlight w:val="none"/>
        </w:rPr>
        <w:t>水、电费用由供应商承担，燃气费用由供应商承担。</w:t>
      </w:r>
    </w:p>
    <w:p w14:paraId="0C2E7421">
      <w:pPr>
        <w:keepNext w:val="0"/>
        <w:keepLines w:val="0"/>
        <w:pageBreakBefore w:val="0"/>
        <w:numPr>
          <w:ilvl w:val="0"/>
          <w:numId w:val="0"/>
        </w:numPr>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kern w:val="2"/>
          <w:sz w:val="28"/>
          <w:szCs w:val="28"/>
          <w:highlight w:val="none"/>
          <w:lang w:val="en-US" w:eastAsia="zh-CN" w:bidi="ar-SA"/>
        </w:rPr>
        <w:t>5）</w:t>
      </w:r>
      <w:r>
        <w:rPr>
          <w:rFonts w:hint="eastAsia" w:ascii="宋体" w:hAnsi="宋体" w:eastAsia="宋体" w:cs="宋体"/>
          <w:b/>
          <w:bCs/>
          <w:color w:val="auto"/>
          <w:sz w:val="28"/>
          <w:szCs w:val="28"/>
          <w:highlight w:val="none"/>
        </w:rPr>
        <w:t>低值易耗品配备及灭四害费用由供应商承担。供应商必须招聘具有专业灭四害的公司进行四害预防。</w:t>
      </w:r>
    </w:p>
    <w:p w14:paraId="719D25F6">
      <w:pPr>
        <w:keepNext w:val="0"/>
        <w:keepLines w:val="0"/>
        <w:pageBreakBefore w:val="0"/>
        <w:numPr>
          <w:ilvl w:val="0"/>
          <w:numId w:val="0"/>
        </w:numPr>
        <w:kinsoku/>
        <w:overflowPunct/>
        <w:topLinePunct w:val="0"/>
        <w:bidi w:val="0"/>
        <w:adjustRightInd/>
        <w:spacing w:line="360" w:lineRule="auto"/>
        <w:ind w:left="0" w:leftChars="0" w:right="0" w:rightChars="0" w:firstLine="0" w:firstLine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kern w:val="2"/>
          <w:sz w:val="28"/>
          <w:szCs w:val="28"/>
          <w:highlight w:val="none"/>
          <w:lang w:val="en-US" w:eastAsia="zh-CN" w:bidi="ar-SA"/>
        </w:rPr>
        <w:t>6）</w:t>
      </w:r>
      <w:r>
        <w:rPr>
          <w:rFonts w:hint="eastAsia" w:ascii="宋体" w:hAnsi="宋体" w:eastAsia="宋体" w:cs="宋体"/>
          <w:b/>
          <w:bCs/>
          <w:color w:val="auto"/>
          <w:sz w:val="28"/>
          <w:szCs w:val="28"/>
          <w:highlight w:val="none"/>
        </w:rPr>
        <w:t>餐厅工作人员业务培训费用由供应商承担。</w:t>
      </w:r>
    </w:p>
    <w:p w14:paraId="78421EF7">
      <w:pPr>
        <w:keepNext w:val="0"/>
        <w:keepLines w:val="0"/>
        <w:pageBreakBefore w:val="0"/>
        <w:numPr>
          <w:ilvl w:val="0"/>
          <w:numId w:val="0"/>
        </w:numPr>
        <w:kinsoku/>
        <w:overflowPunct/>
        <w:topLinePunct w:val="0"/>
        <w:bidi w:val="0"/>
        <w:adjustRightInd/>
        <w:spacing w:line="360" w:lineRule="auto"/>
        <w:ind w:left="0" w:leftChars="0" w:right="0" w:rightChars="0" w:firstLine="0" w:firstLine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kern w:val="2"/>
          <w:sz w:val="28"/>
          <w:szCs w:val="28"/>
          <w:highlight w:val="none"/>
          <w:lang w:val="en-US" w:eastAsia="zh-CN" w:bidi="ar-SA"/>
        </w:rPr>
        <w:t>7）</w:t>
      </w:r>
      <w:r>
        <w:rPr>
          <w:rFonts w:hint="eastAsia" w:ascii="宋体" w:hAnsi="宋体" w:eastAsia="宋体" w:cs="宋体"/>
          <w:b/>
          <w:bCs/>
          <w:color w:val="auto"/>
          <w:sz w:val="28"/>
          <w:szCs w:val="28"/>
          <w:highlight w:val="none"/>
        </w:rPr>
        <w:t>餐厅宣传展板及标识制作等，采购人要求的由采购人支付，供应商自做宣传等其他相关费用由供应商承担。</w:t>
      </w:r>
    </w:p>
    <w:p w14:paraId="084D3705">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8）供应商在服务期内添置补充的餐厨设备和餐具，费用由供应商承担</w:t>
      </w:r>
      <w:r>
        <w:rPr>
          <w:rFonts w:hint="eastAsia" w:ascii="宋体" w:hAnsi="宋体" w:eastAsia="宋体" w:cs="宋体"/>
          <w:color w:val="auto"/>
          <w:sz w:val="28"/>
          <w:szCs w:val="28"/>
          <w:highlight w:val="none"/>
        </w:rPr>
        <w:t>，所有权归采购人，供应商仅拥有使用权。</w:t>
      </w:r>
      <w:r>
        <w:rPr>
          <w:rFonts w:hint="eastAsia" w:ascii="宋体" w:hAnsi="宋体" w:eastAsia="宋体" w:cs="宋体"/>
          <w:b/>
          <w:bCs/>
          <w:color w:val="auto"/>
          <w:sz w:val="28"/>
          <w:szCs w:val="28"/>
          <w:highlight w:val="none"/>
        </w:rPr>
        <w:t>十、考核要求</w:t>
      </w:r>
    </w:p>
    <w:p w14:paraId="15447E68">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（一）每季度对餐厅运行情况进行打分（百分制），由以下四部分组成：</w:t>
      </w:r>
    </w:p>
    <w:p w14:paraId="7FB2091C">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1）满意度测评（40%）：每月度向就餐人员随机现场调研满意度，测评结果由学校餐厅领导小组办公室进行统计汇总；</w:t>
      </w:r>
    </w:p>
    <w:tbl>
      <w:tblPr>
        <w:tblStyle w:val="8"/>
        <w:tblW w:w="6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6"/>
        <w:gridCol w:w="1212"/>
        <w:gridCol w:w="1096"/>
        <w:gridCol w:w="935"/>
      </w:tblGrid>
      <w:tr w14:paraId="36C98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6" w:type="dxa"/>
            <w:noWrap/>
            <w:vAlign w:val="center"/>
          </w:tcPr>
          <w:p w14:paraId="6C147340">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1.您对餐厅服务整体评价是否满意？</w:t>
            </w:r>
          </w:p>
        </w:tc>
        <w:tc>
          <w:tcPr>
            <w:tcW w:w="1212" w:type="dxa"/>
            <w:noWrap/>
            <w:vAlign w:val="center"/>
          </w:tcPr>
          <w:p w14:paraId="679656A8">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非常满意</w:t>
            </w:r>
          </w:p>
        </w:tc>
        <w:tc>
          <w:tcPr>
            <w:tcW w:w="1096" w:type="dxa"/>
            <w:noWrap/>
            <w:vAlign w:val="center"/>
          </w:tcPr>
          <w:p w14:paraId="0D876757">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基本满意</w:t>
            </w:r>
          </w:p>
        </w:tc>
        <w:tc>
          <w:tcPr>
            <w:tcW w:w="935" w:type="dxa"/>
            <w:noWrap/>
            <w:vAlign w:val="center"/>
          </w:tcPr>
          <w:p w14:paraId="1E943532">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不满意</w:t>
            </w:r>
          </w:p>
        </w:tc>
      </w:tr>
      <w:tr w14:paraId="293DA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6" w:type="dxa"/>
            <w:noWrap/>
            <w:vAlign w:val="center"/>
          </w:tcPr>
          <w:p w14:paraId="6C8CE93A">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2.您对餐厨人员服务是否满意？</w:t>
            </w:r>
          </w:p>
        </w:tc>
        <w:tc>
          <w:tcPr>
            <w:tcW w:w="1212" w:type="dxa"/>
            <w:noWrap/>
            <w:vAlign w:val="center"/>
          </w:tcPr>
          <w:p w14:paraId="74DC3F7E">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非常满意</w:t>
            </w:r>
          </w:p>
        </w:tc>
        <w:tc>
          <w:tcPr>
            <w:tcW w:w="1096" w:type="dxa"/>
            <w:noWrap/>
            <w:vAlign w:val="center"/>
          </w:tcPr>
          <w:p w14:paraId="407CB47E">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基本满意</w:t>
            </w:r>
          </w:p>
        </w:tc>
        <w:tc>
          <w:tcPr>
            <w:tcW w:w="935" w:type="dxa"/>
            <w:noWrap/>
            <w:vAlign w:val="center"/>
          </w:tcPr>
          <w:p w14:paraId="0B251906">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不满意</w:t>
            </w:r>
          </w:p>
        </w:tc>
      </w:tr>
      <w:tr w14:paraId="2591A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6" w:type="dxa"/>
            <w:noWrap/>
            <w:vAlign w:val="center"/>
          </w:tcPr>
          <w:p w14:paraId="3D3FE1C4">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3.您对饭菜口味是否满意？</w:t>
            </w:r>
          </w:p>
        </w:tc>
        <w:tc>
          <w:tcPr>
            <w:tcW w:w="1212" w:type="dxa"/>
            <w:noWrap/>
            <w:vAlign w:val="center"/>
          </w:tcPr>
          <w:p w14:paraId="56C4EFD2">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非常满意</w:t>
            </w:r>
          </w:p>
        </w:tc>
        <w:tc>
          <w:tcPr>
            <w:tcW w:w="1096" w:type="dxa"/>
            <w:noWrap/>
            <w:vAlign w:val="center"/>
          </w:tcPr>
          <w:p w14:paraId="5C314067">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基本满意</w:t>
            </w:r>
          </w:p>
        </w:tc>
        <w:tc>
          <w:tcPr>
            <w:tcW w:w="935" w:type="dxa"/>
            <w:noWrap/>
            <w:vAlign w:val="center"/>
          </w:tcPr>
          <w:p w14:paraId="68808595">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不满意</w:t>
            </w:r>
          </w:p>
        </w:tc>
      </w:tr>
      <w:tr w14:paraId="2837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6" w:type="dxa"/>
            <w:noWrap/>
            <w:vAlign w:val="center"/>
          </w:tcPr>
          <w:p w14:paraId="5ED9C70D">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4.您对菜品搭配是否满意？</w:t>
            </w:r>
          </w:p>
        </w:tc>
        <w:tc>
          <w:tcPr>
            <w:tcW w:w="1212" w:type="dxa"/>
            <w:noWrap/>
            <w:vAlign w:val="center"/>
          </w:tcPr>
          <w:p w14:paraId="63B61FF4">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非常满意</w:t>
            </w:r>
          </w:p>
        </w:tc>
        <w:tc>
          <w:tcPr>
            <w:tcW w:w="1096" w:type="dxa"/>
            <w:noWrap/>
            <w:vAlign w:val="center"/>
          </w:tcPr>
          <w:p w14:paraId="5CF4B280">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基本满意</w:t>
            </w:r>
          </w:p>
        </w:tc>
        <w:tc>
          <w:tcPr>
            <w:tcW w:w="935" w:type="dxa"/>
            <w:noWrap/>
            <w:vAlign w:val="center"/>
          </w:tcPr>
          <w:p w14:paraId="3270B0B1">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不满意</w:t>
            </w:r>
          </w:p>
        </w:tc>
      </w:tr>
      <w:tr w14:paraId="6DB27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6" w:type="dxa"/>
            <w:noWrap/>
            <w:vAlign w:val="center"/>
          </w:tcPr>
          <w:p w14:paraId="6BD6B496">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5.您对餐厅环境及餐具卫生是否满意？</w:t>
            </w:r>
          </w:p>
        </w:tc>
        <w:tc>
          <w:tcPr>
            <w:tcW w:w="1212" w:type="dxa"/>
            <w:noWrap/>
            <w:vAlign w:val="center"/>
          </w:tcPr>
          <w:p w14:paraId="26DACAD7">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非常满意</w:t>
            </w:r>
          </w:p>
        </w:tc>
        <w:tc>
          <w:tcPr>
            <w:tcW w:w="1096" w:type="dxa"/>
            <w:noWrap/>
            <w:vAlign w:val="center"/>
          </w:tcPr>
          <w:p w14:paraId="32A466C2">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基本满意</w:t>
            </w:r>
          </w:p>
        </w:tc>
        <w:tc>
          <w:tcPr>
            <w:tcW w:w="935" w:type="dxa"/>
            <w:noWrap/>
            <w:vAlign w:val="center"/>
          </w:tcPr>
          <w:p w14:paraId="6806F358">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不满意</w:t>
            </w:r>
          </w:p>
        </w:tc>
      </w:tr>
      <w:tr w14:paraId="7EEF0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6" w:type="dxa"/>
            <w:noWrap/>
            <w:vAlign w:val="center"/>
          </w:tcPr>
          <w:p w14:paraId="71F76BA3">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6.您最喜欢的两道菜品是：</w:t>
            </w:r>
          </w:p>
        </w:tc>
        <w:tc>
          <w:tcPr>
            <w:tcW w:w="3243" w:type="dxa"/>
            <w:gridSpan w:val="3"/>
            <w:noWrap/>
            <w:vAlign w:val="center"/>
          </w:tcPr>
          <w:p w14:paraId="3BE94453">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69E1F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66" w:type="dxa"/>
            <w:noWrap/>
            <w:vAlign w:val="center"/>
          </w:tcPr>
          <w:p w14:paraId="328FBF91">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7.您对餐厅运行工作有何建议？</w:t>
            </w:r>
          </w:p>
        </w:tc>
        <w:tc>
          <w:tcPr>
            <w:tcW w:w="3243" w:type="dxa"/>
            <w:gridSpan w:val="3"/>
            <w:noWrap/>
            <w:vAlign w:val="center"/>
          </w:tcPr>
          <w:p w14:paraId="4FB4E5D5">
            <w:pPr>
              <w:keepNext w:val="0"/>
              <w:keepLines w:val="0"/>
              <w:pageBreakBefore w:val="0"/>
              <w:widowControl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bl>
    <w:p w14:paraId="6D874153">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2）日常考核（50%）：学校餐厅领导小组办公室每周对餐厅进行一次不定期的质量、安全和卫生检查并打分，季度考核时取每周检查分数平均值；</w:t>
      </w:r>
    </w:p>
    <w:tbl>
      <w:tblPr>
        <w:tblStyle w:val="5"/>
        <w:tblW w:w="8527" w:type="dxa"/>
        <w:jc w:val="center"/>
        <w:tblLayout w:type="fixed"/>
        <w:tblCellMar>
          <w:top w:w="0" w:type="dxa"/>
          <w:left w:w="108" w:type="dxa"/>
          <w:bottom w:w="0" w:type="dxa"/>
          <w:right w:w="108" w:type="dxa"/>
        </w:tblCellMar>
      </w:tblPr>
      <w:tblGrid>
        <w:gridCol w:w="888"/>
        <w:gridCol w:w="6150"/>
        <w:gridCol w:w="877"/>
        <w:gridCol w:w="612"/>
      </w:tblGrid>
      <w:tr w14:paraId="4484B03F">
        <w:tblPrEx>
          <w:tblCellMar>
            <w:top w:w="0" w:type="dxa"/>
            <w:left w:w="108" w:type="dxa"/>
            <w:bottom w:w="0" w:type="dxa"/>
            <w:right w:w="108" w:type="dxa"/>
          </w:tblCellMar>
        </w:tblPrEx>
        <w:trPr>
          <w:trHeight w:val="540" w:hRule="atLeast"/>
          <w:jc w:val="center"/>
        </w:trPr>
        <w:tc>
          <w:tcPr>
            <w:tcW w:w="888" w:type="dxa"/>
            <w:tcBorders>
              <w:top w:val="single" w:color="000000" w:sz="4" w:space="0"/>
              <w:left w:val="single" w:color="000000" w:sz="4" w:space="0"/>
              <w:bottom w:val="single" w:color="000000" w:sz="4" w:space="0"/>
              <w:right w:val="single" w:color="000000" w:sz="4" w:space="0"/>
            </w:tcBorders>
            <w:noWrap/>
            <w:vAlign w:val="center"/>
          </w:tcPr>
          <w:p w14:paraId="78E1F26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检查项目</w:t>
            </w: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0F1C5C5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检查标准</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4E102FA1">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满分:100</w:t>
            </w:r>
          </w:p>
        </w:tc>
        <w:tc>
          <w:tcPr>
            <w:tcW w:w="612" w:type="dxa"/>
            <w:tcBorders>
              <w:top w:val="single" w:color="000000" w:sz="4" w:space="0"/>
              <w:left w:val="single" w:color="000000" w:sz="4" w:space="0"/>
              <w:bottom w:val="single" w:color="000000" w:sz="4" w:space="0"/>
              <w:right w:val="single" w:color="000000" w:sz="4" w:space="0"/>
            </w:tcBorders>
            <w:noWrap/>
            <w:vAlign w:val="center"/>
          </w:tcPr>
          <w:p w14:paraId="5E001724">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得分</w:t>
            </w:r>
          </w:p>
        </w:tc>
      </w:tr>
      <w:tr w14:paraId="3CEAE9C2">
        <w:tblPrEx>
          <w:tblCellMar>
            <w:top w:w="0" w:type="dxa"/>
            <w:left w:w="108" w:type="dxa"/>
            <w:bottom w:w="0" w:type="dxa"/>
            <w:right w:w="108" w:type="dxa"/>
          </w:tblCellMar>
        </w:tblPrEx>
        <w:trPr>
          <w:trHeight w:val="540" w:hRule="atLeast"/>
          <w:jc w:val="center"/>
        </w:trPr>
        <w:tc>
          <w:tcPr>
            <w:tcW w:w="888" w:type="dxa"/>
            <w:vMerge w:val="restart"/>
            <w:tcBorders>
              <w:top w:val="single" w:color="000000" w:sz="4" w:space="0"/>
              <w:left w:val="single" w:color="000000" w:sz="4" w:space="0"/>
              <w:bottom w:val="nil"/>
              <w:right w:val="single" w:color="000000" w:sz="4" w:space="0"/>
            </w:tcBorders>
            <w:noWrap/>
            <w:vAlign w:val="center"/>
          </w:tcPr>
          <w:p w14:paraId="316A378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食品加工</w:t>
            </w: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52E028CD">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食品的粗加工及切配、烹调、凉菜配制、水果拼盘制作、点心加工、食品再加热等加工符合相关操作规程。</w:t>
            </w:r>
          </w:p>
        </w:tc>
        <w:tc>
          <w:tcPr>
            <w:tcW w:w="877" w:type="dxa"/>
            <w:vMerge w:val="restart"/>
            <w:tcBorders>
              <w:top w:val="single" w:color="000000" w:sz="4" w:space="0"/>
              <w:left w:val="single" w:color="000000" w:sz="4" w:space="0"/>
              <w:bottom w:val="nil"/>
              <w:right w:val="single" w:color="000000" w:sz="4" w:space="0"/>
            </w:tcBorders>
            <w:noWrap/>
            <w:vAlign w:val="center"/>
          </w:tcPr>
          <w:p w14:paraId="7C8A319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p>
        </w:tc>
        <w:tc>
          <w:tcPr>
            <w:tcW w:w="612" w:type="dxa"/>
            <w:vMerge w:val="restart"/>
            <w:tcBorders>
              <w:top w:val="single" w:color="000000" w:sz="4" w:space="0"/>
              <w:left w:val="single" w:color="000000" w:sz="4" w:space="0"/>
              <w:bottom w:val="nil"/>
              <w:right w:val="single" w:color="000000" w:sz="4" w:space="0"/>
            </w:tcBorders>
            <w:noWrap/>
            <w:vAlign w:val="center"/>
          </w:tcPr>
          <w:p w14:paraId="5C9E388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1FD45BF6">
        <w:tblPrEx>
          <w:tblCellMar>
            <w:top w:w="0" w:type="dxa"/>
            <w:left w:w="108" w:type="dxa"/>
            <w:bottom w:w="0" w:type="dxa"/>
            <w:right w:w="108" w:type="dxa"/>
          </w:tblCellMar>
        </w:tblPrEx>
        <w:trPr>
          <w:trHeight w:val="90"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1B168E19">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4B5607A9">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是否有过期、腐烂、变质食品加工</w:t>
            </w:r>
          </w:p>
        </w:tc>
        <w:tc>
          <w:tcPr>
            <w:tcW w:w="877" w:type="dxa"/>
            <w:vMerge w:val="continue"/>
            <w:tcBorders>
              <w:top w:val="single" w:color="000000" w:sz="4" w:space="0"/>
              <w:left w:val="single" w:color="000000" w:sz="4" w:space="0"/>
              <w:bottom w:val="nil"/>
              <w:right w:val="single" w:color="000000" w:sz="4" w:space="0"/>
            </w:tcBorders>
            <w:noWrap/>
            <w:vAlign w:val="center"/>
          </w:tcPr>
          <w:p w14:paraId="3E70A92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nil"/>
              <w:right w:val="single" w:color="000000" w:sz="4" w:space="0"/>
            </w:tcBorders>
            <w:noWrap/>
            <w:vAlign w:val="center"/>
          </w:tcPr>
          <w:p w14:paraId="0316E17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013F370A">
        <w:tblPrEx>
          <w:tblCellMar>
            <w:top w:w="0" w:type="dxa"/>
            <w:left w:w="108" w:type="dxa"/>
            <w:bottom w:w="0" w:type="dxa"/>
            <w:right w:w="108" w:type="dxa"/>
          </w:tblCellMar>
        </w:tblPrEx>
        <w:trPr>
          <w:trHeight w:val="540" w:hRule="atLeast"/>
          <w:jc w:val="center"/>
        </w:trPr>
        <w:tc>
          <w:tcPr>
            <w:tcW w:w="888" w:type="dxa"/>
            <w:vMerge w:val="restart"/>
            <w:tcBorders>
              <w:top w:val="single" w:color="000000" w:sz="4" w:space="0"/>
              <w:left w:val="single" w:color="000000" w:sz="4" w:space="0"/>
              <w:bottom w:val="nil"/>
              <w:right w:val="single" w:color="000000" w:sz="4" w:space="0"/>
            </w:tcBorders>
            <w:noWrap/>
            <w:vAlign w:val="center"/>
          </w:tcPr>
          <w:p w14:paraId="30D8BC05">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食品留样</w:t>
            </w: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05B1D985">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留样记录表需按时按规定记录（包括：留样食品名称、留样量、留样时间、留样人员、审核人员）</w:t>
            </w:r>
          </w:p>
        </w:tc>
        <w:tc>
          <w:tcPr>
            <w:tcW w:w="877" w:type="dxa"/>
            <w:vMerge w:val="restart"/>
            <w:tcBorders>
              <w:top w:val="single" w:color="000000" w:sz="4" w:space="0"/>
              <w:left w:val="single" w:color="000000" w:sz="4" w:space="0"/>
              <w:bottom w:val="nil"/>
              <w:right w:val="single" w:color="000000" w:sz="4" w:space="0"/>
            </w:tcBorders>
            <w:noWrap/>
            <w:vAlign w:val="center"/>
          </w:tcPr>
          <w:p w14:paraId="12F284A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p>
        </w:tc>
        <w:tc>
          <w:tcPr>
            <w:tcW w:w="612" w:type="dxa"/>
            <w:vMerge w:val="restart"/>
            <w:tcBorders>
              <w:top w:val="single" w:color="000000" w:sz="4" w:space="0"/>
              <w:left w:val="single" w:color="000000" w:sz="4" w:space="0"/>
              <w:bottom w:val="nil"/>
              <w:right w:val="single" w:color="000000" w:sz="4" w:space="0"/>
            </w:tcBorders>
            <w:noWrap/>
            <w:vAlign w:val="center"/>
          </w:tcPr>
          <w:p w14:paraId="7CD7E37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44EDE9E2">
        <w:tblPrEx>
          <w:tblCellMar>
            <w:top w:w="0" w:type="dxa"/>
            <w:left w:w="108" w:type="dxa"/>
            <w:bottom w:w="0" w:type="dxa"/>
            <w:right w:w="108" w:type="dxa"/>
          </w:tblCellMar>
        </w:tblPrEx>
        <w:trPr>
          <w:trHeight w:val="540"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712F1B39">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37345A70">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留样餐盒上需标注留样日期及名称，留样内容与留样记录相符并保存48小时</w:t>
            </w:r>
          </w:p>
        </w:tc>
        <w:tc>
          <w:tcPr>
            <w:tcW w:w="877" w:type="dxa"/>
            <w:vMerge w:val="continue"/>
            <w:tcBorders>
              <w:top w:val="single" w:color="000000" w:sz="4" w:space="0"/>
              <w:left w:val="single" w:color="000000" w:sz="4" w:space="0"/>
              <w:bottom w:val="nil"/>
              <w:right w:val="single" w:color="000000" w:sz="4" w:space="0"/>
            </w:tcBorders>
            <w:noWrap/>
            <w:vAlign w:val="center"/>
          </w:tcPr>
          <w:p w14:paraId="6E7E3BF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nil"/>
              <w:right w:val="single" w:color="000000" w:sz="4" w:space="0"/>
            </w:tcBorders>
            <w:noWrap/>
            <w:vAlign w:val="center"/>
          </w:tcPr>
          <w:p w14:paraId="7BCEBB2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10C767AB">
        <w:tblPrEx>
          <w:tblCellMar>
            <w:top w:w="0" w:type="dxa"/>
            <w:left w:w="108" w:type="dxa"/>
            <w:bottom w:w="0" w:type="dxa"/>
            <w:right w:w="108" w:type="dxa"/>
          </w:tblCellMar>
        </w:tblPrEx>
        <w:trPr>
          <w:trHeight w:val="470" w:hRule="atLeast"/>
          <w:jc w:val="center"/>
        </w:trPr>
        <w:tc>
          <w:tcPr>
            <w:tcW w:w="888" w:type="dxa"/>
            <w:vMerge w:val="restart"/>
            <w:tcBorders>
              <w:top w:val="single" w:color="000000" w:sz="4" w:space="0"/>
              <w:left w:val="single" w:color="000000" w:sz="4" w:space="0"/>
              <w:bottom w:val="single" w:color="000000" w:sz="4" w:space="0"/>
              <w:right w:val="single" w:color="000000" w:sz="4" w:space="0"/>
            </w:tcBorders>
            <w:noWrap/>
            <w:vAlign w:val="center"/>
          </w:tcPr>
          <w:p w14:paraId="7632578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冰箱、冷藏库、冷冻库储物</w:t>
            </w: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0455648A">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冰箱内所有食材需打膜或加盖贴标签写明日期</w:t>
            </w:r>
          </w:p>
        </w:tc>
        <w:tc>
          <w:tcPr>
            <w:tcW w:w="877" w:type="dxa"/>
            <w:vMerge w:val="restart"/>
            <w:tcBorders>
              <w:top w:val="single" w:color="000000" w:sz="4" w:space="0"/>
              <w:left w:val="single" w:color="000000" w:sz="4" w:space="0"/>
              <w:bottom w:val="single" w:color="000000" w:sz="4" w:space="0"/>
              <w:right w:val="single" w:color="000000" w:sz="4" w:space="0"/>
            </w:tcBorders>
            <w:noWrap/>
            <w:vAlign w:val="center"/>
          </w:tcPr>
          <w:p w14:paraId="5AFEAB1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p>
        </w:tc>
        <w:tc>
          <w:tcPr>
            <w:tcW w:w="612" w:type="dxa"/>
            <w:vMerge w:val="restart"/>
            <w:tcBorders>
              <w:top w:val="single" w:color="000000" w:sz="4" w:space="0"/>
              <w:left w:val="single" w:color="000000" w:sz="4" w:space="0"/>
              <w:bottom w:val="single" w:color="000000" w:sz="4" w:space="0"/>
              <w:right w:val="single" w:color="000000" w:sz="4" w:space="0"/>
            </w:tcBorders>
            <w:noWrap/>
            <w:vAlign w:val="center"/>
          </w:tcPr>
          <w:p w14:paraId="76F7857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2EEE7D57">
        <w:tblPrEx>
          <w:tblCellMar>
            <w:top w:w="0" w:type="dxa"/>
            <w:left w:w="108" w:type="dxa"/>
            <w:bottom w:w="0" w:type="dxa"/>
            <w:right w:w="108" w:type="dxa"/>
          </w:tblCellMar>
        </w:tblPrEx>
        <w:trPr>
          <w:trHeight w:val="540"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4CE0CB5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66E56F44">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冰箱内是否有过期变质食品（调料开封后应在一周内使用，原材料应在48小时内使用）</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0AEA796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6040BF0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2D54C5F2">
        <w:tblPrEx>
          <w:tblCellMar>
            <w:top w:w="0" w:type="dxa"/>
            <w:left w:w="108" w:type="dxa"/>
            <w:bottom w:w="0" w:type="dxa"/>
            <w:right w:w="108" w:type="dxa"/>
          </w:tblCellMar>
        </w:tblPrEx>
        <w:trPr>
          <w:trHeight w:val="425"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0E4B32B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75E68F71">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冰箱内食材禁止生熟混放</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2919DBE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6015546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4959C174">
        <w:tblPrEx>
          <w:tblCellMar>
            <w:top w:w="0" w:type="dxa"/>
            <w:left w:w="108" w:type="dxa"/>
            <w:bottom w:w="0" w:type="dxa"/>
            <w:right w:w="108" w:type="dxa"/>
          </w:tblCellMar>
        </w:tblPrEx>
        <w:trPr>
          <w:trHeight w:val="410"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283AA16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6C4F4ACE">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冷冻冷藏内温度是否合格</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38F59ED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41DCA95A">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42D3D472">
        <w:tblPrEx>
          <w:tblCellMar>
            <w:top w:w="0" w:type="dxa"/>
            <w:left w:w="108" w:type="dxa"/>
            <w:bottom w:w="0" w:type="dxa"/>
            <w:right w:w="108" w:type="dxa"/>
          </w:tblCellMar>
        </w:tblPrEx>
        <w:trPr>
          <w:trHeight w:val="425"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135F5E3A">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4CAE9DCD">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各种制冷设备是否有清洁消毒记录表</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61E8AD4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364CFEB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00AA7842">
        <w:tblPrEx>
          <w:tblCellMar>
            <w:top w:w="0" w:type="dxa"/>
            <w:left w:w="108" w:type="dxa"/>
            <w:bottom w:w="0" w:type="dxa"/>
            <w:right w:w="108" w:type="dxa"/>
          </w:tblCellMar>
        </w:tblPrEx>
        <w:trPr>
          <w:trHeight w:val="425" w:hRule="atLeast"/>
          <w:jc w:val="center"/>
        </w:trPr>
        <w:tc>
          <w:tcPr>
            <w:tcW w:w="888" w:type="dxa"/>
            <w:vMerge w:val="restart"/>
            <w:tcBorders>
              <w:top w:val="single" w:color="000000" w:sz="4" w:space="0"/>
              <w:left w:val="single" w:color="000000" w:sz="4" w:space="0"/>
              <w:bottom w:val="single" w:color="000000" w:sz="4" w:space="0"/>
              <w:right w:val="single" w:color="000000" w:sz="4" w:space="0"/>
            </w:tcBorders>
            <w:noWrap/>
            <w:vAlign w:val="center"/>
          </w:tcPr>
          <w:p w14:paraId="5389F4D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库房</w:t>
            </w: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6E82339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调料库内物与卡相符</w:t>
            </w:r>
          </w:p>
        </w:tc>
        <w:tc>
          <w:tcPr>
            <w:tcW w:w="877" w:type="dxa"/>
            <w:vMerge w:val="restart"/>
            <w:tcBorders>
              <w:top w:val="single" w:color="000000" w:sz="4" w:space="0"/>
              <w:left w:val="single" w:color="000000" w:sz="4" w:space="0"/>
              <w:bottom w:val="single" w:color="000000" w:sz="4" w:space="0"/>
              <w:right w:val="single" w:color="000000" w:sz="4" w:space="0"/>
            </w:tcBorders>
            <w:noWrap/>
            <w:vAlign w:val="center"/>
          </w:tcPr>
          <w:p w14:paraId="1401379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p>
        </w:tc>
        <w:tc>
          <w:tcPr>
            <w:tcW w:w="612" w:type="dxa"/>
            <w:vMerge w:val="restart"/>
            <w:tcBorders>
              <w:top w:val="single" w:color="000000" w:sz="4" w:space="0"/>
              <w:left w:val="single" w:color="000000" w:sz="4" w:space="0"/>
              <w:bottom w:val="single" w:color="000000" w:sz="4" w:space="0"/>
              <w:right w:val="single" w:color="000000" w:sz="4" w:space="0"/>
            </w:tcBorders>
            <w:noWrap/>
            <w:vAlign w:val="center"/>
          </w:tcPr>
          <w:p w14:paraId="0DBF584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44DEE7DC">
        <w:tblPrEx>
          <w:tblCellMar>
            <w:top w:w="0" w:type="dxa"/>
            <w:left w:w="108" w:type="dxa"/>
            <w:bottom w:w="0" w:type="dxa"/>
            <w:right w:w="108" w:type="dxa"/>
          </w:tblCellMar>
        </w:tblPrEx>
        <w:trPr>
          <w:trHeight w:val="425"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26D43500">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3601FD3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库房内禁止有过期食品</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055D1A5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5FC9340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71DC0B58">
        <w:tblPrEx>
          <w:tblCellMar>
            <w:top w:w="0" w:type="dxa"/>
            <w:left w:w="108" w:type="dxa"/>
            <w:bottom w:w="0" w:type="dxa"/>
            <w:right w:w="108" w:type="dxa"/>
          </w:tblCellMar>
        </w:tblPrEx>
        <w:trPr>
          <w:trHeight w:val="425"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3671B68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4374C13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是否有临期食品</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7126640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68D94294">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0D7F3F57">
        <w:tblPrEx>
          <w:tblCellMar>
            <w:top w:w="0" w:type="dxa"/>
            <w:left w:w="108" w:type="dxa"/>
            <w:bottom w:w="0" w:type="dxa"/>
            <w:right w:w="108" w:type="dxa"/>
          </w:tblCellMar>
        </w:tblPrEx>
        <w:trPr>
          <w:trHeight w:val="440"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21AC182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6228045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食品添加剂柜钥匙由专人保管、记录需与库存相符</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343C15F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0024593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027BF491">
        <w:tblPrEx>
          <w:tblCellMar>
            <w:top w:w="0" w:type="dxa"/>
            <w:left w:w="108" w:type="dxa"/>
            <w:bottom w:w="0" w:type="dxa"/>
            <w:right w:w="108" w:type="dxa"/>
          </w:tblCellMar>
        </w:tblPrEx>
        <w:trPr>
          <w:trHeight w:val="410"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65ADB47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53F1027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库房钥匙专人保管、记录出入库明细。</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5FF96FD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7F4483A9">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52EC3FB7">
        <w:tblPrEx>
          <w:tblCellMar>
            <w:top w:w="0" w:type="dxa"/>
            <w:left w:w="108" w:type="dxa"/>
            <w:bottom w:w="0" w:type="dxa"/>
            <w:right w:w="108" w:type="dxa"/>
          </w:tblCellMar>
        </w:tblPrEx>
        <w:trPr>
          <w:trHeight w:val="260" w:hRule="atLeast"/>
          <w:jc w:val="center"/>
        </w:trPr>
        <w:tc>
          <w:tcPr>
            <w:tcW w:w="888" w:type="dxa"/>
            <w:vMerge w:val="restart"/>
            <w:tcBorders>
              <w:top w:val="single" w:color="000000" w:sz="4" w:space="0"/>
              <w:left w:val="single" w:color="000000" w:sz="4" w:space="0"/>
              <w:bottom w:val="single" w:color="000000" w:sz="4" w:space="0"/>
              <w:right w:val="single" w:color="000000" w:sz="4" w:space="0"/>
            </w:tcBorders>
            <w:noWrap/>
            <w:vAlign w:val="center"/>
          </w:tcPr>
          <w:p w14:paraId="6862100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个人卫生</w:t>
            </w: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150EB77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头发禁止漏出发网</w:t>
            </w:r>
          </w:p>
        </w:tc>
        <w:tc>
          <w:tcPr>
            <w:tcW w:w="877" w:type="dxa"/>
            <w:vMerge w:val="restart"/>
            <w:tcBorders>
              <w:top w:val="single" w:color="000000" w:sz="4" w:space="0"/>
              <w:left w:val="single" w:color="000000" w:sz="4" w:space="0"/>
              <w:bottom w:val="single" w:color="000000" w:sz="4" w:space="0"/>
              <w:right w:val="single" w:color="000000" w:sz="4" w:space="0"/>
            </w:tcBorders>
            <w:noWrap/>
            <w:vAlign w:val="center"/>
          </w:tcPr>
          <w:p w14:paraId="70A11A8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p>
        </w:tc>
        <w:tc>
          <w:tcPr>
            <w:tcW w:w="612" w:type="dxa"/>
            <w:vMerge w:val="restart"/>
            <w:tcBorders>
              <w:top w:val="single" w:color="000000" w:sz="4" w:space="0"/>
              <w:left w:val="single" w:color="000000" w:sz="4" w:space="0"/>
              <w:bottom w:val="single" w:color="000000" w:sz="4" w:space="0"/>
              <w:right w:val="single" w:color="000000" w:sz="4" w:space="0"/>
            </w:tcBorders>
            <w:noWrap/>
            <w:vAlign w:val="center"/>
          </w:tcPr>
          <w:p w14:paraId="6F84C0F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5B8155F2">
        <w:tblPrEx>
          <w:tblCellMar>
            <w:top w:w="0" w:type="dxa"/>
            <w:left w:w="108" w:type="dxa"/>
            <w:bottom w:w="0" w:type="dxa"/>
            <w:right w:w="108" w:type="dxa"/>
          </w:tblCellMar>
        </w:tblPrEx>
        <w:trPr>
          <w:trHeight w:val="70"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4C5523E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795009C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指甲干净整齐</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0E93C02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553E8BA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6F856FA3">
        <w:tblPrEx>
          <w:tblCellMar>
            <w:top w:w="0" w:type="dxa"/>
            <w:left w:w="108" w:type="dxa"/>
            <w:bottom w:w="0" w:type="dxa"/>
            <w:right w:w="108" w:type="dxa"/>
          </w:tblCellMar>
        </w:tblPrEx>
        <w:trPr>
          <w:trHeight w:val="231"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0BCB068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06C6F65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手上禁止佩戴饰品</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19E5140A">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043E927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79B46CA6">
        <w:tblPrEx>
          <w:tblCellMar>
            <w:top w:w="0" w:type="dxa"/>
            <w:left w:w="108" w:type="dxa"/>
            <w:bottom w:w="0" w:type="dxa"/>
            <w:right w:w="108" w:type="dxa"/>
          </w:tblCellMar>
        </w:tblPrEx>
        <w:trPr>
          <w:trHeight w:val="125"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6D18B7F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6855C94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工服需干净卫生整洁，需佩戴口罩上岗</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3E18A20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520DE26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3516C776">
        <w:tblPrEx>
          <w:tblCellMar>
            <w:top w:w="0" w:type="dxa"/>
            <w:left w:w="108" w:type="dxa"/>
            <w:bottom w:w="0" w:type="dxa"/>
            <w:right w:w="108" w:type="dxa"/>
          </w:tblCellMar>
        </w:tblPrEx>
        <w:trPr>
          <w:trHeight w:val="261"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19B92294">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6E704E6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操作人员按要求持健康证上岗</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657D6A1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175BBAB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023C82EB">
        <w:tblPrEx>
          <w:tblCellMar>
            <w:top w:w="0" w:type="dxa"/>
            <w:left w:w="108" w:type="dxa"/>
            <w:bottom w:w="0" w:type="dxa"/>
            <w:right w:w="108" w:type="dxa"/>
          </w:tblCellMar>
        </w:tblPrEx>
        <w:trPr>
          <w:trHeight w:val="465" w:hRule="atLeast"/>
          <w:jc w:val="center"/>
        </w:trPr>
        <w:tc>
          <w:tcPr>
            <w:tcW w:w="888" w:type="dxa"/>
            <w:vMerge w:val="restart"/>
            <w:tcBorders>
              <w:top w:val="single" w:color="000000" w:sz="4" w:space="0"/>
              <w:left w:val="single" w:color="000000" w:sz="4" w:space="0"/>
              <w:bottom w:val="nil"/>
              <w:right w:val="single" w:color="000000" w:sz="4" w:space="0"/>
            </w:tcBorders>
            <w:noWrap/>
            <w:vAlign w:val="center"/>
          </w:tcPr>
          <w:p w14:paraId="45EED08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餐厅环境卫生及消毒</w:t>
            </w: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75C3DDD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餐厅取餐台、桌椅、地面无油污、灰尘</w:t>
            </w:r>
          </w:p>
        </w:tc>
        <w:tc>
          <w:tcPr>
            <w:tcW w:w="877" w:type="dxa"/>
            <w:vMerge w:val="restart"/>
            <w:tcBorders>
              <w:top w:val="single" w:color="000000" w:sz="4" w:space="0"/>
              <w:left w:val="single" w:color="000000" w:sz="4" w:space="0"/>
              <w:bottom w:val="single" w:color="000000" w:sz="4" w:space="0"/>
              <w:right w:val="single" w:color="000000" w:sz="4" w:space="0"/>
            </w:tcBorders>
            <w:noWrap/>
            <w:vAlign w:val="center"/>
          </w:tcPr>
          <w:p w14:paraId="76230794">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p>
        </w:tc>
        <w:tc>
          <w:tcPr>
            <w:tcW w:w="612" w:type="dxa"/>
            <w:vMerge w:val="restart"/>
            <w:tcBorders>
              <w:top w:val="single" w:color="000000" w:sz="4" w:space="0"/>
              <w:left w:val="single" w:color="000000" w:sz="4" w:space="0"/>
              <w:bottom w:val="single" w:color="000000" w:sz="4" w:space="0"/>
              <w:right w:val="single" w:color="000000" w:sz="4" w:space="0"/>
            </w:tcBorders>
            <w:noWrap/>
            <w:vAlign w:val="center"/>
          </w:tcPr>
          <w:p w14:paraId="38E69DB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6ED29F94">
        <w:tblPrEx>
          <w:tblCellMar>
            <w:top w:w="0" w:type="dxa"/>
            <w:left w:w="108" w:type="dxa"/>
            <w:bottom w:w="0" w:type="dxa"/>
            <w:right w:w="108" w:type="dxa"/>
          </w:tblCellMar>
        </w:tblPrEx>
        <w:trPr>
          <w:trHeight w:val="420"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66772F4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055CF88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餐厅内无苍蝇、飞虫、绿植是否养护，保持干净</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5AB7460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4407805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7963901B">
        <w:tblPrEx>
          <w:tblCellMar>
            <w:top w:w="0" w:type="dxa"/>
            <w:left w:w="108" w:type="dxa"/>
            <w:bottom w:w="0" w:type="dxa"/>
            <w:right w:w="108" w:type="dxa"/>
          </w:tblCellMar>
        </w:tblPrEx>
        <w:trPr>
          <w:trHeight w:val="345"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2140F025">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53498D3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餐厅消毒记录按时进行记录</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47BA4AC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50D43E3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2DB02EA3">
        <w:tblPrEx>
          <w:tblCellMar>
            <w:top w:w="0" w:type="dxa"/>
            <w:left w:w="108" w:type="dxa"/>
            <w:bottom w:w="0" w:type="dxa"/>
            <w:right w:w="108" w:type="dxa"/>
          </w:tblCellMar>
        </w:tblPrEx>
        <w:trPr>
          <w:trHeight w:val="450"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7B9C4AA0">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35E7CED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餐厅垃圾按规定分类处理</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18F6EB8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53B6FA6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65B54EA4">
        <w:tblPrEx>
          <w:tblCellMar>
            <w:top w:w="0" w:type="dxa"/>
            <w:left w:w="108" w:type="dxa"/>
            <w:bottom w:w="0" w:type="dxa"/>
            <w:right w:w="108" w:type="dxa"/>
          </w:tblCellMar>
        </w:tblPrEx>
        <w:trPr>
          <w:trHeight w:val="465"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5AF9DD0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3EA26AF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餐厅定期请专业人员做好消杀工作</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77EEF38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2502564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379AB22E">
        <w:tblPrEx>
          <w:tblCellMar>
            <w:top w:w="0" w:type="dxa"/>
            <w:left w:w="108" w:type="dxa"/>
            <w:bottom w:w="0" w:type="dxa"/>
            <w:right w:w="108" w:type="dxa"/>
          </w:tblCellMar>
        </w:tblPrEx>
        <w:trPr>
          <w:trHeight w:val="450" w:hRule="atLeast"/>
          <w:jc w:val="center"/>
        </w:trPr>
        <w:tc>
          <w:tcPr>
            <w:tcW w:w="888" w:type="dxa"/>
            <w:vMerge w:val="restart"/>
            <w:tcBorders>
              <w:top w:val="single" w:color="000000" w:sz="4" w:space="0"/>
              <w:left w:val="single" w:color="000000" w:sz="4" w:space="0"/>
              <w:bottom w:val="nil"/>
              <w:right w:val="single" w:color="000000" w:sz="4" w:space="0"/>
            </w:tcBorders>
            <w:noWrap/>
            <w:vAlign w:val="center"/>
          </w:tcPr>
          <w:p w14:paraId="7796C9C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防冻、防滑</w:t>
            </w: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6EC8068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消防管线、水管线是否有跑冒滴漏</w:t>
            </w:r>
          </w:p>
        </w:tc>
        <w:tc>
          <w:tcPr>
            <w:tcW w:w="877" w:type="dxa"/>
            <w:vMerge w:val="restart"/>
            <w:tcBorders>
              <w:top w:val="single" w:color="000000" w:sz="4" w:space="0"/>
              <w:left w:val="single" w:color="000000" w:sz="4" w:space="0"/>
              <w:bottom w:val="single" w:color="000000" w:sz="4" w:space="0"/>
              <w:right w:val="single" w:color="000000" w:sz="4" w:space="0"/>
            </w:tcBorders>
            <w:noWrap/>
            <w:vAlign w:val="center"/>
          </w:tcPr>
          <w:p w14:paraId="0AB023A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p>
        </w:tc>
        <w:tc>
          <w:tcPr>
            <w:tcW w:w="612" w:type="dxa"/>
            <w:vMerge w:val="restart"/>
            <w:tcBorders>
              <w:top w:val="single" w:color="000000" w:sz="4" w:space="0"/>
              <w:left w:val="single" w:color="000000" w:sz="4" w:space="0"/>
              <w:bottom w:val="single" w:color="000000" w:sz="4" w:space="0"/>
              <w:right w:val="single" w:color="000000" w:sz="4" w:space="0"/>
            </w:tcBorders>
            <w:noWrap/>
            <w:vAlign w:val="center"/>
          </w:tcPr>
          <w:p w14:paraId="225525D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0DBB996A">
        <w:tblPrEx>
          <w:tblCellMar>
            <w:top w:w="0" w:type="dxa"/>
            <w:left w:w="108" w:type="dxa"/>
            <w:bottom w:w="0" w:type="dxa"/>
            <w:right w:w="108" w:type="dxa"/>
          </w:tblCellMar>
        </w:tblPrEx>
        <w:trPr>
          <w:trHeight w:val="435"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44B26434">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0ABB026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是否接近于0度位置的管路做过保温处理</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4357BEE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18444299">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63702983">
        <w:tblPrEx>
          <w:tblCellMar>
            <w:top w:w="0" w:type="dxa"/>
            <w:left w:w="108" w:type="dxa"/>
            <w:bottom w:w="0" w:type="dxa"/>
            <w:right w:w="108" w:type="dxa"/>
          </w:tblCellMar>
        </w:tblPrEx>
        <w:trPr>
          <w:trHeight w:val="540"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70F922F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vMerge w:val="restart"/>
            <w:tcBorders>
              <w:top w:val="single" w:color="000000" w:sz="4" w:space="0"/>
              <w:left w:val="single" w:color="000000" w:sz="4" w:space="0"/>
              <w:bottom w:val="single" w:color="000000" w:sz="4" w:space="0"/>
              <w:right w:val="single" w:color="000000" w:sz="4" w:space="0"/>
            </w:tcBorders>
            <w:noWrap/>
            <w:vAlign w:val="center"/>
          </w:tcPr>
          <w:p w14:paraId="20BF450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后厨区域是否有大量水渍</w:t>
            </w:r>
          </w:p>
          <w:p w14:paraId="64C9168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坡道处是否张贴防滑标识，是否有防滑措施</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11714CB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42982FD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1629D257">
        <w:tblPrEx>
          <w:tblCellMar>
            <w:top w:w="0" w:type="dxa"/>
            <w:left w:w="108" w:type="dxa"/>
            <w:bottom w:w="0" w:type="dxa"/>
            <w:right w:w="108" w:type="dxa"/>
          </w:tblCellMar>
        </w:tblPrEx>
        <w:trPr>
          <w:trHeight w:val="400"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60F581B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vMerge w:val="continue"/>
            <w:tcBorders>
              <w:top w:val="single" w:color="000000" w:sz="4" w:space="0"/>
              <w:left w:val="single" w:color="000000" w:sz="4" w:space="0"/>
              <w:bottom w:val="single" w:color="000000" w:sz="4" w:space="0"/>
              <w:right w:val="single" w:color="000000" w:sz="4" w:space="0"/>
            </w:tcBorders>
            <w:noWrap/>
            <w:vAlign w:val="center"/>
          </w:tcPr>
          <w:p w14:paraId="457D743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78E020B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495327C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6C2EA0AE">
        <w:tblPrEx>
          <w:tblCellMar>
            <w:top w:w="0" w:type="dxa"/>
            <w:left w:w="108" w:type="dxa"/>
            <w:bottom w:w="0" w:type="dxa"/>
            <w:right w:w="108" w:type="dxa"/>
          </w:tblCellMar>
        </w:tblPrEx>
        <w:trPr>
          <w:trHeight w:val="540" w:hRule="atLeast"/>
          <w:jc w:val="center"/>
        </w:trPr>
        <w:tc>
          <w:tcPr>
            <w:tcW w:w="888" w:type="dxa"/>
            <w:vMerge w:val="restart"/>
            <w:tcBorders>
              <w:top w:val="single" w:color="000000" w:sz="4" w:space="0"/>
              <w:left w:val="single" w:color="000000" w:sz="4" w:space="0"/>
              <w:bottom w:val="nil"/>
              <w:right w:val="single" w:color="000000" w:sz="4" w:space="0"/>
            </w:tcBorders>
            <w:noWrap/>
            <w:vAlign w:val="center"/>
          </w:tcPr>
          <w:p w14:paraId="5D770D4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防火</w:t>
            </w:r>
          </w:p>
        </w:tc>
        <w:tc>
          <w:tcPr>
            <w:tcW w:w="6150" w:type="dxa"/>
            <w:tcBorders>
              <w:top w:val="single" w:color="000000" w:sz="4" w:space="0"/>
              <w:left w:val="nil"/>
              <w:bottom w:val="single" w:color="000000" w:sz="4" w:space="0"/>
              <w:right w:val="single" w:color="000000" w:sz="4" w:space="0"/>
            </w:tcBorders>
            <w:noWrap/>
            <w:vAlign w:val="center"/>
          </w:tcPr>
          <w:p w14:paraId="3B46179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是否私搭乱接电线，超负荷用电</w:t>
            </w:r>
          </w:p>
          <w:p w14:paraId="0B02F24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员工是否长时间外出未关闭电源、燃气管道阀门</w:t>
            </w:r>
          </w:p>
        </w:tc>
        <w:tc>
          <w:tcPr>
            <w:tcW w:w="877" w:type="dxa"/>
            <w:vMerge w:val="restart"/>
            <w:tcBorders>
              <w:top w:val="single" w:color="000000" w:sz="4" w:space="0"/>
              <w:left w:val="single" w:color="000000" w:sz="4" w:space="0"/>
              <w:bottom w:val="single" w:color="000000" w:sz="4" w:space="0"/>
              <w:right w:val="single" w:color="000000" w:sz="4" w:space="0"/>
            </w:tcBorders>
            <w:noWrap/>
            <w:vAlign w:val="center"/>
          </w:tcPr>
          <w:p w14:paraId="0B15C7D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w:t>
            </w:r>
          </w:p>
        </w:tc>
        <w:tc>
          <w:tcPr>
            <w:tcW w:w="612" w:type="dxa"/>
            <w:vMerge w:val="restart"/>
            <w:tcBorders>
              <w:top w:val="single" w:color="000000" w:sz="4" w:space="0"/>
              <w:left w:val="single" w:color="000000" w:sz="4" w:space="0"/>
              <w:bottom w:val="single" w:color="000000" w:sz="4" w:space="0"/>
              <w:right w:val="single" w:color="000000" w:sz="4" w:space="0"/>
            </w:tcBorders>
            <w:noWrap/>
            <w:vAlign w:val="center"/>
          </w:tcPr>
          <w:p w14:paraId="5DA05D7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1B51BCB4">
        <w:tblPrEx>
          <w:tblCellMar>
            <w:top w:w="0" w:type="dxa"/>
            <w:left w:w="108" w:type="dxa"/>
            <w:bottom w:w="0" w:type="dxa"/>
            <w:right w:w="108" w:type="dxa"/>
          </w:tblCellMar>
        </w:tblPrEx>
        <w:trPr>
          <w:trHeight w:val="480"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53D7161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nil"/>
              <w:bottom w:val="single" w:color="000000" w:sz="4" w:space="0"/>
              <w:right w:val="single" w:color="000000" w:sz="4" w:space="0"/>
            </w:tcBorders>
            <w:noWrap/>
            <w:vAlign w:val="center"/>
          </w:tcPr>
          <w:p w14:paraId="7D784DB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是否对属地燃气、电气、火源及其周边进行检查，及时消除隐患，并留存整改记录</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0B4B71D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685B8D89">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753E71BA">
        <w:tblPrEx>
          <w:tblCellMar>
            <w:top w:w="0" w:type="dxa"/>
            <w:left w:w="108" w:type="dxa"/>
            <w:bottom w:w="0" w:type="dxa"/>
            <w:right w:w="108" w:type="dxa"/>
          </w:tblCellMar>
        </w:tblPrEx>
        <w:trPr>
          <w:trHeight w:val="420"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29C1098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nil"/>
              <w:left w:val="nil"/>
              <w:bottom w:val="single" w:color="000000" w:sz="4" w:space="0"/>
              <w:right w:val="single" w:color="000000" w:sz="4" w:space="0"/>
            </w:tcBorders>
            <w:noWrap/>
            <w:vAlign w:val="center"/>
          </w:tcPr>
          <w:p w14:paraId="6D96519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是否有应急照明，可正常工作</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3AC5ACE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4C87150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706B54CE">
        <w:tblPrEx>
          <w:tblCellMar>
            <w:top w:w="0" w:type="dxa"/>
            <w:left w:w="108" w:type="dxa"/>
            <w:bottom w:w="0" w:type="dxa"/>
            <w:right w:w="108" w:type="dxa"/>
          </w:tblCellMar>
        </w:tblPrEx>
        <w:trPr>
          <w:trHeight w:val="420" w:hRule="atLeast"/>
          <w:jc w:val="center"/>
        </w:trPr>
        <w:tc>
          <w:tcPr>
            <w:tcW w:w="888" w:type="dxa"/>
            <w:vMerge w:val="continue"/>
            <w:tcBorders>
              <w:top w:val="single" w:color="000000" w:sz="4" w:space="0"/>
              <w:left w:val="single" w:color="000000" w:sz="4" w:space="0"/>
              <w:bottom w:val="nil"/>
              <w:right w:val="single" w:color="000000" w:sz="4" w:space="0"/>
            </w:tcBorders>
            <w:noWrap/>
            <w:vAlign w:val="center"/>
          </w:tcPr>
          <w:p w14:paraId="779DD1A5">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nil"/>
              <w:left w:val="nil"/>
              <w:bottom w:val="nil"/>
              <w:right w:val="single" w:color="000000" w:sz="4" w:space="0"/>
            </w:tcBorders>
            <w:noWrap/>
            <w:vAlign w:val="center"/>
          </w:tcPr>
          <w:p w14:paraId="7C80A87D">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现场是否有安全出口等逃生路线标识</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6ECCC5D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40CF6BE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23EAF30A">
        <w:tblPrEx>
          <w:tblCellMar>
            <w:top w:w="0" w:type="dxa"/>
            <w:left w:w="108" w:type="dxa"/>
            <w:bottom w:w="0" w:type="dxa"/>
            <w:right w:w="108" w:type="dxa"/>
          </w:tblCellMar>
        </w:tblPrEx>
        <w:trPr>
          <w:trHeight w:val="390" w:hRule="atLeast"/>
          <w:jc w:val="center"/>
        </w:trPr>
        <w:tc>
          <w:tcPr>
            <w:tcW w:w="888" w:type="dxa"/>
            <w:vMerge w:val="restart"/>
            <w:tcBorders>
              <w:top w:val="single" w:color="000000" w:sz="4" w:space="0"/>
              <w:left w:val="single" w:color="000000" w:sz="4" w:space="0"/>
              <w:bottom w:val="single" w:color="000000" w:sz="4" w:space="0"/>
              <w:right w:val="single" w:color="000000" w:sz="4" w:space="0"/>
            </w:tcBorders>
            <w:noWrap/>
            <w:vAlign w:val="center"/>
          </w:tcPr>
          <w:p w14:paraId="60A1658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防爆、防中毒</w:t>
            </w: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2AC0240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是否有燃气检测记录</w:t>
            </w:r>
          </w:p>
        </w:tc>
        <w:tc>
          <w:tcPr>
            <w:tcW w:w="877" w:type="dxa"/>
            <w:vMerge w:val="restart"/>
            <w:tcBorders>
              <w:top w:val="single" w:color="000000" w:sz="4" w:space="0"/>
              <w:left w:val="single" w:color="000000" w:sz="4" w:space="0"/>
              <w:bottom w:val="single" w:color="000000" w:sz="4" w:space="0"/>
              <w:right w:val="single" w:color="000000" w:sz="4" w:space="0"/>
            </w:tcBorders>
            <w:noWrap/>
            <w:vAlign w:val="center"/>
          </w:tcPr>
          <w:p w14:paraId="2833581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w:t>
            </w:r>
          </w:p>
        </w:tc>
        <w:tc>
          <w:tcPr>
            <w:tcW w:w="612" w:type="dxa"/>
            <w:vMerge w:val="restart"/>
            <w:tcBorders>
              <w:top w:val="single" w:color="000000" w:sz="4" w:space="0"/>
              <w:left w:val="single" w:color="000000" w:sz="4" w:space="0"/>
              <w:bottom w:val="single" w:color="000000" w:sz="4" w:space="0"/>
              <w:right w:val="single" w:color="000000" w:sz="4" w:space="0"/>
            </w:tcBorders>
            <w:noWrap/>
            <w:vAlign w:val="center"/>
          </w:tcPr>
          <w:p w14:paraId="54C8517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11FCFC40">
        <w:tblPrEx>
          <w:tblCellMar>
            <w:top w:w="0" w:type="dxa"/>
            <w:left w:w="108" w:type="dxa"/>
            <w:bottom w:w="0" w:type="dxa"/>
            <w:right w:w="108" w:type="dxa"/>
          </w:tblCellMar>
        </w:tblPrEx>
        <w:trPr>
          <w:trHeight w:val="360"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077A9D2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05EC995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是否有防爆照明手电</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60C2ADB0">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278E1D0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2B7262D7">
        <w:tblPrEx>
          <w:tblCellMar>
            <w:top w:w="0" w:type="dxa"/>
            <w:left w:w="108" w:type="dxa"/>
            <w:bottom w:w="0" w:type="dxa"/>
            <w:right w:w="108" w:type="dxa"/>
          </w:tblCellMar>
        </w:tblPrEx>
        <w:trPr>
          <w:trHeight w:val="390"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3165E124">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tcBorders>
              <w:top w:val="single" w:color="000000" w:sz="4" w:space="0"/>
              <w:left w:val="single" w:color="000000" w:sz="4" w:space="0"/>
              <w:bottom w:val="single" w:color="000000" w:sz="4" w:space="0"/>
              <w:right w:val="single" w:color="000000" w:sz="4" w:space="0"/>
            </w:tcBorders>
            <w:noWrap/>
            <w:vAlign w:val="center"/>
          </w:tcPr>
          <w:p w14:paraId="2C7AFD4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是否有固定式燃气探测器年检记录</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0552F5B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5AA9496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6C2CA393">
        <w:tblPrEx>
          <w:tblCellMar>
            <w:top w:w="0" w:type="dxa"/>
            <w:left w:w="108" w:type="dxa"/>
            <w:bottom w:w="0" w:type="dxa"/>
            <w:right w:w="108" w:type="dxa"/>
          </w:tblCellMar>
        </w:tblPrEx>
        <w:trPr>
          <w:trHeight w:val="540"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5E46AB3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vMerge w:val="restart"/>
            <w:tcBorders>
              <w:top w:val="single" w:color="000000" w:sz="4" w:space="0"/>
              <w:left w:val="single" w:color="000000" w:sz="4" w:space="0"/>
              <w:bottom w:val="single" w:color="000000" w:sz="4" w:space="0"/>
              <w:right w:val="single" w:color="000000" w:sz="4" w:space="0"/>
            </w:tcBorders>
            <w:noWrap/>
            <w:vAlign w:val="center"/>
          </w:tcPr>
          <w:p w14:paraId="582275E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火碱是否储存于阴凉、干燥、通风良好的库房 包装是否密封，是否受潮</w:t>
            </w: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3D1114FA">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535E854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0107FD17">
        <w:tblPrEx>
          <w:tblCellMar>
            <w:top w:w="0" w:type="dxa"/>
            <w:left w:w="108" w:type="dxa"/>
            <w:bottom w:w="0" w:type="dxa"/>
            <w:right w:w="108" w:type="dxa"/>
          </w:tblCellMar>
        </w:tblPrEx>
        <w:trPr>
          <w:trHeight w:val="400" w:hRule="atLeast"/>
          <w:jc w:val="center"/>
        </w:trPr>
        <w:tc>
          <w:tcPr>
            <w:tcW w:w="888" w:type="dxa"/>
            <w:vMerge w:val="continue"/>
            <w:tcBorders>
              <w:top w:val="single" w:color="000000" w:sz="4" w:space="0"/>
              <w:left w:val="single" w:color="000000" w:sz="4" w:space="0"/>
              <w:bottom w:val="single" w:color="000000" w:sz="4" w:space="0"/>
              <w:right w:val="single" w:color="000000" w:sz="4" w:space="0"/>
            </w:tcBorders>
            <w:noWrap/>
            <w:vAlign w:val="center"/>
          </w:tcPr>
          <w:p w14:paraId="078C3EF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50" w:type="dxa"/>
            <w:vMerge w:val="continue"/>
            <w:tcBorders>
              <w:top w:val="single" w:color="000000" w:sz="4" w:space="0"/>
              <w:left w:val="single" w:color="000000" w:sz="4" w:space="0"/>
              <w:bottom w:val="single" w:color="000000" w:sz="4" w:space="0"/>
              <w:right w:val="single" w:color="000000" w:sz="4" w:space="0"/>
            </w:tcBorders>
            <w:noWrap/>
            <w:vAlign w:val="center"/>
          </w:tcPr>
          <w:p w14:paraId="2A58F15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877" w:type="dxa"/>
            <w:vMerge w:val="continue"/>
            <w:tcBorders>
              <w:top w:val="single" w:color="000000" w:sz="4" w:space="0"/>
              <w:left w:val="single" w:color="000000" w:sz="4" w:space="0"/>
              <w:bottom w:val="single" w:color="000000" w:sz="4" w:space="0"/>
              <w:right w:val="single" w:color="000000" w:sz="4" w:space="0"/>
            </w:tcBorders>
            <w:noWrap/>
            <w:vAlign w:val="center"/>
          </w:tcPr>
          <w:p w14:paraId="312F350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612" w:type="dxa"/>
            <w:vMerge w:val="continue"/>
            <w:tcBorders>
              <w:top w:val="single" w:color="000000" w:sz="4" w:space="0"/>
              <w:left w:val="single" w:color="000000" w:sz="4" w:space="0"/>
              <w:bottom w:val="single" w:color="000000" w:sz="4" w:space="0"/>
              <w:right w:val="single" w:color="000000" w:sz="4" w:space="0"/>
            </w:tcBorders>
            <w:noWrap/>
            <w:vAlign w:val="center"/>
          </w:tcPr>
          <w:p w14:paraId="7B121DA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5791913D">
        <w:tblPrEx>
          <w:tblCellMar>
            <w:top w:w="0" w:type="dxa"/>
            <w:left w:w="108" w:type="dxa"/>
            <w:bottom w:w="0" w:type="dxa"/>
            <w:right w:w="108" w:type="dxa"/>
          </w:tblCellMar>
        </w:tblPrEx>
        <w:trPr>
          <w:trHeight w:val="405" w:hRule="atLeast"/>
          <w:jc w:val="center"/>
        </w:trPr>
        <w:tc>
          <w:tcPr>
            <w:tcW w:w="888" w:type="dxa"/>
            <w:tcBorders>
              <w:top w:val="single" w:color="000000" w:sz="4" w:space="0"/>
              <w:left w:val="single" w:color="000000" w:sz="4" w:space="0"/>
              <w:bottom w:val="single" w:color="000000" w:sz="4" w:space="0"/>
              <w:right w:val="single" w:color="000000" w:sz="4" w:space="0"/>
            </w:tcBorders>
            <w:noWrap/>
            <w:vAlign w:val="center"/>
          </w:tcPr>
          <w:p w14:paraId="2A850D09">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合计得分</w:t>
            </w:r>
          </w:p>
        </w:tc>
        <w:tc>
          <w:tcPr>
            <w:tcW w:w="7639" w:type="dxa"/>
            <w:gridSpan w:val="3"/>
            <w:tcBorders>
              <w:top w:val="single" w:color="000000" w:sz="4" w:space="0"/>
              <w:left w:val="single" w:color="000000" w:sz="4" w:space="0"/>
              <w:bottom w:val="single" w:color="000000" w:sz="4" w:space="0"/>
              <w:right w:val="single" w:color="000000" w:sz="4" w:space="0"/>
            </w:tcBorders>
            <w:noWrap/>
            <w:vAlign w:val="center"/>
          </w:tcPr>
          <w:p w14:paraId="4D51D62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bl>
    <w:p w14:paraId="1D32DAE4">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3）学校餐厅领导小组打分（10%）：领导小组每季度对餐厅运行状况进行打分；</w:t>
      </w:r>
    </w:p>
    <w:tbl>
      <w:tblPr>
        <w:tblStyle w:val="5"/>
        <w:tblW w:w="8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5907"/>
        <w:gridCol w:w="647"/>
        <w:gridCol w:w="597"/>
      </w:tblGrid>
      <w:tr w14:paraId="44A16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09" w:type="dxa"/>
            <w:noWrap/>
            <w:vAlign w:val="center"/>
          </w:tcPr>
          <w:p w14:paraId="4304228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评分项目</w:t>
            </w:r>
          </w:p>
        </w:tc>
        <w:tc>
          <w:tcPr>
            <w:tcW w:w="5907" w:type="dxa"/>
            <w:noWrap/>
            <w:vAlign w:val="center"/>
          </w:tcPr>
          <w:p w14:paraId="10ACD29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评分标准</w:t>
            </w:r>
          </w:p>
        </w:tc>
        <w:tc>
          <w:tcPr>
            <w:tcW w:w="647" w:type="dxa"/>
            <w:noWrap/>
            <w:vAlign w:val="center"/>
          </w:tcPr>
          <w:p w14:paraId="5117738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分值</w:t>
            </w:r>
          </w:p>
        </w:tc>
        <w:tc>
          <w:tcPr>
            <w:tcW w:w="597" w:type="dxa"/>
            <w:noWrap/>
            <w:vAlign w:val="center"/>
          </w:tcPr>
          <w:p w14:paraId="0BB89E6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得分</w:t>
            </w:r>
          </w:p>
        </w:tc>
      </w:tr>
      <w:tr w14:paraId="2870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restart"/>
            <w:noWrap/>
            <w:vAlign w:val="center"/>
          </w:tcPr>
          <w:p w14:paraId="002DD77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菜品情况</w:t>
            </w:r>
          </w:p>
        </w:tc>
        <w:tc>
          <w:tcPr>
            <w:tcW w:w="5907" w:type="dxa"/>
            <w:noWrap/>
            <w:vAlign w:val="center"/>
          </w:tcPr>
          <w:p w14:paraId="79B06565">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菜品色泽自然，形态美观，颜色搭配合理</w:t>
            </w:r>
          </w:p>
        </w:tc>
        <w:tc>
          <w:tcPr>
            <w:tcW w:w="647" w:type="dxa"/>
            <w:vMerge w:val="restart"/>
            <w:noWrap/>
            <w:vAlign w:val="center"/>
          </w:tcPr>
          <w:p w14:paraId="7F2EBA1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w:t>
            </w:r>
          </w:p>
        </w:tc>
        <w:tc>
          <w:tcPr>
            <w:tcW w:w="597" w:type="dxa"/>
            <w:vMerge w:val="restart"/>
            <w:noWrap/>
            <w:vAlign w:val="center"/>
          </w:tcPr>
          <w:p w14:paraId="3EA704D0">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7FEC6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continue"/>
            <w:noWrap/>
            <w:vAlign w:val="center"/>
          </w:tcPr>
          <w:p w14:paraId="7DEE361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369DE9B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菜品新鲜，调味适当，主味突出，口感适当</w:t>
            </w:r>
          </w:p>
        </w:tc>
        <w:tc>
          <w:tcPr>
            <w:tcW w:w="647" w:type="dxa"/>
            <w:vMerge w:val="continue"/>
            <w:noWrap/>
            <w:vAlign w:val="center"/>
          </w:tcPr>
          <w:p w14:paraId="631D12A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6D62BCA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4126A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continue"/>
            <w:noWrap/>
            <w:vAlign w:val="center"/>
          </w:tcPr>
          <w:p w14:paraId="2B41E395">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19C4A32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菜品荤素搭配合理，营养搭配科学健康</w:t>
            </w:r>
          </w:p>
        </w:tc>
        <w:tc>
          <w:tcPr>
            <w:tcW w:w="647" w:type="dxa"/>
            <w:vMerge w:val="continue"/>
            <w:noWrap/>
            <w:vAlign w:val="center"/>
          </w:tcPr>
          <w:p w14:paraId="27B492D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55733E3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276D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continue"/>
            <w:noWrap/>
            <w:vAlign w:val="center"/>
          </w:tcPr>
          <w:p w14:paraId="042A945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708888D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菜品补充及时，保温到位，确保饭菜温度。</w:t>
            </w:r>
          </w:p>
        </w:tc>
        <w:tc>
          <w:tcPr>
            <w:tcW w:w="647" w:type="dxa"/>
            <w:vMerge w:val="continue"/>
            <w:noWrap/>
            <w:vAlign w:val="center"/>
          </w:tcPr>
          <w:p w14:paraId="40F6A0C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508207A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5596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continue"/>
            <w:noWrap/>
            <w:vAlign w:val="center"/>
          </w:tcPr>
          <w:p w14:paraId="1F69604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289E549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菜品种类多样，具有创新意识，体现地域特色</w:t>
            </w:r>
          </w:p>
        </w:tc>
        <w:tc>
          <w:tcPr>
            <w:tcW w:w="647" w:type="dxa"/>
            <w:vMerge w:val="continue"/>
            <w:noWrap/>
            <w:vAlign w:val="center"/>
          </w:tcPr>
          <w:p w14:paraId="5D20CAF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4E16A3CB">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01145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909" w:type="dxa"/>
            <w:vMerge w:val="restart"/>
            <w:noWrap/>
            <w:vAlign w:val="center"/>
          </w:tcPr>
          <w:p w14:paraId="0A1C4DD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现场服务</w:t>
            </w:r>
          </w:p>
        </w:tc>
        <w:tc>
          <w:tcPr>
            <w:tcW w:w="5907" w:type="dxa"/>
            <w:noWrap/>
            <w:vAlign w:val="center"/>
          </w:tcPr>
          <w:p w14:paraId="7AE233E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服装统一，外表干净利落，精神状态饱满，头发扎起，未佩戴首饰等，符合规范</w:t>
            </w:r>
          </w:p>
        </w:tc>
        <w:tc>
          <w:tcPr>
            <w:tcW w:w="647" w:type="dxa"/>
            <w:vMerge w:val="restart"/>
            <w:noWrap/>
            <w:vAlign w:val="center"/>
          </w:tcPr>
          <w:p w14:paraId="52EDEAC0">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w:t>
            </w:r>
          </w:p>
        </w:tc>
        <w:tc>
          <w:tcPr>
            <w:tcW w:w="597" w:type="dxa"/>
            <w:vMerge w:val="restart"/>
            <w:noWrap/>
            <w:vAlign w:val="center"/>
          </w:tcPr>
          <w:p w14:paraId="0C53ACA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5B0E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continue"/>
            <w:noWrap/>
            <w:vAlign w:val="center"/>
          </w:tcPr>
          <w:p w14:paraId="05291F4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15A0B990">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服务热情主动周到，耐心细致提供贴心服务</w:t>
            </w:r>
          </w:p>
        </w:tc>
        <w:tc>
          <w:tcPr>
            <w:tcW w:w="647" w:type="dxa"/>
            <w:vMerge w:val="continue"/>
            <w:noWrap/>
            <w:vAlign w:val="center"/>
          </w:tcPr>
          <w:p w14:paraId="51FB8A15">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39ED2E1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768C0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909" w:type="dxa"/>
            <w:vMerge w:val="continue"/>
            <w:noWrap/>
            <w:vAlign w:val="center"/>
          </w:tcPr>
          <w:p w14:paraId="642C711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17FC1BA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服务用语规范，能及时解答就餐人员的问题，不清楚的问题能做到及时反馈</w:t>
            </w:r>
          </w:p>
        </w:tc>
        <w:tc>
          <w:tcPr>
            <w:tcW w:w="647" w:type="dxa"/>
            <w:vMerge w:val="continue"/>
            <w:noWrap/>
            <w:vAlign w:val="center"/>
          </w:tcPr>
          <w:p w14:paraId="3DBCF53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1518E16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114E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continue"/>
            <w:noWrap/>
            <w:vAlign w:val="center"/>
          </w:tcPr>
          <w:p w14:paraId="7512610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5D2276A8">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操作卫生规范，符合相应的工作流程标准</w:t>
            </w:r>
          </w:p>
        </w:tc>
        <w:tc>
          <w:tcPr>
            <w:tcW w:w="647" w:type="dxa"/>
            <w:vMerge w:val="continue"/>
            <w:noWrap/>
            <w:vAlign w:val="center"/>
          </w:tcPr>
          <w:p w14:paraId="0E2EEEC4">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398A7F9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5704A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continue"/>
            <w:noWrap/>
            <w:vAlign w:val="center"/>
          </w:tcPr>
          <w:p w14:paraId="0B0C46B9">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7101EE7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有明确的责任分工，能在做好自己工作的同时相互帮助</w:t>
            </w:r>
          </w:p>
        </w:tc>
        <w:tc>
          <w:tcPr>
            <w:tcW w:w="647" w:type="dxa"/>
            <w:vMerge w:val="continue"/>
            <w:noWrap/>
            <w:vAlign w:val="center"/>
          </w:tcPr>
          <w:p w14:paraId="72261B1A">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3AEAA690">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26ECB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09" w:type="dxa"/>
            <w:vMerge w:val="restart"/>
            <w:noWrap/>
            <w:vAlign w:val="center"/>
          </w:tcPr>
          <w:p w14:paraId="69A20DA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环境卫生</w:t>
            </w:r>
          </w:p>
        </w:tc>
        <w:tc>
          <w:tcPr>
            <w:tcW w:w="5907" w:type="dxa"/>
            <w:noWrap/>
            <w:vAlign w:val="center"/>
          </w:tcPr>
          <w:p w14:paraId="08F1F69E">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餐厅打餐区及就餐区的工作台、桌椅排列整齐，桌面、地面无污渍，环境温馨，绿植茂盛干净</w:t>
            </w:r>
          </w:p>
        </w:tc>
        <w:tc>
          <w:tcPr>
            <w:tcW w:w="647" w:type="dxa"/>
            <w:vMerge w:val="restart"/>
            <w:noWrap/>
            <w:vAlign w:val="center"/>
          </w:tcPr>
          <w:p w14:paraId="458EBB0E">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30</w:t>
            </w:r>
          </w:p>
        </w:tc>
        <w:tc>
          <w:tcPr>
            <w:tcW w:w="597" w:type="dxa"/>
            <w:vMerge w:val="restart"/>
            <w:noWrap/>
            <w:vAlign w:val="center"/>
          </w:tcPr>
          <w:p w14:paraId="0FAACFA5">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776D8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continue"/>
            <w:noWrap/>
            <w:vAlign w:val="center"/>
          </w:tcPr>
          <w:p w14:paraId="6181FBA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529F5BC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餐具每餐后清洗、消毒，不得有残留物</w:t>
            </w:r>
          </w:p>
        </w:tc>
        <w:tc>
          <w:tcPr>
            <w:tcW w:w="647" w:type="dxa"/>
            <w:vMerge w:val="continue"/>
            <w:noWrap/>
            <w:vAlign w:val="center"/>
          </w:tcPr>
          <w:p w14:paraId="468FD62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1717643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4574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continue"/>
            <w:noWrap/>
            <w:vAlign w:val="center"/>
          </w:tcPr>
          <w:p w14:paraId="3F3C079C">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7CFCCBC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餐厅每日早晚按时消杀，做好记录并在显著位置进行公示</w:t>
            </w:r>
          </w:p>
        </w:tc>
        <w:tc>
          <w:tcPr>
            <w:tcW w:w="647" w:type="dxa"/>
            <w:vMerge w:val="continue"/>
            <w:noWrap/>
            <w:vAlign w:val="center"/>
          </w:tcPr>
          <w:p w14:paraId="09237967">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30F516B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4BDC4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continue"/>
            <w:noWrap/>
            <w:vAlign w:val="center"/>
          </w:tcPr>
          <w:p w14:paraId="215CC26D">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7E9B97D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餐厅设施设备齐全，运行正常</w:t>
            </w:r>
          </w:p>
        </w:tc>
        <w:tc>
          <w:tcPr>
            <w:tcW w:w="647" w:type="dxa"/>
            <w:vMerge w:val="continue"/>
            <w:noWrap/>
            <w:vAlign w:val="center"/>
          </w:tcPr>
          <w:p w14:paraId="321C7DC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0A111196">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7AA4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909" w:type="dxa"/>
            <w:vMerge w:val="continue"/>
            <w:noWrap/>
            <w:vAlign w:val="center"/>
          </w:tcPr>
          <w:p w14:paraId="5D36694F">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07" w:type="dxa"/>
            <w:noWrap/>
            <w:vAlign w:val="center"/>
          </w:tcPr>
          <w:p w14:paraId="0B72F6E3">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垃圾分类工作有序开展，有明确标示或专人提醒对餐余垃圾进行分类</w:t>
            </w:r>
          </w:p>
        </w:tc>
        <w:tc>
          <w:tcPr>
            <w:tcW w:w="647" w:type="dxa"/>
            <w:vMerge w:val="continue"/>
            <w:noWrap/>
            <w:vAlign w:val="center"/>
          </w:tcPr>
          <w:p w14:paraId="5476074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c>
          <w:tcPr>
            <w:tcW w:w="597" w:type="dxa"/>
            <w:vMerge w:val="continue"/>
            <w:noWrap/>
            <w:vAlign w:val="center"/>
          </w:tcPr>
          <w:p w14:paraId="4F012992">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r w14:paraId="734E0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noWrap/>
            <w:vAlign w:val="center"/>
          </w:tcPr>
          <w:p w14:paraId="18D5899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合计得分</w:t>
            </w:r>
          </w:p>
        </w:tc>
        <w:tc>
          <w:tcPr>
            <w:tcW w:w="7151" w:type="dxa"/>
            <w:gridSpan w:val="3"/>
            <w:noWrap/>
            <w:vAlign w:val="center"/>
          </w:tcPr>
          <w:p w14:paraId="530B4B21">
            <w:pPr>
              <w:keepNext w:val="0"/>
              <w:keepLines w:val="0"/>
              <w:pageBreakBefore w:val="0"/>
              <w:kinsoku/>
              <w:overflowPunct/>
              <w:topLinePunct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p>
        </w:tc>
      </w:tr>
    </w:tbl>
    <w:p w14:paraId="1380DE83">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4）奖励分：根据奖励细则进行相应加分，</w:t>
      </w:r>
      <w:r>
        <w:rPr>
          <w:rFonts w:hint="eastAsia" w:ascii="宋体" w:hAnsi="宋体" w:eastAsia="宋体" w:cs="宋体"/>
          <w:color w:val="auto"/>
          <w:sz w:val="28"/>
          <w:szCs w:val="28"/>
          <w:highlight w:val="none"/>
          <w:lang w:val="en-US" w:eastAsia="zh-CN"/>
        </w:rPr>
        <w:t>上限10分</w:t>
      </w:r>
      <w:r>
        <w:rPr>
          <w:rFonts w:hint="eastAsia" w:ascii="宋体" w:hAnsi="宋体" w:eastAsia="宋体" w:cs="宋体"/>
          <w:color w:val="auto"/>
          <w:sz w:val="28"/>
          <w:szCs w:val="28"/>
          <w:highlight w:val="none"/>
        </w:rPr>
        <w:t>。</w:t>
      </w:r>
    </w:p>
    <w:p w14:paraId="51E4F452">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如得分在90分以上，按全额支付当季度的考核奖金；如得分在70-90分，按80%支付当季度的考核奖金；如得分在70分以下则扣除当季度的考核奖金并立即根据意见建议进行整改。</w:t>
      </w:r>
    </w:p>
    <w:p w14:paraId="577DD87C">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餐厅运营单位应保障食材及用餐环境的安全卫生，学校餐厅领导小组办公室将随时进行抽查，如发现违反此规定相关制度一次，将对相关员工进行批评整改并通报餐厅主管；如累计发现三次，餐厅运行方需进行相关人员更替。</w:t>
      </w:r>
    </w:p>
    <w:p w14:paraId="11E70011">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（三）如有以下情况，可适当对餐厅季度考核进行加分：</w:t>
      </w:r>
    </w:p>
    <w:p w14:paraId="65FA38AE">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1）季度满意度测评得分达到95%以上的，季度评测可加5分；</w:t>
      </w:r>
    </w:p>
    <w:p w14:paraId="4B5D675E">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2）积极主动提供优质服务，得到学校教职工认可的，季度评测可加10分；</w:t>
      </w:r>
    </w:p>
    <w:p w14:paraId="59535A29">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3）积极创新工作方式方法，并取得显著效果的，季度评测可加3分；</w:t>
      </w:r>
    </w:p>
    <w:p w14:paraId="6DB6CF01">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（四）如发生以下情况将扣除当月奖金并立即进行整改，且一次扣除季度评测5分，如累计发生三次及以上，将终止与餐厅运营单位的合同：</w:t>
      </w:r>
    </w:p>
    <w:p w14:paraId="3C9C0C0B">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1）饭菜质量收到投诉且未在限期内完成整改的；</w:t>
      </w:r>
    </w:p>
    <w:p w14:paraId="6A233875">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2）与用餐人员发生冲突，造成严重影响的；</w:t>
      </w:r>
    </w:p>
    <w:p w14:paraId="17463D87">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3）不服从学校餐厅领导小组办公室领导，不接受职能部门监督而造成严重影响的。</w:t>
      </w:r>
    </w:p>
    <w:p w14:paraId="1B76F10A">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（五）如发生下列情况，将立即终止与餐厅运行公司的合同，并追究其相应法律责任：</w:t>
      </w:r>
    </w:p>
    <w:p w14:paraId="4413D6FC">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1.提供餐厅服务时，出现5人及以上较大集体食品安全事故的；</w:t>
      </w:r>
    </w:p>
    <w:p w14:paraId="614D729A">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2.因管理不善，发生严重盗窃、人身伤害、火灾等安全事故或刑事治安事件的。</w:t>
      </w:r>
    </w:p>
    <w:p w14:paraId="3A001B93">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十一、附件</w:t>
      </w:r>
    </w:p>
    <w:p w14:paraId="312EB14B">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附件一：《学校餐厅工作规范及标准》</w:t>
      </w:r>
    </w:p>
    <w:p w14:paraId="67544A62">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附件二：《原材料采购要求和标准》</w:t>
      </w:r>
    </w:p>
    <w:p w14:paraId="1BED2077">
      <w:pPr>
        <w:pStyle w:val="7"/>
        <w:keepNext w:val="0"/>
        <w:keepLines w:val="0"/>
        <w:pageBreakBefore w:val="0"/>
        <w:kinsoku/>
        <w:wordWrap/>
        <w:overflowPunct/>
        <w:topLinePunct w:val="0"/>
        <w:bidi w:val="0"/>
        <w:adjustRightInd/>
        <w:spacing w:line="360" w:lineRule="auto"/>
        <w:ind w:right="0" w:rightChars="0"/>
        <w:jc w:val="center"/>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附件一：</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学校餐厅工作规范及标准</w:t>
      </w:r>
    </w:p>
    <w:p w14:paraId="7303396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一、餐厅服务标准</w:t>
      </w:r>
    </w:p>
    <w:p w14:paraId="5DBE7C9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1.范围</w:t>
      </w:r>
    </w:p>
    <w:p w14:paraId="6FBE61AD">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本标准规定了西安市航天城第一中学餐厅服务内容和要求。</w:t>
      </w:r>
    </w:p>
    <w:p w14:paraId="75B62C3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2.规范性引用文件</w:t>
      </w:r>
    </w:p>
    <w:p w14:paraId="57BC349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下列文件中的条款通过本标准的引用而成为本标准的条款。凡是注日期的引用文件，其随后所有的修改单（不包括勘误的内容）或修订版均不适用于本标准，鼓励根据本标准达成协议的各方研究是否可使用这些文件的最新版本。凡是不注日期的引用文件，其最新版本适用于本标准。</w:t>
      </w:r>
    </w:p>
    <w:p w14:paraId="5D9428F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《中华人民共和国食品安全法》（2021修正）</w:t>
      </w:r>
    </w:p>
    <w:p w14:paraId="17F52B9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GB 5749-20</w:t>
      </w:r>
      <w:r>
        <w:rPr>
          <w:rFonts w:hint="eastAsia" w:ascii="宋体" w:hAnsi="宋体" w:eastAsia="宋体" w:cs="宋体"/>
          <w:color w:val="auto"/>
          <w:sz w:val="28"/>
          <w:szCs w:val="28"/>
          <w:highlight w:val="none"/>
          <w:lang w:val="en-US" w:eastAsia="zh-CN"/>
        </w:rPr>
        <w:t>22</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《生活饮用水卫生标准》</w:t>
      </w:r>
    </w:p>
    <w:p w14:paraId="3396ADE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GB 2760-20</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《食品安全国家标准 食品添加剂使用标准》</w:t>
      </w:r>
    </w:p>
    <w:p w14:paraId="369A538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GB 14934-2016</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《食品安全国家标准 消毒餐（饮）具》</w:t>
      </w:r>
    </w:p>
    <w:p w14:paraId="1ED0571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GB 18483-2001</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《饮食业油烟排放标准》</w:t>
      </w:r>
    </w:p>
    <w:p w14:paraId="1D887D2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GB 14930.1-20</w:t>
      </w:r>
      <w:r>
        <w:rPr>
          <w:rFonts w:hint="eastAsia" w:ascii="宋体" w:hAnsi="宋体" w:eastAsia="宋体" w:cs="宋体"/>
          <w:color w:val="auto"/>
          <w:sz w:val="28"/>
          <w:szCs w:val="28"/>
          <w:highlight w:val="none"/>
          <w:lang w:val="en-US" w:eastAsia="zh-CN"/>
        </w:rPr>
        <w:t xml:space="preserve">22 </w:t>
      </w:r>
      <w:r>
        <w:rPr>
          <w:rFonts w:hint="eastAsia" w:ascii="宋体" w:hAnsi="宋体" w:eastAsia="宋体" w:cs="宋体"/>
          <w:color w:val="auto"/>
          <w:sz w:val="28"/>
          <w:szCs w:val="28"/>
          <w:highlight w:val="none"/>
        </w:rPr>
        <w:t>《食品安全国家标准 洗涤剂》</w:t>
      </w:r>
    </w:p>
    <w:p w14:paraId="1835F6E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GB 14930.2-20</w:t>
      </w:r>
      <w:r>
        <w:rPr>
          <w:rFonts w:hint="eastAsia" w:ascii="宋体" w:hAnsi="宋体" w:eastAsia="宋体" w:cs="宋体"/>
          <w:color w:val="auto"/>
          <w:sz w:val="28"/>
          <w:szCs w:val="28"/>
          <w:highlight w:val="none"/>
          <w:lang w:val="en-US" w:eastAsia="zh-CN"/>
        </w:rPr>
        <w:t xml:space="preserve">25 </w:t>
      </w:r>
      <w:r>
        <w:rPr>
          <w:rFonts w:hint="eastAsia" w:ascii="宋体" w:hAnsi="宋体" w:eastAsia="宋体" w:cs="宋体"/>
          <w:color w:val="auto"/>
          <w:sz w:val="28"/>
          <w:szCs w:val="28"/>
          <w:highlight w:val="none"/>
        </w:rPr>
        <w:t>《消毒剂》</w:t>
      </w:r>
    </w:p>
    <w:p w14:paraId="694D6BB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3.术语和定义</w:t>
      </w:r>
    </w:p>
    <w:p w14:paraId="5A2ADC2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3.1食品：指各种供人食用或者饮用的成品和原料以及按照传统既是食品又是药品的物品，但是不包括以治疗为目的的物品。在本标准中主要指原料、半成品、成品。</w:t>
      </w:r>
    </w:p>
    <w:p w14:paraId="394C50E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3.2原料：指供烹饪加工制作食品所用的一切可食用的物质和材料。</w:t>
      </w:r>
    </w:p>
    <w:p w14:paraId="3FC8A97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3.3半成品：指食品原料经初步或部分加工后，尚需进一步加工制作的食品或原料。</w:t>
      </w:r>
    </w:p>
    <w:p w14:paraId="101A74F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3.3成品：指经过加工制成的或待出售的可直接食用的食品。</w:t>
      </w:r>
    </w:p>
    <w:p w14:paraId="620580F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3.4从业人员：指餐厅中从事食品采购、保存、加工、供餐服务等工作的人员。</w:t>
      </w:r>
    </w:p>
    <w:p w14:paraId="08326DA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3.5食品添加剂：指为改善食品品质和色、香、味，以及为防腐和加工工艺的需要而加入食品中的化学合成或者天然物质。</w:t>
      </w:r>
    </w:p>
    <w:p w14:paraId="11A4C62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3.6冷藏：指为保鲜和防腐的需要，将食品或原料置于冰点以上较低温度条件下贮存的过程，冷藏温度的范围应在0～10℃之间。</w:t>
      </w:r>
    </w:p>
    <w:p w14:paraId="7951B78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3.7冷冻：指将食品或原料置于冰点温度以下，以保持冰冻状态的贮存过程，冷冻温度的范围应在－20℃～－1℃之间。</w:t>
      </w:r>
    </w:p>
    <w:p w14:paraId="4EF9AFB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3.8清洗：指利用清水清除原料夹带的杂质和原料、工具表面的污物所采取的操作过程。</w:t>
      </w:r>
    </w:p>
    <w:p w14:paraId="5BD625C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3.9消毒：用物理或化学方法破坏、钝化或除去有害微生物的操作，消毒不能完全杀死细菌芽胞。物理消毒主要包括蒸汽、煮沸、红外线等热力消毒方法，化学消毒主要为采用各种含氯消毒药物进行消毒。</w:t>
      </w:r>
    </w:p>
    <w:p w14:paraId="4174A65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4.基本要求</w:t>
      </w:r>
    </w:p>
    <w:p w14:paraId="331DA63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4.1供应商餐厅工作人员必须半年进行一次抽血化验，一年进行一次全面体检。及时向采购人提供体检合格的人员健康证明，便于采购人办理卫生许可证。</w:t>
      </w:r>
    </w:p>
    <w:p w14:paraId="137EE46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4.2食谱营养搭配合理，饭菜质、价相符，干净卫生。</w:t>
      </w:r>
    </w:p>
    <w:p w14:paraId="060C008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4.3餐厅食品应当具有相应的色、香、味等感官性状。</w:t>
      </w:r>
    </w:p>
    <w:p w14:paraId="157D2A1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4.4餐厅功能布局合理，装饰装修风格协调，就餐氛围浓厚。</w:t>
      </w:r>
    </w:p>
    <w:p w14:paraId="7DC46F2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4.5餐厅通风良好，空气清新，光照充足，光线柔和，温度适宜，无异味。</w:t>
      </w:r>
    </w:p>
    <w:p w14:paraId="73E9DB6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4.6餐厅室内、室外环境卫生清洁、干净，室内外墙壁无油垢，地面无污迹。</w:t>
      </w:r>
    </w:p>
    <w:p w14:paraId="6D91DD6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4.7洗涤剂、消毒剂的使用应符合GB14930.1《食品工具、设备用洗涤卫生标准》和GB14930.2《食品工具、设备用洗涤消毒剂卫生标准》等有关卫生标准和要求。</w:t>
      </w:r>
    </w:p>
    <w:p w14:paraId="0FE75EB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4.8食品添加剂的使用应符合GB2760《食品添加剂使用卫生标准》的规定。</w:t>
      </w:r>
    </w:p>
    <w:p w14:paraId="3A2918B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5.从业人员卫生</w:t>
      </w:r>
    </w:p>
    <w:p w14:paraId="55A567C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5.1餐厅从业人员须持有有效健康证和卫生知识培训合格证，两证持证率均为100%。</w:t>
      </w:r>
    </w:p>
    <w:p w14:paraId="458B854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5.2从业人员个人卫生良好，操作时符合相关岗位现场操作人员卫生要求。</w:t>
      </w:r>
    </w:p>
    <w:p w14:paraId="1484C6E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5.3从业人员健康档案健全完善。</w:t>
      </w:r>
    </w:p>
    <w:p w14:paraId="44CFDBD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6.食品贮存</w:t>
      </w:r>
    </w:p>
    <w:p w14:paraId="7531C95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6.1贮存食品的场所、设备清洁，无霉斑、鼠迹、苍蝇、蟑螂。</w:t>
      </w:r>
    </w:p>
    <w:p w14:paraId="12058FE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6.2食品贮存室（仓库）通风良好。</w:t>
      </w:r>
    </w:p>
    <w:p w14:paraId="7A6D880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6.3食品存放分类、分架，离地、离墙均在10cm以上。</w:t>
      </w:r>
    </w:p>
    <w:p w14:paraId="57082D7D">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6.4无变质和过期食品贮存。</w:t>
      </w:r>
    </w:p>
    <w:p w14:paraId="6FC5F00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6.5食品冷藏、冷冻设备运转正常，贮藏的温度分别符合冷藏和冷冻的温度范围要求。</w:t>
      </w:r>
    </w:p>
    <w:p w14:paraId="1796DBD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7.食品加工</w:t>
      </w:r>
    </w:p>
    <w:p w14:paraId="117BCAA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7.1食品的粗加工及切配、烹调、凉菜配制、水果拼盘制作、点心加工、食品再加热等加工符合相关操作规程。</w:t>
      </w:r>
    </w:p>
    <w:p w14:paraId="551A277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7.2无过期、腐烂、变质食品加工。</w:t>
      </w:r>
    </w:p>
    <w:p w14:paraId="6768959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8.餐饮具、设备及工具卫生</w:t>
      </w:r>
    </w:p>
    <w:p w14:paraId="323F6C6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8.1餐饮具卫生</w:t>
      </w:r>
    </w:p>
    <w:p w14:paraId="462EFEF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8.1.1餐饮具表面须光洁，无油浸、无水渍、无泡沫、无不溶性附着物，无洗涤剂和消毒剂等异味。</w:t>
      </w:r>
    </w:p>
    <w:p w14:paraId="13F734A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8.1.2消毒后餐饮具应符合GB14934《食</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饮</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具消毒卫生标准》规定。</w:t>
      </w:r>
    </w:p>
    <w:p w14:paraId="0DAAA62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8.1.3已清洗和消毒过的餐饮具贮存在专用保洁柜内，保洁柜有明显标记。</w:t>
      </w:r>
    </w:p>
    <w:p w14:paraId="66B42F2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8.2设备及工具卫生</w:t>
      </w:r>
    </w:p>
    <w:p w14:paraId="2982E6D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8.2.1设备及工具表面无食物残渣及污物、水渍、油迹。</w:t>
      </w:r>
    </w:p>
    <w:p w14:paraId="1DDE3B2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8.2.2已清洗、消毒过的设备和工具定位存放在保洁设施内。</w:t>
      </w:r>
    </w:p>
    <w:p w14:paraId="7190A68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9.环境卫生</w:t>
      </w:r>
    </w:p>
    <w:p w14:paraId="555174F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9.1餐厅内桌、椅、台等干净，无食物残渣及污渍、水渍、油迹。</w:t>
      </w:r>
    </w:p>
    <w:p w14:paraId="31000A9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9.2餐厅地面、梯间、墙壁、天花板、照明设施及门窗等洁净，无杂物、灰尘、油迹、水迹、污渍。</w:t>
      </w:r>
    </w:p>
    <w:p w14:paraId="69A3B9F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9.3餐厅卫生间保洁要求按《保洁服务标准》的规定。</w:t>
      </w:r>
    </w:p>
    <w:p w14:paraId="49223AE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9.4排水沟内无污物，无积水，无臭味、异味。</w:t>
      </w:r>
    </w:p>
    <w:p w14:paraId="4139B72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9.5废弃物暂存容器外表无污迹、无粘附物，无较大异味、无蚊蝇，废弃物量不超过容积的2/3。</w:t>
      </w:r>
    </w:p>
    <w:p w14:paraId="5E3374A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9.6餐厅内无蚊、蝇、鼠、蟑螂和其它有害昆虫。</w:t>
      </w:r>
    </w:p>
    <w:p w14:paraId="7710358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9.7工作台及洗涤盆干净，无食物残渣及污物。</w:t>
      </w:r>
    </w:p>
    <w:p w14:paraId="43E2D26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9.8排烟设施干净，无油污。</w:t>
      </w:r>
    </w:p>
    <w:p w14:paraId="6FAEF9E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9.9污水和废气排放符合国家环保要求和排放标准，环境污染超标事故为0。</w:t>
      </w:r>
    </w:p>
    <w:p w14:paraId="26B62B7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10.供餐服务</w:t>
      </w:r>
    </w:p>
    <w:p w14:paraId="35AE93E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10.1餐厅供餐服务满意率不低于85%。</w:t>
      </w:r>
    </w:p>
    <w:p w14:paraId="056CE1A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10.2无超过保质期限或腐败变质的供餐食品。</w:t>
      </w:r>
    </w:p>
    <w:p w14:paraId="3D1AA51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10.3食物中毒事故为0。</w:t>
      </w:r>
    </w:p>
    <w:p w14:paraId="423CCEE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10.4按承诺供餐时间开、闭餐厅，待供食品须提前20分钟完成摆台。</w:t>
      </w:r>
    </w:p>
    <w:p w14:paraId="31DB5D4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11.安全管理</w:t>
      </w:r>
    </w:p>
    <w:p w14:paraId="4797087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11.1火灾、触电、盗窃、工伤等安全事故为0。</w:t>
      </w:r>
    </w:p>
    <w:p w14:paraId="082CD7F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11.2公共安全、消防安全、食品安全等突发事件应急预案健全完善。</w:t>
      </w:r>
    </w:p>
    <w:p w14:paraId="3B65AF3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二、餐厅服务要求</w:t>
      </w:r>
    </w:p>
    <w:p w14:paraId="46FFA95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1.基本要求</w:t>
      </w:r>
    </w:p>
    <w:p w14:paraId="590F8E8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1.1餐厅显著位置设醒目标志，标明开饭时间等内容。</w:t>
      </w:r>
    </w:p>
    <w:p w14:paraId="44DC6FF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1.2餐厅须依据国家《食品卫生法》有关规定，按时做好服务人员健康检查和卫生知识培训工作。</w:t>
      </w:r>
    </w:p>
    <w:p w14:paraId="57BF5DA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1.3餐厅建立健全卫生管理制度，配备专职或兼职的食品卫生管理人员和监督人员。</w:t>
      </w:r>
    </w:p>
    <w:p w14:paraId="63786EC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1.4食品卫生管理人员和监督人员要不定期进行食品安全卫生、餐厅环境卫生、餐厅餐饮具、设备及工具、餐厅从业人员卫生的检查。</w:t>
      </w:r>
    </w:p>
    <w:p w14:paraId="1E3E174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1.5餐厅建立健全餐饮具、设备及工具、食品加工操作场所及设施的清洁、消毒制度。</w:t>
      </w:r>
    </w:p>
    <w:p w14:paraId="4F1053A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1.6食品加工、贮存、销售、陈列、消毒等各种防护设施、设备及其运送食品的工具应当定期维护。</w:t>
      </w:r>
    </w:p>
    <w:p w14:paraId="40667C2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1.7实行分餐制。根据就餐者情况和要求的不同，采用厨师分餐、服务员分餐、就餐者自行分餐等不同的分餐形式（自助餐和套餐均属分餐制范畴）。</w:t>
      </w:r>
    </w:p>
    <w:p w14:paraId="36B66E8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1.8用于食品加工操作的设备及工具不得用作与食品加工无关的用途。</w:t>
      </w:r>
    </w:p>
    <w:p w14:paraId="0FBB73B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1.9用于清扫、清洗和消毒的设备、用具应放置在专用场所妥善保管。</w:t>
      </w:r>
    </w:p>
    <w:p w14:paraId="2552BCD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杀虫剂、灭鼠剂、洗涤剂剂、消毒剂及有毒有害物存放均应有固定的场所（或橱柜）并上锁，包装上应有明显的警示标志，并有专人保管。采购及使用应有详细记录，使用后应进行复核，并按规定进行存放、保管。</w:t>
      </w:r>
    </w:p>
    <w:p w14:paraId="72239F5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1.11食品添加剂的使用应有详细记录。食品添加剂存放应有固定的场所（或橱柜）并上锁，包装上应标示“食品添加剂”字样，并有专人保管。</w:t>
      </w:r>
    </w:p>
    <w:p w14:paraId="5BA54DA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1.12餐饮具、设备及工具卫生消毒情况、加工操作过程关键项目、卫生检查情况、人员健康状况、教育与培训情况、食品留样、检验结果及投诉情况、处理结果、发现问题后采取的措施等均应予以记录。</w:t>
      </w:r>
    </w:p>
    <w:p w14:paraId="6FA2148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2.从业人员卫生</w:t>
      </w:r>
    </w:p>
    <w:p w14:paraId="37F9823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2.1从业人员健康管理</w:t>
      </w:r>
    </w:p>
    <w:p w14:paraId="7A053A7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2.1.1餐厅从业人员每年至少进行一次健康检查，半年进行一次血检。必要时接受临时检查。</w:t>
      </w:r>
    </w:p>
    <w:p w14:paraId="359FDF5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2.1.2新参加或临时参加工作的从业人员，应经健康检查，取得健康合格证明后方可参加工作。</w:t>
      </w:r>
    </w:p>
    <w:p w14:paraId="5146C70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2.1.3凡患有痢疾、伤寒、病毒性肝炎等消化道传染病（包括病原携带者），活动性肺结核，化脓性或者渗出性皮肤病以及其它有碍食品卫生疾病的，不得从事接触直接入口食品的工作。</w:t>
      </w:r>
    </w:p>
    <w:p w14:paraId="234DE52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2.1.4从业人员有发热、腹泻、皮肤伤口或感染、咽部炎症等有碍食品卫生病症的，应立即脱离工作岗位，待查明原因、排除有碍食品卫生的病症或治愈后，方可重新上岗。</w:t>
      </w:r>
    </w:p>
    <w:p w14:paraId="7E5DF1C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2.2从业人员卫生知识培训</w:t>
      </w:r>
    </w:p>
    <w:p w14:paraId="7512020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2.2.1应对从业人员定期进行卫生知识培训。</w:t>
      </w:r>
    </w:p>
    <w:p w14:paraId="4EE4244D">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2.2.2新参加工作及临时参加工作的从业人员须进行卫生知识培训，合格后方能上岗。</w:t>
      </w:r>
    </w:p>
    <w:p w14:paraId="2151778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2.3从业人员个人卫生</w:t>
      </w:r>
    </w:p>
    <w:p w14:paraId="4D62B8C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2.3.1应保持良好个人卫生，操作时应穿戴清洁的工作服、工作帽（专间操作人员还需戴口罩），头发不得外露，不得留长指甲，涂指甲油，佩带饰物。</w:t>
      </w:r>
    </w:p>
    <w:p w14:paraId="5F56879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2.3.2操作时手部应保持清洁，操作前手部应洗净。</w:t>
      </w:r>
    </w:p>
    <w:p w14:paraId="159DD1D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2.3.3接触直接入口食品的操作人员在有下列情形时应洗手：</w:t>
      </w:r>
    </w:p>
    <w:p w14:paraId="6288720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a）</w:t>
      </w:r>
      <w:r>
        <w:rPr>
          <w:rFonts w:hint="eastAsia" w:ascii="宋体" w:hAnsi="宋体" w:eastAsia="宋体" w:cs="宋体"/>
          <w:color w:val="auto"/>
          <w:sz w:val="28"/>
          <w:szCs w:val="28"/>
          <w:highlight w:val="none"/>
        </w:rPr>
        <w:t>开始工作前。</w:t>
      </w:r>
    </w:p>
    <w:p w14:paraId="278B94F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b）</w:t>
      </w:r>
      <w:r>
        <w:rPr>
          <w:rFonts w:hint="eastAsia" w:ascii="宋体" w:hAnsi="宋体" w:eastAsia="宋体" w:cs="宋体"/>
          <w:color w:val="auto"/>
          <w:sz w:val="28"/>
          <w:szCs w:val="28"/>
          <w:highlight w:val="none"/>
        </w:rPr>
        <w:t>处理食物前。</w:t>
      </w:r>
    </w:p>
    <w:p w14:paraId="30DDBAF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c）</w:t>
      </w:r>
      <w:r>
        <w:rPr>
          <w:rFonts w:hint="eastAsia" w:ascii="宋体" w:hAnsi="宋体" w:eastAsia="宋体" w:cs="宋体"/>
          <w:color w:val="auto"/>
          <w:sz w:val="28"/>
          <w:szCs w:val="28"/>
          <w:highlight w:val="none"/>
        </w:rPr>
        <w:t>上厕所后。</w:t>
      </w:r>
    </w:p>
    <w:p w14:paraId="45597DC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d</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处理生食物后。</w:t>
      </w:r>
    </w:p>
    <w:p w14:paraId="153B070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e</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处理弄污的设备或饮食用具后。</w:t>
      </w:r>
    </w:p>
    <w:p w14:paraId="148A235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f</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咳嗽、打喷嚏、或擤鼻子后。</w:t>
      </w:r>
    </w:p>
    <w:p w14:paraId="127A7B2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g</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处理动物或废物后。</w:t>
      </w:r>
    </w:p>
    <w:p w14:paraId="7FD24F2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h</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触摸耳朵、鼻子、头发、口腔或身体其它部位后。</w:t>
      </w:r>
    </w:p>
    <w:p w14:paraId="4233141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i</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从事任何可能会污染双手活动（如处理货项、执行清洁任务）后。</w:t>
      </w:r>
    </w:p>
    <w:p w14:paraId="3C965B2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2.3.4接触直接入口食品时，手部还应进行消毒。</w:t>
      </w:r>
    </w:p>
    <w:p w14:paraId="6F337B6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2.3.5专间操作人员进入专间时宜再次更换专间内专用工作衣帽并佩戴口罩，操作前双手严格进行清洗消毒，操作中应适时地消毒双手。不得穿戴专间工作衣帽从事与专间内操作无关的工作。</w:t>
      </w:r>
    </w:p>
    <w:p w14:paraId="2511D38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2.3.6个人衣物及私人物品不得带入食品处理区。</w:t>
      </w:r>
    </w:p>
    <w:p w14:paraId="37ED4D1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2.3.7食品处理区内不得有抽烟、饮食及其它可能污染食品的行为。</w:t>
      </w:r>
    </w:p>
    <w:p w14:paraId="25B3642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2.3.8进入食品处理区的非加工操作人员，应符合现场操作人员卫生要求。</w:t>
      </w:r>
    </w:p>
    <w:p w14:paraId="6E158B6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2.4从业人员工作服管理</w:t>
      </w:r>
    </w:p>
    <w:p w14:paraId="4B929FF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2.4.1工作服（包括衣、帽、口罩）宜用白色（或浅色）布料制作，也可按其工作的场所从颜色或式样上进行区分，如粗加工、烹调、仓库、清洁等。</w:t>
      </w:r>
    </w:p>
    <w:p w14:paraId="5310097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2.4.2工作服应有清洗保洁制度，定期进行更换，保持清洁。</w:t>
      </w:r>
    </w:p>
    <w:p w14:paraId="29481DA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2.4.3接触直接入口食品人员的工作服应每天更换。</w:t>
      </w:r>
    </w:p>
    <w:p w14:paraId="4EA6806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2.4.4从业人员上厕所前应在食品处理区内脱去工作服。</w:t>
      </w:r>
    </w:p>
    <w:p w14:paraId="649A0A5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2.4.5待清洗的工作服应放在远离食品处理区。</w:t>
      </w:r>
    </w:p>
    <w:p w14:paraId="048AF07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3食品贮存</w:t>
      </w:r>
    </w:p>
    <w:p w14:paraId="6138B92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3.1使用应遵循先进先出的原则。</w:t>
      </w:r>
    </w:p>
    <w:p w14:paraId="58252EB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3.2定期检查，及时处理变质或超过保质期限的食品。</w:t>
      </w:r>
    </w:p>
    <w:p w14:paraId="257F13B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3.3禁止存放有毒、有害物品及个人生活物品。</w:t>
      </w:r>
    </w:p>
    <w:p w14:paraId="1724A53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3.4食品冷藏、冷冻贮藏应做到：</w:t>
      </w:r>
    </w:p>
    <w:p w14:paraId="73E2A58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a）</w:t>
      </w:r>
      <w:r>
        <w:rPr>
          <w:rFonts w:hint="eastAsia" w:ascii="宋体" w:hAnsi="宋体" w:eastAsia="宋体" w:cs="宋体"/>
          <w:color w:val="auto"/>
          <w:sz w:val="28"/>
          <w:szCs w:val="28"/>
          <w:highlight w:val="none"/>
        </w:rPr>
        <w:t>原料、半成品、成品严格分开，不得在同一冰室内存放，冷藏、冷冻柜（库）应有明显区分标志。</w:t>
      </w:r>
    </w:p>
    <w:p w14:paraId="58F57D5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b）</w:t>
      </w:r>
      <w:r>
        <w:rPr>
          <w:rFonts w:hint="eastAsia" w:ascii="宋体" w:hAnsi="宋体" w:eastAsia="宋体" w:cs="宋体"/>
          <w:color w:val="auto"/>
          <w:sz w:val="28"/>
          <w:szCs w:val="28"/>
          <w:highlight w:val="none"/>
        </w:rPr>
        <w:t>食品在冷藏、冷冻柜（库）内贮藏时，应做到植物性食品、动物性食品和水产品分类摆放。</w:t>
      </w:r>
    </w:p>
    <w:p w14:paraId="5CD572B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c）</w:t>
      </w:r>
      <w:r>
        <w:rPr>
          <w:rFonts w:hint="eastAsia" w:ascii="宋体" w:hAnsi="宋体" w:eastAsia="宋体" w:cs="宋体"/>
          <w:color w:val="auto"/>
          <w:sz w:val="28"/>
          <w:szCs w:val="28"/>
          <w:highlight w:val="none"/>
        </w:rPr>
        <w:t>食品在冷藏、冷冻柜（库）内贮藏时，为确保食品中心温度达到冷藏或冷冻的温度要求，不得将食品堆积、挤压存放。</w:t>
      </w:r>
    </w:p>
    <w:p w14:paraId="039E3AE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3.5加强食品贮存室（仓库）管理，经常开窗开排气扇通风,保持干燥。</w:t>
      </w:r>
    </w:p>
    <w:p w14:paraId="6846B61D">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3.6冷藏、冷冻及保温设施应当定期除霜、清洁、除臭和维修，温度指示装置应当定期校验，确保正常运转和使用。</w:t>
      </w:r>
    </w:p>
    <w:p w14:paraId="7BC55C9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4.食品加工</w:t>
      </w:r>
    </w:p>
    <w:p w14:paraId="5D7DCF7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4.1粗加工及切配卫生要求</w:t>
      </w:r>
    </w:p>
    <w:p w14:paraId="3E8CF48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4.1.1加工前应认真检查待加工食品，发现有腐败变质迹象或者其它感官性状异常的，不得加工和使用。</w:t>
      </w:r>
    </w:p>
    <w:p w14:paraId="408CBE6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4.1.2各种食品原料在使用前应洗净，动物性食品、植物性食品应分池清洗，水产品宜在专用水池清洗，禽蛋在使用前应对外壳进行清洗，必要时消毒处理。</w:t>
      </w:r>
    </w:p>
    <w:p w14:paraId="7271181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4.1.3易腐食品应尽量缩短在常温下的存放时间，加工后应及时使用或冷藏。</w:t>
      </w:r>
    </w:p>
    <w:p w14:paraId="77B6C7D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4.1.4切配好的半成品应避免污染，与原料分开存放，并应根据性质分类存放。</w:t>
      </w:r>
    </w:p>
    <w:p w14:paraId="3A1D125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4.1.5切配好的食品应按照加工操作规程，在规定时间内使用。</w:t>
      </w:r>
    </w:p>
    <w:p w14:paraId="0854827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4.1.6已盛装食品的容器不得直接置于地上，以防止食品污染。</w:t>
      </w:r>
    </w:p>
    <w:p w14:paraId="2D1E15A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4.1.7生熟食品的加工工具及容器应分开使用并有明显标志。</w:t>
      </w:r>
    </w:p>
    <w:p w14:paraId="76317C4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4.2烹调加工卫生要求</w:t>
      </w:r>
    </w:p>
    <w:p w14:paraId="6378F2F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4.2.1烹调前应认真检查待加工食品，发现有腐败变质或者其它感官性状异常的，不得进行烹调加工。</w:t>
      </w:r>
    </w:p>
    <w:p w14:paraId="320D419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4.2.2不得将回收后的食品（包括辅料）经烹调加工后再次供应。</w:t>
      </w:r>
    </w:p>
    <w:p w14:paraId="419A64F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4.2.3需要熟制加工的食品应当烧熟煮透，其加工时食品中心温度应不低于70℃。</w:t>
      </w:r>
    </w:p>
    <w:p w14:paraId="5B1F740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4.2.4加工后的成品应与半成品、原料分开存放。</w:t>
      </w:r>
    </w:p>
    <w:p w14:paraId="60B206E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4.2.5需要冷藏的熟制品，应尽快冷却后再冷藏。</w:t>
      </w:r>
    </w:p>
    <w:p w14:paraId="28BFC32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4.3凉菜配制卫生要求</w:t>
      </w:r>
    </w:p>
    <w:p w14:paraId="5FADA27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4.3.1加工前应认真检查待配制的成品凉菜，发现有腐败变质或者其它感官性状异常的，不得进行加工。</w:t>
      </w:r>
    </w:p>
    <w:p w14:paraId="233E115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4.3.2专间内应当由专人加工制作，非操作人员不得擅自进入专间。不得在专间内从事与凉菜加工无关的活动。</w:t>
      </w:r>
    </w:p>
    <w:p w14:paraId="1F2BD7E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4.3.3专间每餐(或每次)使用前应进行空气和操作台的消毒。使用紫外线灯消毒的，应在无人工作时开启30分钟以上。</w:t>
      </w:r>
    </w:p>
    <w:p w14:paraId="700578B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4.3.4供加工凉菜用的蔬菜、水果等食品原料，未经清洗处理的，不得带入凉菜间。</w:t>
      </w:r>
    </w:p>
    <w:p w14:paraId="1CF554E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4.3.5制作好的凉菜应尽量当餐用完。剩余尚需使用的应存放于专用冰箱内冷藏或冷冻。</w:t>
      </w:r>
    </w:p>
    <w:p w14:paraId="0AC814E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4.4水果拼盘制作卫生要求</w:t>
      </w:r>
    </w:p>
    <w:p w14:paraId="38D62DE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4.4.1用于水果拼盘的瓜果应新鲜，未经清洗处理的不得使用。</w:t>
      </w:r>
    </w:p>
    <w:p w14:paraId="0BAC67F7">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4.4.2制作的水果拼盘应当餐用完。</w:t>
      </w:r>
    </w:p>
    <w:p w14:paraId="701D2F2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5.餐饮具、设备及工具卫生</w:t>
      </w:r>
    </w:p>
    <w:p w14:paraId="2AA7668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5.1餐饮具卫生</w:t>
      </w:r>
    </w:p>
    <w:p w14:paraId="731618A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5.1.1餐饮具使用后及时洗净、消毒，未经消毒的餐饮具不得使用。禁止重复使用一次性的餐饮具。</w:t>
      </w:r>
    </w:p>
    <w:p w14:paraId="31BC619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5.1.2洗刷餐饮具须有专用水池，不得与清洗蔬菜、肉类等其它水池混用。</w:t>
      </w:r>
    </w:p>
    <w:p w14:paraId="22F883D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5.1.3消毒后的餐饮具要自然滤干或烘干，不应使用手巾、餐巾擦干，以避免受到再次污染。</w:t>
      </w:r>
    </w:p>
    <w:p w14:paraId="32E6D2D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5.1.4消毒后的餐饮具应及时放入餐具专用保洁柜内备用。</w:t>
      </w:r>
    </w:p>
    <w:p w14:paraId="5C32F54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5.1.5已消毒和未消毒的餐饮具应分开存放，并在餐饮具贮存柜上有明显标记。</w:t>
      </w:r>
    </w:p>
    <w:p w14:paraId="29F915C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5.1.6保洁柜应定期清洗、保持洁净，不得存放其它物品。</w:t>
      </w:r>
    </w:p>
    <w:p w14:paraId="53C4B9A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5.1.7采用化学消毒的应定时测量有效消毒浓度。</w:t>
      </w:r>
    </w:p>
    <w:p w14:paraId="3D13E18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5.1.8餐具摆台超过当次就餐时间尚未使用的也应当回收进行清洗、消毒。</w:t>
      </w:r>
    </w:p>
    <w:p w14:paraId="3EC02DB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5.2设备及工具卫生</w:t>
      </w:r>
    </w:p>
    <w:p w14:paraId="6DA7BE3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5.2.1用于食品加工的设备及工具须专用，用前应消毒，用后洗净在专用保洁设施内存放。</w:t>
      </w:r>
    </w:p>
    <w:p w14:paraId="57394F4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5.2.2清洗消毒时应注意防止污染食品、食品接触面。</w:t>
      </w:r>
    </w:p>
    <w:p w14:paraId="4CA2FDA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5.2.3采用化学消毒的设备及工具消毒后要彻底清洗。</w:t>
      </w:r>
    </w:p>
    <w:p w14:paraId="23EAE07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6.环境卫生</w:t>
      </w:r>
    </w:p>
    <w:p w14:paraId="04B2106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6.1餐厅内桌、椅、台在用餐后及时清洁。</w:t>
      </w:r>
    </w:p>
    <w:p w14:paraId="3E2CB4E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6.2餐厅地面、梯间每餐后进行清扫、拖洗，如有需要及时清洁。</w:t>
      </w:r>
    </w:p>
    <w:p w14:paraId="54241E0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6.3餐厅墙壁、天花板、照明设施及门窗每周清洁1次。</w:t>
      </w:r>
    </w:p>
    <w:p w14:paraId="08A13A9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 餐厅卫生间每日供餐结束清洁，供餐期间适时保洁。每周进行消杀1次。</w:t>
      </w:r>
    </w:p>
    <w:p w14:paraId="2C51FF0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6.5排水沟每天清洁1次，清除沟内污物，用水冲洗排水沟。</w:t>
      </w:r>
    </w:p>
    <w:p w14:paraId="60B1D4F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6.6废弃物每天至少清除2次，清除后的容器应及时清洗，必要时进行消毒。</w:t>
      </w:r>
    </w:p>
    <w:p w14:paraId="2144A3C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6.7采取有效措施，消除老鼠、蟑螂、苍蝇和其它有害昆虫及其孳生条件。除虫灭害工作不能在食品加工操作时进行，实施时对各种食品（包括原料）应有保护措施。</w:t>
      </w:r>
    </w:p>
    <w:p w14:paraId="614C207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6.8工作台及洗涤盆每次使用后及时进行清洗、擦拭、消毒。</w:t>
      </w:r>
    </w:p>
    <w:p w14:paraId="4087971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6.9排烟设施每周清洁1次，如有需要时及时清洁。</w:t>
      </w:r>
    </w:p>
    <w:p w14:paraId="2CBCC10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6.10食品加工过程中废弃的食用油脂应集中存放在有明显标志的容器内，定期按照《食品生产经营单位废弃食用油脂管理的规定》予以处理。</w:t>
      </w:r>
    </w:p>
    <w:p w14:paraId="6045D15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6.11在餐具摆台后或有顾客就餐时，除因特殊需要，不得进行餐厅清洁工作。</w:t>
      </w:r>
    </w:p>
    <w:p w14:paraId="717C6EA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7.供餐服务</w:t>
      </w:r>
    </w:p>
    <w:p w14:paraId="4DAE3FD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7.1供餐前，操作人员应认真检查待供应食品，发现有感官性状异常的，不得供应。</w:t>
      </w:r>
    </w:p>
    <w:p w14:paraId="30D4952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7.2操作时要避免食品受到污染。</w:t>
      </w:r>
    </w:p>
    <w:p w14:paraId="666A651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7.3菜肴分派、造型整理的用具应经消毒。</w:t>
      </w:r>
    </w:p>
    <w:p w14:paraId="1AB4E31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7.4用于菜肴装饰的原料使用前应洗净消毒，不得反复使用。</w:t>
      </w:r>
    </w:p>
    <w:p w14:paraId="2879E5D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7.5在烹饪后至食用前需要较长时间（超过2小时）存放的食品，应当在高于60℃或低于10℃的条件下存放。</w:t>
      </w:r>
    </w:p>
    <w:p w14:paraId="6773512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7.6当顾客告知所提供的食品有感官性异常或可疑变质时，餐厅服务人员应当立即撤换该食品，并同时告示知有关备餐人员。备餐人员应当立即检查被撤换的食品和同类食品，作出相应处理，确保供餐的安全卫生。</w:t>
      </w:r>
    </w:p>
    <w:p w14:paraId="4DFE370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7.7销售直接入口食品时，应当使用专用工具分检传递食品。专用工具应当定位放置，防止污染。</w:t>
      </w:r>
    </w:p>
    <w:p w14:paraId="2C915E1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7.8外卖食品的包装、运输应当符合卫生要求。</w:t>
      </w:r>
    </w:p>
    <w:p w14:paraId="5FD420D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8.安全管理</w:t>
      </w:r>
    </w:p>
    <w:p w14:paraId="67FD2C6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8.1发现食物中毒或疑似食物中毒或者可能导致食物中毒的食品及其原料、工具、设备和现场，积极配合卫生行政部门开展食物中毒事故的调查和处理。</w:t>
      </w:r>
    </w:p>
    <w:p w14:paraId="769C4F4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8.2禁止闲杂人员进入餐厅专用操作间和食品贮存室（仓库）。</w:t>
      </w:r>
    </w:p>
    <w:p w14:paraId="4515D46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8.3指定专人定期进行用水、用电、用气安全检查，并有检查记录。</w:t>
      </w:r>
    </w:p>
    <w:p w14:paraId="5712C8D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附件二：</w:t>
      </w:r>
    </w:p>
    <w:p w14:paraId="06AEC62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原材料采购要求和标准</w:t>
      </w:r>
    </w:p>
    <w:p w14:paraId="79F3AF6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一、蔬菜类标准:</w:t>
      </w:r>
    </w:p>
    <w:p w14:paraId="149D3DA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（一）蔬菜农残要求符合GB 18406.1-2001农产品安全质量无公害蔬菜安全要求中最大限量标准。检验项目及标准如下：蔬菜中重金属、农药等有害物质最大限量。</w:t>
      </w:r>
    </w:p>
    <w:p w14:paraId="6F53799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表1：重金属及有害物质限量</w:t>
      </w:r>
    </w:p>
    <w:tbl>
      <w:tblPr>
        <w:tblStyle w:val="9"/>
        <w:tblW w:w="0" w:type="auto"/>
        <w:jc w:val="center"/>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Layout w:type="fixed"/>
        <w:tblCellMar>
          <w:top w:w="0" w:type="dxa"/>
          <w:left w:w="0" w:type="dxa"/>
          <w:bottom w:w="0" w:type="dxa"/>
          <w:right w:w="0" w:type="dxa"/>
        </w:tblCellMar>
      </w:tblPr>
      <w:tblGrid>
        <w:gridCol w:w="2748"/>
        <w:gridCol w:w="4981"/>
      </w:tblGrid>
      <w:tr w14:paraId="165A6A4C">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432" w:hRule="atLeast"/>
          <w:jc w:val="center"/>
        </w:trPr>
        <w:tc>
          <w:tcPr>
            <w:tcW w:w="2748" w:type="dxa"/>
            <w:noWrap/>
            <w:vAlign w:val="center"/>
          </w:tcPr>
          <w:p w14:paraId="706CD06D">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项  目</w:t>
            </w:r>
          </w:p>
        </w:tc>
        <w:tc>
          <w:tcPr>
            <w:tcW w:w="4981" w:type="dxa"/>
            <w:noWrap/>
            <w:vAlign w:val="center"/>
          </w:tcPr>
          <w:p w14:paraId="1984CA87">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指标( mg/ kg)</w:t>
            </w:r>
          </w:p>
        </w:tc>
      </w:tr>
      <w:tr w14:paraId="5D037BF3">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284" w:hRule="atLeast"/>
          <w:jc w:val="center"/>
        </w:trPr>
        <w:tc>
          <w:tcPr>
            <w:tcW w:w="2748" w:type="dxa"/>
            <w:noWrap/>
            <w:vAlign w:val="center"/>
          </w:tcPr>
          <w:p w14:paraId="25ACA381">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汞(以Hg计)</w:t>
            </w:r>
          </w:p>
        </w:tc>
        <w:tc>
          <w:tcPr>
            <w:tcW w:w="4981" w:type="dxa"/>
            <w:noWrap/>
            <w:vAlign w:val="center"/>
          </w:tcPr>
          <w:p w14:paraId="6B0940AF">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≤0 . 01</w:t>
            </w:r>
          </w:p>
        </w:tc>
      </w:tr>
      <w:tr w14:paraId="710C2A5D">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284" w:hRule="atLeast"/>
          <w:jc w:val="center"/>
        </w:trPr>
        <w:tc>
          <w:tcPr>
            <w:tcW w:w="2748" w:type="dxa"/>
            <w:noWrap/>
            <w:vAlign w:val="center"/>
          </w:tcPr>
          <w:p w14:paraId="69B6F536">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砷(以As计)</w:t>
            </w:r>
          </w:p>
        </w:tc>
        <w:tc>
          <w:tcPr>
            <w:tcW w:w="4981" w:type="dxa"/>
            <w:noWrap/>
            <w:vAlign w:val="center"/>
          </w:tcPr>
          <w:p w14:paraId="2AEA13F3">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≤0 . 5</w:t>
            </w:r>
          </w:p>
        </w:tc>
      </w:tr>
      <w:tr w14:paraId="5DD8613B">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284" w:hRule="atLeast"/>
          <w:jc w:val="center"/>
        </w:trPr>
        <w:tc>
          <w:tcPr>
            <w:tcW w:w="2748" w:type="dxa"/>
            <w:noWrap/>
            <w:vAlign w:val="center"/>
          </w:tcPr>
          <w:p w14:paraId="7AC230DC">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铅(以P计)</w:t>
            </w:r>
          </w:p>
        </w:tc>
        <w:tc>
          <w:tcPr>
            <w:tcW w:w="4981" w:type="dxa"/>
            <w:noWrap/>
            <w:vAlign w:val="center"/>
          </w:tcPr>
          <w:p w14:paraId="06D96A87">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≤0 . 2</w:t>
            </w:r>
          </w:p>
        </w:tc>
      </w:tr>
      <w:tr w14:paraId="1C1E6CD6">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284" w:hRule="atLeast"/>
          <w:jc w:val="center"/>
        </w:trPr>
        <w:tc>
          <w:tcPr>
            <w:tcW w:w="2748" w:type="dxa"/>
            <w:noWrap/>
            <w:vAlign w:val="center"/>
          </w:tcPr>
          <w:p w14:paraId="51170A5F">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亚硝酸盐( Na N 02 )</w:t>
            </w:r>
          </w:p>
        </w:tc>
        <w:tc>
          <w:tcPr>
            <w:tcW w:w="4981" w:type="dxa"/>
            <w:noWrap/>
            <w:vAlign w:val="center"/>
          </w:tcPr>
          <w:p w14:paraId="7BF5B49A">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≤4 . 0</w:t>
            </w:r>
          </w:p>
        </w:tc>
      </w:tr>
      <w:tr w14:paraId="0DF1F5BA">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284" w:hRule="atLeast"/>
          <w:jc w:val="center"/>
        </w:trPr>
        <w:tc>
          <w:tcPr>
            <w:tcW w:w="2748" w:type="dxa"/>
            <w:noWrap/>
            <w:vAlign w:val="center"/>
          </w:tcPr>
          <w:p w14:paraId="56420F01">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硝酸盐</w:t>
            </w:r>
          </w:p>
        </w:tc>
        <w:tc>
          <w:tcPr>
            <w:tcW w:w="4981" w:type="dxa"/>
            <w:noWrap/>
            <w:vAlign w:val="center"/>
          </w:tcPr>
          <w:p w14:paraId="3F467B38">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≤600 (瓜果类)≤1200 (根茎类)≤3000 (叶菜类)</w:t>
            </w:r>
          </w:p>
        </w:tc>
      </w:tr>
    </w:tbl>
    <w:p w14:paraId="166CA701">
      <w:pPr>
        <w:keepNext w:val="0"/>
        <w:keepLines w:val="0"/>
        <w:pageBreakBefore w:val="0"/>
        <w:kinsoku/>
        <w:overflowPunct/>
        <w:topLinePunct w:val="0"/>
        <w:bidi w:val="0"/>
        <w:adjustRightInd/>
        <w:spacing w:line="360" w:lineRule="auto"/>
        <w:ind w:right="0" w:right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表2： 农药最大残留限量</w:t>
      </w:r>
    </w:p>
    <w:tbl>
      <w:tblPr>
        <w:tblStyle w:val="9"/>
        <w:tblW w:w="8528" w:type="dxa"/>
        <w:tblInd w:w="419" w:type="dxa"/>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Layout w:type="fixed"/>
        <w:tblCellMar>
          <w:top w:w="0" w:type="dxa"/>
          <w:left w:w="0" w:type="dxa"/>
          <w:bottom w:w="0" w:type="dxa"/>
          <w:right w:w="0" w:type="dxa"/>
        </w:tblCellMar>
      </w:tblPr>
      <w:tblGrid>
        <w:gridCol w:w="1155"/>
        <w:gridCol w:w="1650"/>
        <w:gridCol w:w="1396"/>
        <w:gridCol w:w="763"/>
        <w:gridCol w:w="762"/>
        <w:gridCol w:w="1911"/>
      </w:tblGrid>
      <w:tr w14:paraId="5305EBEF">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0" w:hRule="atLeast"/>
        </w:trPr>
        <w:tc>
          <w:tcPr>
            <w:tcW w:w="1290" w:type="dxa"/>
            <w:noWrap/>
            <w:vAlign w:val="center"/>
          </w:tcPr>
          <w:p w14:paraId="614FA14F">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通用名称</w:t>
            </w:r>
          </w:p>
        </w:tc>
        <w:tc>
          <w:tcPr>
            <w:tcW w:w="1843" w:type="dxa"/>
            <w:noWrap/>
            <w:vAlign w:val="center"/>
          </w:tcPr>
          <w:p w14:paraId="46EC4CA2">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英文名称</w:t>
            </w:r>
          </w:p>
        </w:tc>
        <w:tc>
          <w:tcPr>
            <w:tcW w:w="1559" w:type="dxa"/>
            <w:noWrap/>
            <w:vAlign w:val="center"/>
          </w:tcPr>
          <w:p w14:paraId="7244C322">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商品名称</w:t>
            </w:r>
          </w:p>
        </w:tc>
        <w:tc>
          <w:tcPr>
            <w:tcW w:w="851" w:type="dxa"/>
            <w:noWrap/>
            <w:vAlign w:val="center"/>
          </w:tcPr>
          <w:p w14:paraId="52FED8DA">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毒性</w:t>
            </w:r>
          </w:p>
        </w:tc>
        <w:tc>
          <w:tcPr>
            <w:tcW w:w="850" w:type="dxa"/>
            <w:noWrap/>
            <w:vAlign w:val="center"/>
          </w:tcPr>
          <w:p w14:paraId="15D1F372">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作物</w:t>
            </w:r>
          </w:p>
        </w:tc>
        <w:tc>
          <w:tcPr>
            <w:tcW w:w="2135" w:type="dxa"/>
            <w:noWrap/>
            <w:vAlign w:val="center"/>
          </w:tcPr>
          <w:p w14:paraId="3275247F">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最高残留限量(mg/kg)</w:t>
            </w:r>
          </w:p>
        </w:tc>
      </w:tr>
      <w:tr w14:paraId="3D211439">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0" w:hRule="atLeast"/>
        </w:trPr>
        <w:tc>
          <w:tcPr>
            <w:tcW w:w="1290" w:type="dxa"/>
            <w:noWrap/>
            <w:vAlign w:val="center"/>
          </w:tcPr>
          <w:p w14:paraId="25391AD3">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马拉硫磷</w:t>
            </w:r>
          </w:p>
        </w:tc>
        <w:tc>
          <w:tcPr>
            <w:tcW w:w="1843" w:type="dxa"/>
            <w:noWrap/>
            <w:vAlign w:val="center"/>
          </w:tcPr>
          <w:p w14:paraId="1AC6D2D1">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malathion</w:t>
            </w:r>
          </w:p>
        </w:tc>
        <w:tc>
          <w:tcPr>
            <w:tcW w:w="1559" w:type="dxa"/>
            <w:noWrap/>
            <w:vAlign w:val="center"/>
          </w:tcPr>
          <w:p w14:paraId="58925E50">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马拉松</w:t>
            </w:r>
          </w:p>
        </w:tc>
        <w:tc>
          <w:tcPr>
            <w:tcW w:w="851" w:type="dxa"/>
            <w:noWrap/>
            <w:vAlign w:val="center"/>
          </w:tcPr>
          <w:p w14:paraId="0238FA5C">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低</w:t>
            </w:r>
          </w:p>
        </w:tc>
        <w:tc>
          <w:tcPr>
            <w:tcW w:w="850" w:type="dxa"/>
            <w:noWrap/>
            <w:vAlign w:val="center"/>
          </w:tcPr>
          <w:p w14:paraId="5EE93FFC">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蔬菜</w:t>
            </w:r>
          </w:p>
        </w:tc>
        <w:tc>
          <w:tcPr>
            <w:tcW w:w="2135" w:type="dxa"/>
            <w:noWrap/>
            <w:vAlign w:val="center"/>
          </w:tcPr>
          <w:p w14:paraId="354898F7">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不得检出</w:t>
            </w:r>
          </w:p>
        </w:tc>
      </w:tr>
      <w:tr w14:paraId="7DCD782B">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0" w:hRule="atLeast"/>
        </w:trPr>
        <w:tc>
          <w:tcPr>
            <w:tcW w:w="1290" w:type="dxa"/>
            <w:noWrap/>
            <w:vAlign w:val="center"/>
          </w:tcPr>
          <w:p w14:paraId="3911960A">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对硫磷</w:t>
            </w:r>
          </w:p>
        </w:tc>
        <w:tc>
          <w:tcPr>
            <w:tcW w:w="1843" w:type="dxa"/>
            <w:noWrap/>
            <w:vAlign w:val="center"/>
          </w:tcPr>
          <w:p w14:paraId="72B5D479">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parathion</w:t>
            </w:r>
          </w:p>
        </w:tc>
        <w:tc>
          <w:tcPr>
            <w:tcW w:w="1559" w:type="dxa"/>
            <w:noWrap/>
            <w:vAlign w:val="center"/>
          </w:tcPr>
          <w:p w14:paraId="44A513CD">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一六零五</w:t>
            </w:r>
          </w:p>
        </w:tc>
        <w:tc>
          <w:tcPr>
            <w:tcW w:w="851" w:type="dxa"/>
            <w:noWrap/>
            <w:vAlign w:val="center"/>
          </w:tcPr>
          <w:p w14:paraId="0BF58468">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高</w:t>
            </w:r>
          </w:p>
        </w:tc>
        <w:tc>
          <w:tcPr>
            <w:tcW w:w="850" w:type="dxa"/>
            <w:noWrap/>
            <w:vAlign w:val="center"/>
          </w:tcPr>
          <w:p w14:paraId="64E53098">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蔬菜</w:t>
            </w:r>
          </w:p>
        </w:tc>
        <w:tc>
          <w:tcPr>
            <w:tcW w:w="2135" w:type="dxa"/>
            <w:noWrap/>
            <w:vAlign w:val="center"/>
          </w:tcPr>
          <w:p w14:paraId="47861481">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不得检出</w:t>
            </w:r>
          </w:p>
        </w:tc>
      </w:tr>
      <w:tr w14:paraId="700EB476">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0" w:hRule="atLeast"/>
        </w:trPr>
        <w:tc>
          <w:tcPr>
            <w:tcW w:w="1290" w:type="dxa"/>
            <w:noWrap/>
            <w:vAlign w:val="center"/>
          </w:tcPr>
          <w:p w14:paraId="4E880B9F">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甲拌磷</w:t>
            </w:r>
          </w:p>
        </w:tc>
        <w:tc>
          <w:tcPr>
            <w:tcW w:w="1843" w:type="dxa"/>
            <w:noWrap/>
            <w:vAlign w:val="center"/>
          </w:tcPr>
          <w:p w14:paraId="5432B24B">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phorate</w:t>
            </w:r>
          </w:p>
        </w:tc>
        <w:tc>
          <w:tcPr>
            <w:tcW w:w="1559" w:type="dxa"/>
            <w:noWrap/>
            <w:vAlign w:val="center"/>
          </w:tcPr>
          <w:p w14:paraId="37EED7CA">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三九一一</w:t>
            </w:r>
          </w:p>
        </w:tc>
        <w:tc>
          <w:tcPr>
            <w:tcW w:w="851" w:type="dxa"/>
            <w:noWrap/>
            <w:vAlign w:val="center"/>
          </w:tcPr>
          <w:p w14:paraId="60D9337A">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高</w:t>
            </w:r>
          </w:p>
        </w:tc>
        <w:tc>
          <w:tcPr>
            <w:tcW w:w="850" w:type="dxa"/>
            <w:noWrap/>
            <w:vAlign w:val="center"/>
          </w:tcPr>
          <w:p w14:paraId="0798BA06">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蔬菜</w:t>
            </w:r>
          </w:p>
        </w:tc>
        <w:tc>
          <w:tcPr>
            <w:tcW w:w="2135" w:type="dxa"/>
            <w:noWrap/>
            <w:vAlign w:val="center"/>
          </w:tcPr>
          <w:p w14:paraId="09251E79">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不得检出</w:t>
            </w:r>
          </w:p>
        </w:tc>
      </w:tr>
      <w:tr w14:paraId="1FD216F1">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0" w:hRule="atLeast"/>
        </w:trPr>
        <w:tc>
          <w:tcPr>
            <w:tcW w:w="1290" w:type="dxa"/>
            <w:noWrap/>
            <w:vAlign w:val="center"/>
          </w:tcPr>
          <w:p w14:paraId="7F2E0F05">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甲胺磷</w:t>
            </w:r>
          </w:p>
        </w:tc>
        <w:tc>
          <w:tcPr>
            <w:tcW w:w="1843" w:type="dxa"/>
            <w:noWrap/>
            <w:vAlign w:val="center"/>
          </w:tcPr>
          <w:p w14:paraId="25033245">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methamidophos</w:t>
            </w:r>
          </w:p>
        </w:tc>
        <w:tc>
          <w:tcPr>
            <w:tcW w:w="1559" w:type="dxa"/>
            <w:noWrap/>
            <w:vAlign w:val="center"/>
          </w:tcPr>
          <w:p w14:paraId="06AC59DC">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w:t>
            </w:r>
          </w:p>
        </w:tc>
        <w:tc>
          <w:tcPr>
            <w:tcW w:w="851" w:type="dxa"/>
            <w:noWrap/>
            <w:vAlign w:val="center"/>
          </w:tcPr>
          <w:p w14:paraId="1D0009C4">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高</w:t>
            </w:r>
          </w:p>
        </w:tc>
        <w:tc>
          <w:tcPr>
            <w:tcW w:w="850" w:type="dxa"/>
            <w:noWrap/>
            <w:vAlign w:val="center"/>
          </w:tcPr>
          <w:p w14:paraId="25836A90">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蔬菜</w:t>
            </w:r>
          </w:p>
        </w:tc>
        <w:tc>
          <w:tcPr>
            <w:tcW w:w="2135" w:type="dxa"/>
            <w:noWrap/>
            <w:vAlign w:val="center"/>
          </w:tcPr>
          <w:p w14:paraId="3D9BDF4B">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不得检出</w:t>
            </w:r>
          </w:p>
        </w:tc>
      </w:tr>
      <w:tr w14:paraId="0CA6BC72">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0" w:hRule="atLeast"/>
        </w:trPr>
        <w:tc>
          <w:tcPr>
            <w:tcW w:w="1290" w:type="dxa"/>
            <w:noWrap/>
            <w:vAlign w:val="center"/>
          </w:tcPr>
          <w:p w14:paraId="59C6D518">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久效磷</w:t>
            </w:r>
          </w:p>
        </w:tc>
        <w:tc>
          <w:tcPr>
            <w:tcW w:w="1843" w:type="dxa"/>
            <w:noWrap/>
            <w:vAlign w:val="center"/>
          </w:tcPr>
          <w:p w14:paraId="3BE9E6BD">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monocrotophos</w:t>
            </w:r>
          </w:p>
        </w:tc>
        <w:tc>
          <w:tcPr>
            <w:tcW w:w="1559" w:type="dxa"/>
            <w:noWrap/>
            <w:vAlign w:val="center"/>
          </w:tcPr>
          <w:p w14:paraId="1745C584">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纽瓦克</w:t>
            </w:r>
          </w:p>
        </w:tc>
        <w:tc>
          <w:tcPr>
            <w:tcW w:w="851" w:type="dxa"/>
            <w:noWrap/>
            <w:vAlign w:val="center"/>
          </w:tcPr>
          <w:p w14:paraId="6AB71F29">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高</w:t>
            </w:r>
          </w:p>
        </w:tc>
        <w:tc>
          <w:tcPr>
            <w:tcW w:w="850" w:type="dxa"/>
            <w:noWrap/>
            <w:vAlign w:val="center"/>
          </w:tcPr>
          <w:p w14:paraId="0E33494E">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蔬菜</w:t>
            </w:r>
          </w:p>
        </w:tc>
        <w:tc>
          <w:tcPr>
            <w:tcW w:w="2135" w:type="dxa"/>
            <w:noWrap/>
            <w:vAlign w:val="center"/>
          </w:tcPr>
          <w:p w14:paraId="608FEDE8">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不得检出</w:t>
            </w:r>
          </w:p>
        </w:tc>
      </w:tr>
      <w:tr w14:paraId="2DF8B97E">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0" w:hRule="atLeast"/>
        </w:trPr>
        <w:tc>
          <w:tcPr>
            <w:tcW w:w="1290" w:type="dxa"/>
            <w:noWrap/>
            <w:vAlign w:val="center"/>
          </w:tcPr>
          <w:p w14:paraId="739808C0">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氧化乐果</w:t>
            </w:r>
          </w:p>
        </w:tc>
        <w:tc>
          <w:tcPr>
            <w:tcW w:w="1843" w:type="dxa"/>
            <w:noWrap/>
            <w:vAlign w:val="center"/>
          </w:tcPr>
          <w:p w14:paraId="2A949574">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omethoate</w:t>
            </w:r>
          </w:p>
        </w:tc>
        <w:tc>
          <w:tcPr>
            <w:tcW w:w="1559" w:type="dxa"/>
            <w:noWrap/>
            <w:vAlign w:val="center"/>
          </w:tcPr>
          <w:p w14:paraId="2136459B">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w:t>
            </w:r>
          </w:p>
        </w:tc>
        <w:tc>
          <w:tcPr>
            <w:tcW w:w="851" w:type="dxa"/>
            <w:noWrap/>
            <w:vAlign w:val="center"/>
          </w:tcPr>
          <w:p w14:paraId="3A190335">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高</w:t>
            </w:r>
          </w:p>
        </w:tc>
        <w:tc>
          <w:tcPr>
            <w:tcW w:w="850" w:type="dxa"/>
            <w:noWrap/>
            <w:vAlign w:val="center"/>
          </w:tcPr>
          <w:p w14:paraId="6C9CCF0F">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蔬菜</w:t>
            </w:r>
          </w:p>
        </w:tc>
        <w:tc>
          <w:tcPr>
            <w:tcW w:w="2135" w:type="dxa"/>
            <w:noWrap/>
            <w:vAlign w:val="center"/>
          </w:tcPr>
          <w:p w14:paraId="56C0653D">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不得检出</w:t>
            </w:r>
          </w:p>
        </w:tc>
      </w:tr>
      <w:tr w14:paraId="69EA19A3">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0" w:hRule="atLeast"/>
        </w:trPr>
        <w:tc>
          <w:tcPr>
            <w:tcW w:w="1290" w:type="dxa"/>
            <w:noWrap/>
            <w:vAlign w:val="center"/>
          </w:tcPr>
          <w:p w14:paraId="39F0D291">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克百威</w:t>
            </w:r>
          </w:p>
        </w:tc>
        <w:tc>
          <w:tcPr>
            <w:tcW w:w="1843" w:type="dxa"/>
            <w:noWrap/>
            <w:vAlign w:val="center"/>
          </w:tcPr>
          <w:p w14:paraId="66CADC91">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carbofuran</w:t>
            </w:r>
          </w:p>
        </w:tc>
        <w:tc>
          <w:tcPr>
            <w:tcW w:w="1559" w:type="dxa"/>
            <w:noWrap/>
            <w:vAlign w:val="center"/>
          </w:tcPr>
          <w:p w14:paraId="0F7C82FE">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呋喃丹</w:t>
            </w:r>
          </w:p>
        </w:tc>
        <w:tc>
          <w:tcPr>
            <w:tcW w:w="851" w:type="dxa"/>
            <w:noWrap/>
            <w:vAlign w:val="center"/>
          </w:tcPr>
          <w:p w14:paraId="36B9F55C">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高</w:t>
            </w:r>
          </w:p>
        </w:tc>
        <w:tc>
          <w:tcPr>
            <w:tcW w:w="850" w:type="dxa"/>
            <w:noWrap/>
            <w:vAlign w:val="center"/>
          </w:tcPr>
          <w:p w14:paraId="17068EE9">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蔬菜</w:t>
            </w:r>
          </w:p>
        </w:tc>
        <w:tc>
          <w:tcPr>
            <w:tcW w:w="2135" w:type="dxa"/>
            <w:noWrap/>
            <w:vAlign w:val="center"/>
          </w:tcPr>
          <w:p w14:paraId="71A534DE">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不得检出</w:t>
            </w:r>
          </w:p>
        </w:tc>
      </w:tr>
      <w:tr w14:paraId="1E52ADE7">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0" w:hRule="atLeast"/>
        </w:trPr>
        <w:tc>
          <w:tcPr>
            <w:tcW w:w="1290" w:type="dxa"/>
            <w:noWrap/>
            <w:vAlign w:val="center"/>
          </w:tcPr>
          <w:p w14:paraId="54E67F1F">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涕灭威</w:t>
            </w:r>
          </w:p>
        </w:tc>
        <w:tc>
          <w:tcPr>
            <w:tcW w:w="1843" w:type="dxa"/>
            <w:noWrap/>
            <w:vAlign w:val="center"/>
          </w:tcPr>
          <w:p w14:paraId="29A79A3C">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aldicarb</w:t>
            </w:r>
          </w:p>
        </w:tc>
        <w:tc>
          <w:tcPr>
            <w:tcW w:w="1559" w:type="dxa"/>
            <w:noWrap/>
            <w:vAlign w:val="center"/>
          </w:tcPr>
          <w:p w14:paraId="1DD4BEB3">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铁灭克</w:t>
            </w:r>
          </w:p>
        </w:tc>
        <w:tc>
          <w:tcPr>
            <w:tcW w:w="851" w:type="dxa"/>
            <w:noWrap/>
            <w:vAlign w:val="center"/>
          </w:tcPr>
          <w:p w14:paraId="05A496C6">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高</w:t>
            </w:r>
          </w:p>
        </w:tc>
        <w:tc>
          <w:tcPr>
            <w:tcW w:w="850" w:type="dxa"/>
            <w:noWrap/>
            <w:vAlign w:val="center"/>
          </w:tcPr>
          <w:p w14:paraId="1638D0D2">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蔬菜</w:t>
            </w:r>
          </w:p>
        </w:tc>
        <w:tc>
          <w:tcPr>
            <w:tcW w:w="2135" w:type="dxa"/>
            <w:noWrap/>
            <w:vAlign w:val="center"/>
          </w:tcPr>
          <w:p w14:paraId="1CAFC62F">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不得检出</w:t>
            </w:r>
          </w:p>
        </w:tc>
      </w:tr>
      <w:tr w14:paraId="032AA0FF">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0" w:hRule="atLeast"/>
        </w:trPr>
        <w:tc>
          <w:tcPr>
            <w:tcW w:w="1290" w:type="dxa"/>
            <w:noWrap/>
            <w:vAlign w:val="center"/>
          </w:tcPr>
          <w:p w14:paraId="64E62C91">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六六六</w:t>
            </w:r>
          </w:p>
        </w:tc>
        <w:tc>
          <w:tcPr>
            <w:tcW w:w="1843" w:type="dxa"/>
            <w:noWrap/>
            <w:vAlign w:val="center"/>
          </w:tcPr>
          <w:p w14:paraId="6D48929C">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BHC</w:t>
            </w:r>
          </w:p>
        </w:tc>
        <w:tc>
          <w:tcPr>
            <w:tcW w:w="1559" w:type="dxa"/>
            <w:noWrap/>
            <w:vAlign w:val="center"/>
          </w:tcPr>
          <w:p w14:paraId="142D6602">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w:t>
            </w:r>
          </w:p>
        </w:tc>
        <w:tc>
          <w:tcPr>
            <w:tcW w:w="851" w:type="dxa"/>
            <w:noWrap/>
            <w:vAlign w:val="center"/>
          </w:tcPr>
          <w:p w14:paraId="2CAF0D9B">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高</w:t>
            </w:r>
          </w:p>
        </w:tc>
        <w:tc>
          <w:tcPr>
            <w:tcW w:w="850" w:type="dxa"/>
            <w:noWrap/>
            <w:vAlign w:val="center"/>
          </w:tcPr>
          <w:p w14:paraId="52A9B399">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蔬菜</w:t>
            </w:r>
          </w:p>
        </w:tc>
        <w:tc>
          <w:tcPr>
            <w:tcW w:w="2135" w:type="dxa"/>
            <w:noWrap/>
            <w:vAlign w:val="center"/>
          </w:tcPr>
          <w:p w14:paraId="535BC893">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0.2</w:t>
            </w:r>
          </w:p>
        </w:tc>
      </w:tr>
      <w:tr w14:paraId="2F12F879">
        <w:tblPrEx>
          <w:tblBorders>
            <w:top w:val="single" w:color="231F20" w:sz="6" w:space="0"/>
            <w:left w:val="single" w:color="231F20" w:sz="6" w:space="0"/>
            <w:bottom w:val="single" w:color="231F20" w:sz="6" w:space="0"/>
            <w:right w:val="single" w:color="231F20" w:sz="6" w:space="0"/>
            <w:insideH w:val="single" w:color="231F20" w:sz="6" w:space="0"/>
            <w:insideV w:val="single" w:color="231F20" w:sz="6" w:space="0"/>
          </w:tblBorders>
          <w:tblCellMar>
            <w:top w:w="0" w:type="dxa"/>
            <w:left w:w="0" w:type="dxa"/>
            <w:bottom w:w="0" w:type="dxa"/>
            <w:right w:w="0" w:type="dxa"/>
          </w:tblCellMar>
        </w:tblPrEx>
        <w:trPr>
          <w:trHeight w:val="550" w:hRule="atLeast"/>
        </w:trPr>
        <w:tc>
          <w:tcPr>
            <w:tcW w:w="1290" w:type="dxa"/>
            <w:noWrap/>
            <w:vAlign w:val="center"/>
          </w:tcPr>
          <w:p w14:paraId="156F1834">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滴滴涕</w:t>
            </w:r>
          </w:p>
        </w:tc>
        <w:tc>
          <w:tcPr>
            <w:tcW w:w="1843" w:type="dxa"/>
            <w:noWrap/>
            <w:vAlign w:val="center"/>
          </w:tcPr>
          <w:p w14:paraId="620033E5">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DDT</w:t>
            </w:r>
          </w:p>
        </w:tc>
        <w:tc>
          <w:tcPr>
            <w:tcW w:w="1559" w:type="dxa"/>
            <w:noWrap/>
            <w:vAlign w:val="center"/>
          </w:tcPr>
          <w:p w14:paraId="3CD3C117">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w:t>
            </w:r>
          </w:p>
        </w:tc>
        <w:tc>
          <w:tcPr>
            <w:tcW w:w="851" w:type="dxa"/>
            <w:noWrap/>
            <w:vAlign w:val="center"/>
          </w:tcPr>
          <w:p w14:paraId="22A37496">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中</w:t>
            </w:r>
          </w:p>
        </w:tc>
        <w:tc>
          <w:tcPr>
            <w:tcW w:w="850" w:type="dxa"/>
            <w:noWrap/>
            <w:vAlign w:val="center"/>
          </w:tcPr>
          <w:p w14:paraId="73BC612D">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蔬菜</w:t>
            </w:r>
          </w:p>
        </w:tc>
        <w:tc>
          <w:tcPr>
            <w:tcW w:w="2135" w:type="dxa"/>
            <w:noWrap/>
            <w:vAlign w:val="center"/>
          </w:tcPr>
          <w:p w14:paraId="1CE8EE84">
            <w:pPr>
              <w:keepNext w:val="0"/>
              <w:keepLines w:val="0"/>
              <w:pageBreakBefore w:val="0"/>
              <w:kinsoku/>
              <w:overflowPunct/>
              <w:topLinePunct w:val="0"/>
              <w:autoSpaceDE w:val="0"/>
              <w:autoSpaceDN w:val="0"/>
              <w:bidi w:val="0"/>
              <w:adjustRightInd/>
              <w:spacing w:line="360" w:lineRule="auto"/>
              <w:ind w:right="0" w:rightChars="0"/>
              <w:jc w:val="center"/>
              <w:textAlignment w:val="auto"/>
              <w:rPr>
                <w:rFonts w:hint="eastAsia" w:ascii="宋体" w:hAnsi="宋体" w:eastAsia="宋体" w:cs="宋体"/>
                <w:color w:val="auto"/>
                <w:sz w:val="28"/>
                <w:szCs w:val="28"/>
                <w:highlight w:val="none"/>
                <w:lang w:eastAsia="en-US"/>
              </w:rPr>
            </w:pPr>
            <w:r>
              <w:rPr>
                <w:rFonts w:hint="eastAsia" w:ascii="宋体" w:hAnsi="宋体" w:eastAsia="宋体" w:cs="宋体"/>
                <w:color w:val="auto"/>
                <w:sz w:val="28"/>
                <w:szCs w:val="28"/>
                <w:highlight w:val="none"/>
                <w:lang w:eastAsia="en-US"/>
              </w:rPr>
              <w:t>0.1</w:t>
            </w:r>
          </w:p>
        </w:tc>
      </w:tr>
    </w:tbl>
    <w:p w14:paraId="05D30E7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bookmarkStart w:id="0" w:name="页_11"/>
      <w:bookmarkEnd w:id="0"/>
      <w:r>
        <w:rPr>
          <w:rFonts w:hint="eastAsia" w:ascii="宋体" w:hAnsi="宋体" w:eastAsia="宋体" w:cs="宋体"/>
          <w:color w:val="auto"/>
          <w:sz w:val="28"/>
          <w:szCs w:val="28"/>
          <w:highlight w:val="none"/>
        </w:rPr>
        <w:t>（二）蔬菜、瓜果类具体标准</w:t>
      </w:r>
    </w:p>
    <w:p w14:paraId="0CDF33F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大白菜：新鲜洁白，表面无黑色斑点,里面无烂心、无开花、无坏叶；</w:t>
      </w:r>
    </w:p>
    <w:p w14:paraId="69D955C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白萝卜：表皮光洁，无黑心、无空心、小的不低于0.5斤，大的不超过3斤；</w:t>
      </w:r>
    </w:p>
    <w:p w14:paraId="51BDC03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青笋： 新鲜、通体均称，无竹节、无乱尾、无空心，叶片不能超过长度的1/3 ；</w:t>
      </w:r>
    </w:p>
    <w:p w14:paraId="7782D10B">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尖椒：无异味,尾部新鲜、硬朗,长度不短于10公分；</w:t>
      </w:r>
    </w:p>
    <w:p w14:paraId="709A8A8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圆椒：无异味,尾部新鲜、硬朗；</w:t>
      </w:r>
    </w:p>
    <w:p w14:paraId="73C06C4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红椒：无异味,尾部新鲜、硬朗、硬而不烂；</w:t>
      </w:r>
    </w:p>
    <w:p w14:paraId="3806AB8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包菜：1.5斤以上,无黄叶、虫叶、结实无烂心；</w:t>
      </w:r>
    </w:p>
    <w:p w14:paraId="72EFE5E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蒜苔：长而匀称、绿色鲜艳、无暗斑、尾部老硬不能超过1寸,没有冻伤(中间抽看,防冻烂)；</w:t>
      </w:r>
    </w:p>
    <w:p w14:paraId="7854037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红萝卜：直径3-5 cm,大而均匀、色泽鲜艳；</w:t>
      </w:r>
    </w:p>
    <w:p w14:paraId="4A16EFA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豆角：新鲜、长度40公分左右,长而结实,折断为实心、无虫; 花菜：直径10cm,洁白而无黑点斑点,箱装则防冻烂；</w:t>
      </w:r>
    </w:p>
    <w:p w14:paraId="6CF5F09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西兰花：表面蓓蕾平展,无开花现象,无异味臭味,外表如有潮,表色则证明已变质；</w:t>
      </w:r>
    </w:p>
    <w:p w14:paraId="321C309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青瓜：长而直、带刺、折断为实心无籽,两头大小一致；</w:t>
      </w:r>
    </w:p>
    <w:p w14:paraId="7E80F96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bookmarkStart w:id="1" w:name="页_12"/>
      <w:bookmarkEnd w:id="1"/>
      <w:r>
        <w:rPr>
          <w:rFonts w:hint="eastAsia" w:ascii="宋体" w:hAnsi="宋体" w:eastAsia="宋体" w:cs="宋体"/>
          <w:color w:val="auto"/>
          <w:sz w:val="28"/>
          <w:szCs w:val="28"/>
          <w:highlight w:val="none"/>
        </w:rPr>
        <w:t>玉米棒：个大,粒满,老嫩适中,防虫咬；</w:t>
      </w:r>
    </w:p>
    <w:p w14:paraId="34EBE6FD">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南瓜：金黄色、红心、表皮如有指头大小黑块,则已变质；</w:t>
      </w:r>
    </w:p>
    <w:p w14:paraId="59094F5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生姜：个大、金黄色、无芽、黑色则烂,白色则嫩</w:t>
      </w:r>
    </w:p>
    <w:p w14:paraId="5536088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丝瓜：头尾粗细较均匀,拿起有弹力；</w:t>
      </w:r>
    </w:p>
    <w:p w14:paraId="14F3402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西芹：嫩绿色折断无筋,无烂心；</w:t>
      </w:r>
    </w:p>
    <w:p w14:paraId="52EFCDD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土豆：大而圆滑、无泥土、无发芽；</w:t>
      </w:r>
    </w:p>
    <w:p w14:paraId="54B960A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茄瓜：长、直、嫩、折断洁白无籽；</w:t>
      </w:r>
    </w:p>
    <w:p w14:paraId="66BD46B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西红柿：红而不软,硬而不青；</w:t>
      </w:r>
    </w:p>
    <w:p w14:paraId="064FFF0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（三）腌菜、泡菜类标准：</w:t>
      </w:r>
    </w:p>
    <w:p w14:paraId="45F8849E">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首次供货前提供保证函、每一年至少提供一次当年官方检验报告。符合GB 2714及GB 2760的规定，亚硝酸盐≤20 mg/ kg;柠檬黄≤0.1 mg/ kg; 苯甲酸≤0.5 g/ kg。具有该腌菜、泡菜应有的色泽和气味。无白花、无腐烂、变质、酸臭味。</w:t>
      </w:r>
    </w:p>
    <w:p w14:paraId="6A0474A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二、猪肉类标准:</w:t>
      </w:r>
    </w:p>
    <w:p w14:paraId="47FBB03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（一）</w:t>
      </w:r>
      <w:r>
        <w:rPr>
          <w:rFonts w:hint="eastAsia" w:ascii="宋体" w:hAnsi="宋体" w:eastAsia="宋体" w:cs="宋体"/>
          <w:color w:val="auto"/>
          <w:sz w:val="28"/>
          <w:szCs w:val="28"/>
          <w:highlight w:val="none"/>
        </w:rPr>
        <w:t>猪肉类标准:每批次必须有兽医检疫合格证明,首次供货前提供兽药残留达标、无禁用药物保证函,每年提供至少一次当年官方检验报告。符合GB 2707-20</w:t>
      </w:r>
      <w:r>
        <w:rPr>
          <w:rFonts w:hint="eastAsia" w:ascii="宋体" w:hAnsi="宋体" w:eastAsia="宋体" w:cs="宋体"/>
          <w:color w:val="auto"/>
          <w:sz w:val="28"/>
          <w:szCs w:val="28"/>
          <w:highlight w:val="none"/>
          <w:lang w:val="en-US" w:eastAsia="zh-CN"/>
        </w:rPr>
        <w:t>05</w:t>
      </w:r>
      <w:r>
        <w:rPr>
          <w:rFonts w:hint="eastAsia" w:ascii="宋体" w:hAnsi="宋体" w:eastAsia="宋体" w:cs="宋体"/>
          <w:color w:val="auto"/>
          <w:sz w:val="28"/>
          <w:szCs w:val="28"/>
          <w:highlight w:val="none"/>
        </w:rPr>
        <w:t>鲜</w:t>
      </w:r>
      <w:r>
        <w:rPr>
          <w:rFonts w:hint="eastAsia" w:ascii="宋体" w:hAnsi="宋体" w:eastAsia="宋体" w:cs="宋体"/>
          <w:color w:val="auto"/>
          <w:sz w:val="28"/>
          <w:szCs w:val="28"/>
          <w:highlight w:val="none"/>
          <w:lang w:eastAsia="zh-CN"/>
        </w:rPr>
        <w:t>（冻）</w:t>
      </w:r>
      <w:r>
        <w:rPr>
          <w:rFonts w:hint="eastAsia" w:ascii="宋体" w:hAnsi="宋体" w:eastAsia="宋体" w:cs="宋体"/>
          <w:color w:val="auto"/>
          <w:sz w:val="28"/>
          <w:szCs w:val="28"/>
          <w:highlight w:val="none"/>
        </w:rPr>
        <w:t>畜肉卫生标准。印章清晰清楚可查。</w:t>
      </w:r>
    </w:p>
    <w:p w14:paraId="1DA3F26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（二）猪肉各部位肉的具体标准：</w:t>
      </w:r>
    </w:p>
    <w:p w14:paraId="3596B9F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五花肉：要新鲜、皮簿、肉质好,不能太肥,一般二指厚为准；</w:t>
      </w:r>
    </w:p>
    <w:p w14:paraId="72686E0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前上肉：五花肉,小里几</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腰内肉</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,梅花肉皆属上肉,不能有淋巴瘤,不带前腿肉,颜色要好,不能有淤血,猪毛；</w:t>
      </w:r>
    </w:p>
    <w:p w14:paraId="2B51D8B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后上肉：不能太肥,要瘦肉多,无淋巴瘤,皮无斑点；</w:t>
      </w:r>
    </w:p>
    <w:p w14:paraId="7DF393C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后瘦肉：肉色要好,不能有淤血,不能有肥肉、碎骨,表面上不能有发白积水；</w:t>
      </w:r>
    </w:p>
    <w:p w14:paraId="04786AEC">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肥肉：厚度为三公分,一公寸宽,不要有瘦肉；</w:t>
      </w:r>
    </w:p>
    <w:p w14:paraId="1AAA938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三、牛肉类标准:</w:t>
      </w:r>
    </w:p>
    <w:p w14:paraId="1CE9CFC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（一）每批次必须有兽医检疫合格证明,首次供货前提供兽药残留达标、无禁用药物保证函,每年提供至少一次当年官方检验报告,符合GB2707-2005 鲜</w:t>
      </w:r>
      <w:r>
        <w:rPr>
          <w:rFonts w:hint="eastAsia" w:ascii="宋体" w:hAnsi="宋体" w:eastAsia="宋体" w:cs="宋体"/>
          <w:color w:val="auto"/>
          <w:sz w:val="28"/>
          <w:szCs w:val="28"/>
          <w:highlight w:val="none"/>
          <w:lang w:eastAsia="zh-CN"/>
        </w:rPr>
        <w:t>（冻）</w:t>
      </w:r>
      <w:r>
        <w:rPr>
          <w:rFonts w:hint="eastAsia" w:ascii="宋体" w:hAnsi="宋体" w:eastAsia="宋体" w:cs="宋体"/>
          <w:color w:val="auto"/>
          <w:sz w:val="28"/>
          <w:szCs w:val="28"/>
          <w:highlight w:val="none"/>
        </w:rPr>
        <w:t>畜肉卫生标准。印章清晰清楚可查。</w:t>
      </w:r>
    </w:p>
    <w:p w14:paraId="50D4A7D6">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（二）牛肉各部位标准</w:t>
      </w:r>
    </w:p>
    <w:p w14:paraId="09378C7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瘦牛肉：呈均匀的鲜红色或深红色、有光泽；</w:t>
      </w:r>
    </w:p>
    <w:p w14:paraId="3314954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脂肪：呈乳白色或微黄色,具有牛肉正常气味,无异味,瘦肉切面纹理清晰,皮下脂肪适度、均匀、形态丰满；肉质紧密、有弹性、表面湿润、不黏手、无注水；</w:t>
      </w:r>
    </w:p>
    <w:p w14:paraId="37AEF1A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牛腩：色泽新鲜、无杂质、无异味、无注水。</w:t>
      </w:r>
    </w:p>
    <w:p w14:paraId="4D78492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四、畜禽类标准</w:t>
      </w:r>
    </w:p>
    <w:p w14:paraId="1A9A9E8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（一）每批次必须有兽医检疫合格证明，首次供货前提供兽药残留达标、无禁用药物保证函，每年提供至少一次当年官方检验报告。符合GB2707-2005鲜</w:t>
      </w:r>
      <w:r>
        <w:rPr>
          <w:rFonts w:hint="eastAsia" w:ascii="宋体" w:hAnsi="宋体" w:eastAsia="宋体" w:cs="宋体"/>
          <w:color w:val="auto"/>
          <w:sz w:val="28"/>
          <w:szCs w:val="28"/>
          <w:highlight w:val="none"/>
          <w:lang w:eastAsia="zh-CN"/>
        </w:rPr>
        <w:t>（冻）</w:t>
      </w:r>
      <w:r>
        <w:rPr>
          <w:rFonts w:hint="eastAsia" w:ascii="宋体" w:hAnsi="宋体" w:eastAsia="宋体" w:cs="宋体"/>
          <w:color w:val="auto"/>
          <w:sz w:val="28"/>
          <w:szCs w:val="28"/>
          <w:highlight w:val="none"/>
        </w:rPr>
        <w:t>畜肉卫生标准及GB16869-2005鲜、冻禽产品卫生标准。印章清晰清楚可查。</w:t>
      </w:r>
    </w:p>
    <w:p w14:paraId="38C08094">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（二）</w:t>
      </w:r>
      <w:r>
        <w:rPr>
          <w:rFonts w:hint="eastAsia" w:ascii="宋体" w:hAnsi="宋体" w:eastAsia="宋体" w:cs="宋体"/>
          <w:color w:val="auto"/>
          <w:sz w:val="28"/>
          <w:szCs w:val="28"/>
          <w:highlight w:val="none"/>
        </w:rPr>
        <w:t>畜禽类肉的具体标准：外观新鲜肉色泽光润，肉的断面呈淡红色，稍湿润，但不粘，肉的液体透明;硬度新鲜肉的刀断面,肉质紧密、富有弹性，用手按后能迅速恢复原状;</w:t>
      </w:r>
      <w:bookmarkStart w:id="2" w:name="页_14"/>
      <w:bookmarkEnd w:id="2"/>
      <w:r>
        <w:rPr>
          <w:rFonts w:hint="eastAsia" w:ascii="宋体" w:hAnsi="宋体" w:eastAsia="宋体" w:cs="宋体"/>
          <w:color w:val="auto"/>
          <w:sz w:val="28"/>
          <w:szCs w:val="28"/>
          <w:highlight w:val="none"/>
        </w:rPr>
        <w:t>气味新鲜肉具有每种家畜肉的特有气味；脂肪新鲜肉的脂肪分布均匀，没有酸败味和臭味，并保持原有色泽。</w:t>
      </w:r>
    </w:p>
    <w:p w14:paraId="4C1177F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五、禽蛋类标准：</w:t>
      </w:r>
    </w:p>
    <w:p w14:paraId="5533520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蛋外壳有层霜状粉末,壳表面比较粗糙，但有光泽;用光照,能透光,呈桔红色,气室小而透亮,蛋黄轮廓，将蛋轻轻摇动,听不到声音或感觉不到振动的为新鲜蛋。</w:t>
      </w:r>
    </w:p>
    <w:p w14:paraId="2CDE016D">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六、鱼类等产品质量鉴定标准:</w:t>
      </w:r>
    </w:p>
    <w:p w14:paraId="5BE97F3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（一）</w:t>
      </w:r>
      <w:r>
        <w:rPr>
          <w:rFonts w:hint="eastAsia" w:ascii="宋体" w:hAnsi="宋体" w:eastAsia="宋体" w:cs="宋体"/>
          <w:color w:val="auto"/>
          <w:sz w:val="28"/>
          <w:szCs w:val="28"/>
          <w:highlight w:val="none"/>
        </w:rPr>
        <w:t>首次供货前提供保证函、每一年至少提供一次当年官方检验报告。符合GB 2733-20</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5鲜冻动物性水产品卫生标准,查验合格供应商名录,来源于合格供应商。</w:t>
      </w:r>
    </w:p>
    <w:p w14:paraId="27C38D1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（二）</w:t>
      </w:r>
      <w:r>
        <w:rPr>
          <w:rFonts w:hint="eastAsia" w:ascii="宋体" w:hAnsi="宋体" w:eastAsia="宋体" w:cs="宋体"/>
          <w:color w:val="auto"/>
          <w:sz w:val="28"/>
          <w:szCs w:val="28"/>
          <w:highlight w:val="none"/>
        </w:rPr>
        <w:t>鲜鱼类眼睛凸起，澄清有光泽；不新鲜的鱼眼睛凹陷，色泽浑浊不清，呈微蓝色；鱼鳃紧闭，鰓片呈鲜红色，无黏液和污物；鳞片整齐， 排列紧密，有黏液和光泽，轮层明显；</w:t>
      </w:r>
    </w:p>
    <w:p w14:paraId="1409B40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bookmarkStart w:id="3" w:name="页_16"/>
      <w:bookmarkEnd w:id="3"/>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虾类虾头尾完整,有一定的弯曲度、虾身较挺、虾皮壳发亮,呈青白色，新鲜虾肉质坚实、细嫩;</w:t>
      </w:r>
    </w:p>
    <w:p w14:paraId="534D561A">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（四）虾仁必须冰冻,而保持其新鲜程度。冻虾仁的外包装完整、清洁。</w:t>
      </w:r>
    </w:p>
    <w:p w14:paraId="58ECF53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七、干货类标准:干爽、不霉烂、整齐、均匀、完整、无虫蛀、无杂质,保持应有的色泽;</w:t>
      </w:r>
    </w:p>
    <w:p w14:paraId="15873929">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八、稻米、面粉、淀粉标准：</w:t>
      </w:r>
    </w:p>
    <w:p w14:paraId="7FA8A3FF">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（一）符合GB 2715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lang w:val="en-US" w:eastAsia="zh-CN"/>
        </w:rPr>
        <w:t>16</w:t>
      </w:r>
      <w:r>
        <w:rPr>
          <w:rFonts w:hint="eastAsia" w:ascii="宋体" w:hAnsi="宋体" w:eastAsia="宋体" w:cs="宋体"/>
          <w:color w:val="auto"/>
          <w:sz w:val="28"/>
          <w:szCs w:val="28"/>
          <w:highlight w:val="none"/>
        </w:rPr>
        <w:t>粮食卫生标准及GB1355-2021小麦粉标准。</w:t>
      </w:r>
      <w:bookmarkStart w:id="4" w:name="页_20"/>
      <w:bookmarkEnd w:id="4"/>
      <w:r>
        <w:rPr>
          <w:rFonts w:hint="eastAsia" w:ascii="宋体" w:hAnsi="宋体" w:eastAsia="宋体" w:cs="宋体"/>
          <w:color w:val="auto"/>
          <w:sz w:val="28"/>
          <w:szCs w:val="28"/>
          <w:highlight w:val="none"/>
        </w:rPr>
        <w:t>面粉的品质标准: 面粉含水量在12-13%之间,有正常气味，颜色较淡。</w:t>
      </w:r>
    </w:p>
    <w:p w14:paraId="03A86022">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（二）稻米的质量检验标准：有清香味和光泽、无米糠和其它杂质、 无虫草害无异味、无霉味，用手摸时滑爽、干燥；米粒形均匀、整齐、重量大，没有碎米和爆腰米；没有腹白的米。</w:t>
      </w:r>
    </w:p>
    <w:p w14:paraId="6D7C9A71">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bookmarkStart w:id="5" w:name="页_21"/>
      <w:bookmarkEnd w:id="5"/>
      <w:r>
        <w:rPr>
          <w:rFonts w:hint="eastAsia" w:ascii="宋体" w:hAnsi="宋体" w:eastAsia="宋体" w:cs="宋体"/>
          <w:color w:val="auto"/>
          <w:sz w:val="28"/>
          <w:szCs w:val="28"/>
          <w:highlight w:val="none"/>
        </w:rPr>
        <w:t>（三）定型包装类食品标准:凡是带有包装的食品,其质量卫生标准除符合国家规定的质量卫生标准外， 还应包括以下方面:包装类食品必须包装整洁、完美；包装食品其包装盒或标签上须注明食品名称、生产厂家、生产地址生产日期、保质期;包装食品的内容和重量必须和包装上标明的完全一致。</w:t>
      </w:r>
    </w:p>
    <w:p w14:paraId="603DD3B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九、冻品类标准：</w:t>
      </w:r>
      <w:bookmarkStart w:id="6" w:name="页_22"/>
      <w:bookmarkEnd w:id="6"/>
    </w:p>
    <w:p w14:paraId="3EEF03D8">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一）首次供货前提供保证函、每一年至少提供一次当年官方检验报告。符合GB2707- 2005鲜</w:t>
      </w:r>
      <w:r>
        <w:rPr>
          <w:rFonts w:hint="eastAsia" w:ascii="宋体" w:hAnsi="宋体" w:eastAsia="宋体" w:cs="宋体"/>
          <w:color w:val="auto"/>
          <w:sz w:val="28"/>
          <w:szCs w:val="28"/>
          <w:highlight w:val="none"/>
          <w:lang w:eastAsia="zh-CN"/>
        </w:rPr>
        <w:t>（冻）</w:t>
      </w:r>
      <w:r>
        <w:rPr>
          <w:rFonts w:hint="eastAsia" w:ascii="宋体" w:hAnsi="宋体" w:eastAsia="宋体" w:cs="宋体"/>
          <w:color w:val="auto"/>
          <w:sz w:val="28"/>
          <w:szCs w:val="28"/>
          <w:highlight w:val="none"/>
        </w:rPr>
        <w:t>畜肉卫生标准及GB</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16869-2005鲜、冻禽产品卫生标准。查验合格供应商名录,来源于合格供应商。</w:t>
      </w:r>
    </w:p>
    <w:p w14:paraId="72734770">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按照冻品的共同特征，凡是冻肉类产品必须包装完整并有生产厂址和生产日期;冻肉类产品中冻肉和冻助排必须有产品卫生检疫标准;、冻肉类产品质量必须合乎验收标准(如新鲜度等);冻肉类产品中间不能有过多冰块、冻肉类产品重量必须和包装箱上标明的重量一致。</w:t>
      </w:r>
    </w:p>
    <w:p w14:paraId="4B8888F3">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十、食用油脂种类及其鉴别标准：</w:t>
      </w:r>
    </w:p>
    <w:p w14:paraId="4FFAB675">
      <w:pPr>
        <w:keepNext w:val="0"/>
        <w:keepLines w:val="0"/>
        <w:pageBreakBefore w:val="0"/>
        <w:kinsoku/>
        <w:overflowPunct/>
        <w:topLinePunct w:val="0"/>
        <w:bidi w:val="0"/>
        <w:adjustRightInd/>
        <w:spacing w:line="360" w:lineRule="auto"/>
        <w:ind w:right="0" w:right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首次供货前提供保证函、每一年至少提供一次当年官方检验报告。符合GB 2716-20</w:t>
      </w:r>
      <w:r>
        <w:rPr>
          <w:rFonts w:hint="eastAsia" w:ascii="宋体" w:hAnsi="宋体" w:eastAsia="宋体" w:cs="宋体"/>
          <w:color w:val="auto"/>
          <w:sz w:val="28"/>
          <w:szCs w:val="28"/>
          <w:highlight w:val="none"/>
          <w:lang w:val="en-US" w:eastAsia="zh-CN"/>
        </w:rPr>
        <w:t>18</w:t>
      </w:r>
      <w:r>
        <w:rPr>
          <w:rFonts w:hint="eastAsia" w:ascii="宋体" w:hAnsi="宋体" w:eastAsia="宋体" w:cs="宋体"/>
          <w:color w:val="auto"/>
          <w:sz w:val="28"/>
          <w:szCs w:val="28"/>
          <w:highlight w:val="none"/>
        </w:rPr>
        <w:t>食用植物油卫生标准，及GB</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10146-20</w:t>
      </w:r>
      <w:r>
        <w:rPr>
          <w:rFonts w:hint="eastAsia" w:ascii="宋体" w:hAnsi="宋体" w:eastAsia="宋体" w:cs="宋体"/>
          <w:color w:val="auto"/>
          <w:sz w:val="28"/>
          <w:szCs w:val="28"/>
          <w:highlight w:val="none"/>
          <w:lang w:val="en-US" w:eastAsia="zh-CN"/>
        </w:rPr>
        <w:t>15</w:t>
      </w:r>
      <w:r>
        <w:rPr>
          <w:rFonts w:hint="eastAsia" w:ascii="宋体" w:hAnsi="宋体" w:eastAsia="宋体" w:cs="宋体"/>
          <w:color w:val="auto"/>
          <w:sz w:val="28"/>
          <w:szCs w:val="28"/>
          <w:highlight w:val="none"/>
        </w:rPr>
        <w:t>食用动物油脂卫生标准。查验合格供应商名录，来源于合格供应商。</w:t>
      </w:r>
    </w:p>
    <w:p w14:paraId="40376E5C">
      <w:pPr>
        <w:rPr>
          <w:rFonts w:hint="eastAsia" w:ascii="宋体" w:hAnsi="宋体" w:eastAsia="宋体" w:cs="宋体"/>
          <w:sz w:val="28"/>
          <w:szCs w:val="28"/>
        </w:rPr>
      </w:pPr>
      <w:r>
        <w:rPr>
          <w:rFonts w:hint="eastAsia" w:ascii="宋体" w:hAnsi="宋体" w:eastAsia="宋体" w:cs="宋体"/>
          <w:color w:val="auto"/>
          <w:sz w:val="28"/>
          <w:szCs w:val="28"/>
          <w:highlight w:val="none"/>
        </w:rPr>
        <w:t>十一、其他未明确的原材料采购标准，按采购人要求标准采购。</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8D7A0C"/>
    <w:rsid w:val="6D636936"/>
    <w:rsid w:val="7D8D7A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ind w:firstLine="630"/>
    </w:pPr>
    <w:rPr>
      <w:sz w:val="32"/>
      <w:szCs w:val="20"/>
    </w:rPr>
  </w:style>
  <w:style w:type="paragraph" w:styleId="3">
    <w:name w:val="footer"/>
    <w:basedOn w:val="1"/>
    <w:unhideWhenUsed/>
    <w:qFormat/>
    <w:uiPriority w:val="99"/>
    <w:pPr>
      <w:tabs>
        <w:tab w:val="center" w:pos="4153"/>
        <w:tab w:val="right" w:pos="8306"/>
      </w:tabs>
      <w:snapToGrid w:val="0"/>
      <w:spacing w:line="240" w:lineRule="atLeast"/>
    </w:pPr>
    <w:rPr>
      <w:sz w:val="18"/>
      <w:szCs w:val="18"/>
    </w:rPr>
  </w:style>
  <w:style w:type="paragraph" w:styleId="4">
    <w:name w:val="Body Text First Indent 2"/>
    <w:basedOn w:val="2"/>
    <w:unhideWhenUsed/>
    <w:qFormat/>
    <w:uiPriority w:val="99"/>
    <w:pPr>
      <w:ind w:firstLine="420" w:firstLineChars="200"/>
    </w:pPr>
  </w:style>
  <w:style w:type="paragraph" w:customStyle="1" w:styleId="7">
    <w:name w:val="※正文"/>
    <w:basedOn w:val="1"/>
    <w:next w:val="1"/>
    <w:autoRedefine/>
    <w:qFormat/>
    <w:uiPriority w:val="0"/>
    <w:pPr>
      <w:wordWrap w:val="0"/>
      <w:spacing w:line="400" w:lineRule="exact"/>
    </w:pPr>
    <w:rPr>
      <w:rFonts w:ascii="Calibri Light" w:hAnsi="Calibri Light" w:eastAsia="华文仿宋"/>
      <w:sz w:val="28"/>
      <w:szCs w:val="28"/>
    </w:rPr>
  </w:style>
  <w:style w:type="table" w:customStyle="1" w:styleId="8">
    <w:name w:val="网格型4"/>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15255</Words>
  <Characters>16171</Characters>
  <Lines>0</Lines>
  <Paragraphs>0</Paragraphs>
  <TotalTime>0</TotalTime>
  <ScaleCrop>false</ScaleCrop>
  <LinksUpToDate>false</LinksUpToDate>
  <CharactersWithSpaces>16242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2026-06-09T10:57:00Z</dcterms:created>
  <dc:creator>Patton</dc:creator>
  <cp:lastModifiedBy>Patton</cp:lastModifiedBy>
  <dcterms:modified xsi:type="dcterms:W3CDTF">2026-06-09T10:58:47Z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0A9DF4E3767F4E7A90853A1F34EB744C_11</vt:lpwstr>
  </property>
  <property fmtid="{D5CDD505-2E9C-101B-9397-08002B2CF9AE}" pid="4" name="KSOTemplateDocerSaveRecord">
    <vt:lpwstr>eyJoZGlkIjoiNjllMjU4NjNjOWJiNDI1NjZkZDc5NDJiOTVmODQzZmQiLCJ1c2VySWQiOiIxMDYzMTcxMDUxIn0=</vt:lpwstr>
  </property>
</Properties>
</file>