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6"/>
        <w:gridCol w:w="1119"/>
        <w:gridCol w:w="6262"/>
      </w:tblGrid>
      <w:tr w14:paraId="25EDD9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6" w:type="dxa"/>
          </w:tcPr>
          <w:p w14:paraId="067CB75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19" w:type="dxa"/>
          </w:tcPr>
          <w:p w14:paraId="62CEDA2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262" w:type="dxa"/>
          </w:tcPr>
          <w:p w14:paraId="1323DE2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A9053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6" w:type="dxa"/>
          </w:tcPr>
          <w:p w14:paraId="614162F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19" w:type="dxa"/>
          </w:tcPr>
          <w:p w14:paraId="2F85625D"/>
        </w:tc>
        <w:tc>
          <w:tcPr>
            <w:tcW w:w="6262" w:type="dxa"/>
          </w:tcPr>
          <w:p w14:paraId="5AAF00F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详见工程量清单</w:t>
            </w:r>
          </w:p>
        </w:tc>
      </w:tr>
      <w:tr w14:paraId="0CE089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6" w:type="dxa"/>
          </w:tcPr>
          <w:p w14:paraId="095B5F9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119" w:type="dxa"/>
          </w:tcPr>
          <w:p w14:paraId="47C5CBA5"/>
        </w:tc>
        <w:tc>
          <w:tcPr>
            <w:tcW w:w="6262" w:type="dxa"/>
          </w:tcPr>
          <w:p w14:paraId="395E0388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</w:rPr>
              <w:t>工程量清单编制依据：</w:t>
            </w:r>
          </w:p>
          <w:p w14:paraId="040BA71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1.依据《关于印发2025陕西省建设工程费用规则等计价依据的通知》（陕建管发〔2025〕10号）、《建设工程工程量清单计价标准》（2025）；</w:t>
            </w:r>
          </w:p>
          <w:p w14:paraId="1147300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2.《房屋建筑与装饰工程工程量计算标准》（2025）、《通用安装工程工程量计算标准》（2025）、《市政工程工程量计算标准》（2025）、《园林绿化工程工程量计算标准》（2025）；</w:t>
            </w:r>
          </w:p>
          <w:p w14:paraId="594C05A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3.《陕西省建设工程费用规则》（2025）；</w:t>
            </w:r>
          </w:p>
          <w:p w14:paraId="236C342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4.《陕西省房屋建筑与装饰工程消耗量定额（2025）》、《陕西省通用安装工程消耗量定额（2025）》、《陕西省市政工程消耗量定额（2025）》、《陕西省园林绿化工程消耗量定额（2025）》及其配套的基价表（2025）、其他有关的计价依据和办法；</w:t>
            </w:r>
          </w:p>
          <w:p w14:paraId="21B557BB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5.与招标工程相关的技术标准规范；</w:t>
            </w:r>
          </w:p>
          <w:p w14:paraId="1DE91E5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6.《新城区后宰门小学教育集团咸宁小学变压器改造项目》的设计图纸；</w:t>
            </w:r>
          </w:p>
          <w:p w14:paraId="25B4F39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7.计价软件采用广联达云计价平台GCCP 7.0 版本：7.5000.23.3</w:t>
            </w:r>
          </w:p>
        </w:tc>
      </w:tr>
      <w:tr w14:paraId="74DF9D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6" w:type="dxa"/>
          </w:tcPr>
          <w:p w14:paraId="54A01D3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119" w:type="dxa"/>
          </w:tcPr>
          <w:p w14:paraId="7B31C00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262" w:type="dxa"/>
          </w:tcPr>
          <w:p w14:paraId="4FDB11D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其他要求：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1、交货和提供服务的时间、地点等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（1）完工期：合同签订后至2026年7月10日前完成全部项目内容； 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（2）交付地点：西安市新城区后宰门小学教育集团咸宁小学指定地点；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（3）质保期：验收合格后不少于2年，自项目竣工验收合格之日起计算。质保期内，因设备质量原因或施工安装原因引起的任何故障或损坏，成交供应商应无条件免费维修或更换，并承担由此产生的一切费用。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（4）工程质量标准：符合国家及行业现行技术规范标准，符合国家及行业验收合格标准；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2、结算方式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（1）结算单位：由采购人负责结算，在付款前，必须开具等额发票给采购人；材料价格以甲方的认质认价计入。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（2）付款方式：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①合同签订后30日内，支付合同金额的40%；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②箱式变压器及发电机进场后30日内，支付合同金额的40%；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③工程完工并经审计完成、供电局验收合格且正式送电后30日内，支付审定金额的剩余款项。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注：发包人按照财政审批进度及资金下达情况支付工程款。发包人因财政审批、拨款流程导致支付延迟的，不构成违约，无需承担逾期付款的利息及违约责任。承包人不得以此为由停工或延误工期。财政资金到位后，发包人优先支付本项目款项。</w:t>
            </w:r>
          </w:p>
        </w:tc>
      </w:tr>
    </w:tbl>
    <w:p w14:paraId="3A986F5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9C4D6C"/>
    <w:rsid w:val="199C4D6C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2026-06-03T10:29:00Z</dcterms:created>
  <dc:creator>123</dc:creator>
  <cp:lastModifiedBy>123</cp:lastModifiedBy>
  <dcterms:modified xsi:type="dcterms:W3CDTF">2026-06-03T10:30:17Z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905F745A05BC4B5796DC85A8317EC495_11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