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2FC82">
      <w:pPr>
        <w:jc w:val="center"/>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购</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lang w:eastAsia="zh-CN"/>
        </w:rPr>
        <w:t>置</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lang w:eastAsia="zh-CN"/>
        </w:rPr>
        <w:t>合</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lang w:eastAsia="zh-CN"/>
        </w:rPr>
        <w:t>同</w:t>
      </w:r>
    </w:p>
    <w:p w14:paraId="599FDCB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陕西职业技术学院（甲方）与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乙方）就甲方购置的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设备，经双方协商达成如下合同条款：</w:t>
      </w:r>
    </w:p>
    <w:p w14:paraId="57513120">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1.合同内容</w:t>
      </w:r>
    </w:p>
    <w:p w14:paraId="07522FF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在甲方组织的关于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295F83">
      <w:pPr>
        <w:spacing w:line="3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设备购置清单（币种：人民币）</w:t>
      </w:r>
    </w:p>
    <w:tbl>
      <w:tblPr>
        <w:tblStyle w:val="2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561E4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1009959C">
            <w:pPr>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序号</w:t>
            </w:r>
          </w:p>
        </w:tc>
        <w:tc>
          <w:tcPr>
            <w:tcW w:w="1458" w:type="dxa"/>
            <w:vAlign w:val="center"/>
          </w:tcPr>
          <w:p w14:paraId="7E210505">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设备名称</w:t>
            </w:r>
          </w:p>
        </w:tc>
        <w:tc>
          <w:tcPr>
            <w:tcW w:w="1776" w:type="dxa"/>
            <w:vAlign w:val="center"/>
          </w:tcPr>
          <w:p w14:paraId="7330B88C">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品牌、规格、型号</w:t>
            </w:r>
          </w:p>
        </w:tc>
        <w:tc>
          <w:tcPr>
            <w:tcW w:w="925" w:type="dxa"/>
            <w:vAlign w:val="center"/>
          </w:tcPr>
          <w:p w14:paraId="53549C02">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数量</w:t>
            </w:r>
          </w:p>
          <w:p w14:paraId="2047934A">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(台、套)</w:t>
            </w:r>
          </w:p>
        </w:tc>
        <w:tc>
          <w:tcPr>
            <w:tcW w:w="1130" w:type="dxa"/>
            <w:vAlign w:val="center"/>
          </w:tcPr>
          <w:p w14:paraId="5731B001">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单价</w:t>
            </w:r>
          </w:p>
          <w:p w14:paraId="51736034">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(万元)</w:t>
            </w:r>
          </w:p>
        </w:tc>
        <w:tc>
          <w:tcPr>
            <w:tcW w:w="1090" w:type="dxa"/>
            <w:vAlign w:val="center"/>
          </w:tcPr>
          <w:p w14:paraId="1FE2AB7B">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合计</w:t>
            </w:r>
          </w:p>
          <w:p w14:paraId="180CBD65">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(万元)</w:t>
            </w:r>
          </w:p>
        </w:tc>
        <w:tc>
          <w:tcPr>
            <w:tcW w:w="1420" w:type="dxa"/>
            <w:vAlign w:val="center"/>
          </w:tcPr>
          <w:p w14:paraId="2D57E16E">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生产商</w:t>
            </w:r>
          </w:p>
        </w:tc>
        <w:tc>
          <w:tcPr>
            <w:tcW w:w="617" w:type="dxa"/>
            <w:vAlign w:val="center"/>
          </w:tcPr>
          <w:p w14:paraId="3320FC21">
            <w:pPr>
              <w:jc w:val="center"/>
              <w:rPr>
                <w:rFonts w:hint="eastAsia" w:ascii="宋体" w:hAnsi="宋体" w:eastAsia="宋体" w:cs="宋体"/>
                <w:b/>
                <w:bCs/>
                <w:color w:val="auto"/>
                <w:spacing w:val="-20"/>
                <w:sz w:val="22"/>
                <w:szCs w:val="22"/>
                <w:highlight w:val="none"/>
              </w:rPr>
            </w:pPr>
            <w:r>
              <w:rPr>
                <w:rFonts w:hint="eastAsia" w:ascii="宋体" w:hAnsi="宋体" w:eastAsia="宋体" w:cs="宋体"/>
                <w:b/>
                <w:bCs/>
                <w:color w:val="auto"/>
                <w:spacing w:val="-20"/>
                <w:sz w:val="22"/>
                <w:szCs w:val="22"/>
                <w:highlight w:val="none"/>
              </w:rPr>
              <w:t>备注</w:t>
            </w:r>
          </w:p>
        </w:tc>
      </w:tr>
      <w:tr w14:paraId="4D6BB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53BF03F0">
            <w:pPr>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1458" w:type="dxa"/>
            <w:vAlign w:val="center"/>
          </w:tcPr>
          <w:p w14:paraId="0B703CDD">
            <w:pPr>
              <w:jc w:val="center"/>
              <w:rPr>
                <w:rFonts w:hint="eastAsia" w:ascii="宋体" w:hAnsi="宋体" w:eastAsia="宋体" w:cs="宋体"/>
                <w:color w:val="auto"/>
                <w:sz w:val="22"/>
                <w:szCs w:val="22"/>
                <w:highlight w:val="none"/>
              </w:rPr>
            </w:pPr>
          </w:p>
        </w:tc>
        <w:tc>
          <w:tcPr>
            <w:tcW w:w="1776" w:type="dxa"/>
            <w:vAlign w:val="center"/>
          </w:tcPr>
          <w:p w14:paraId="2B62CB95">
            <w:pPr>
              <w:jc w:val="center"/>
              <w:rPr>
                <w:rFonts w:hint="eastAsia" w:ascii="宋体" w:hAnsi="宋体" w:eastAsia="宋体" w:cs="宋体"/>
                <w:color w:val="auto"/>
                <w:sz w:val="22"/>
                <w:szCs w:val="22"/>
                <w:highlight w:val="none"/>
              </w:rPr>
            </w:pPr>
          </w:p>
        </w:tc>
        <w:tc>
          <w:tcPr>
            <w:tcW w:w="925" w:type="dxa"/>
            <w:vAlign w:val="center"/>
          </w:tcPr>
          <w:p w14:paraId="4B97BB4D">
            <w:pPr>
              <w:jc w:val="center"/>
              <w:rPr>
                <w:rFonts w:hint="eastAsia" w:ascii="宋体" w:hAnsi="宋体" w:eastAsia="宋体" w:cs="宋体"/>
                <w:color w:val="auto"/>
                <w:sz w:val="22"/>
                <w:szCs w:val="22"/>
                <w:highlight w:val="none"/>
              </w:rPr>
            </w:pPr>
          </w:p>
        </w:tc>
        <w:tc>
          <w:tcPr>
            <w:tcW w:w="1130" w:type="dxa"/>
            <w:vAlign w:val="center"/>
          </w:tcPr>
          <w:p w14:paraId="307284BC">
            <w:pPr>
              <w:jc w:val="center"/>
              <w:rPr>
                <w:rFonts w:hint="eastAsia" w:ascii="宋体" w:hAnsi="宋体" w:eastAsia="宋体" w:cs="宋体"/>
                <w:color w:val="auto"/>
                <w:sz w:val="22"/>
                <w:szCs w:val="22"/>
                <w:highlight w:val="none"/>
              </w:rPr>
            </w:pPr>
          </w:p>
        </w:tc>
        <w:tc>
          <w:tcPr>
            <w:tcW w:w="1090" w:type="dxa"/>
            <w:vAlign w:val="center"/>
          </w:tcPr>
          <w:p w14:paraId="717796C4">
            <w:pPr>
              <w:jc w:val="center"/>
              <w:rPr>
                <w:rFonts w:hint="eastAsia" w:ascii="宋体" w:hAnsi="宋体" w:eastAsia="宋体" w:cs="宋体"/>
                <w:color w:val="auto"/>
                <w:sz w:val="22"/>
                <w:szCs w:val="22"/>
                <w:highlight w:val="none"/>
              </w:rPr>
            </w:pPr>
          </w:p>
        </w:tc>
        <w:tc>
          <w:tcPr>
            <w:tcW w:w="1420" w:type="dxa"/>
            <w:vAlign w:val="center"/>
          </w:tcPr>
          <w:p w14:paraId="0D79C6E8">
            <w:pPr>
              <w:jc w:val="center"/>
              <w:rPr>
                <w:rFonts w:hint="eastAsia" w:ascii="宋体" w:hAnsi="宋体" w:eastAsia="宋体" w:cs="宋体"/>
                <w:color w:val="auto"/>
                <w:sz w:val="22"/>
                <w:szCs w:val="22"/>
                <w:highlight w:val="none"/>
              </w:rPr>
            </w:pPr>
          </w:p>
        </w:tc>
        <w:tc>
          <w:tcPr>
            <w:tcW w:w="617" w:type="dxa"/>
            <w:vAlign w:val="center"/>
          </w:tcPr>
          <w:p w14:paraId="3CA2C097">
            <w:pPr>
              <w:jc w:val="center"/>
              <w:rPr>
                <w:rFonts w:hint="eastAsia" w:ascii="宋体" w:hAnsi="宋体" w:eastAsia="宋体" w:cs="宋体"/>
                <w:color w:val="auto"/>
                <w:sz w:val="22"/>
                <w:szCs w:val="22"/>
                <w:highlight w:val="none"/>
              </w:rPr>
            </w:pPr>
          </w:p>
        </w:tc>
      </w:tr>
      <w:tr w14:paraId="73E5D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56702B1C">
            <w:pPr>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2</w:t>
            </w:r>
          </w:p>
        </w:tc>
        <w:tc>
          <w:tcPr>
            <w:tcW w:w="1458" w:type="dxa"/>
            <w:vAlign w:val="center"/>
          </w:tcPr>
          <w:p w14:paraId="67F61779">
            <w:pPr>
              <w:jc w:val="center"/>
              <w:rPr>
                <w:rFonts w:hint="eastAsia" w:ascii="宋体" w:hAnsi="宋体" w:eastAsia="宋体" w:cs="宋体"/>
                <w:color w:val="auto"/>
                <w:sz w:val="22"/>
                <w:szCs w:val="22"/>
                <w:highlight w:val="none"/>
              </w:rPr>
            </w:pPr>
          </w:p>
        </w:tc>
        <w:tc>
          <w:tcPr>
            <w:tcW w:w="1776" w:type="dxa"/>
            <w:vAlign w:val="center"/>
          </w:tcPr>
          <w:p w14:paraId="6CCDF061">
            <w:pPr>
              <w:jc w:val="center"/>
              <w:rPr>
                <w:rFonts w:hint="eastAsia" w:ascii="宋体" w:hAnsi="宋体" w:eastAsia="宋体" w:cs="宋体"/>
                <w:color w:val="auto"/>
                <w:sz w:val="22"/>
                <w:szCs w:val="22"/>
                <w:highlight w:val="none"/>
              </w:rPr>
            </w:pPr>
          </w:p>
        </w:tc>
        <w:tc>
          <w:tcPr>
            <w:tcW w:w="925" w:type="dxa"/>
            <w:vAlign w:val="center"/>
          </w:tcPr>
          <w:p w14:paraId="2E638669">
            <w:pPr>
              <w:jc w:val="center"/>
              <w:rPr>
                <w:rFonts w:hint="eastAsia" w:ascii="宋体" w:hAnsi="宋体" w:eastAsia="宋体" w:cs="宋体"/>
                <w:color w:val="auto"/>
                <w:sz w:val="22"/>
                <w:szCs w:val="22"/>
                <w:highlight w:val="none"/>
              </w:rPr>
            </w:pPr>
          </w:p>
        </w:tc>
        <w:tc>
          <w:tcPr>
            <w:tcW w:w="1130" w:type="dxa"/>
            <w:vAlign w:val="center"/>
          </w:tcPr>
          <w:p w14:paraId="5A036CF2">
            <w:pPr>
              <w:jc w:val="center"/>
              <w:rPr>
                <w:rFonts w:hint="eastAsia" w:ascii="宋体" w:hAnsi="宋体" w:eastAsia="宋体" w:cs="宋体"/>
                <w:color w:val="auto"/>
                <w:sz w:val="22"/>
                <w:szCs w:val="22"/>
                <w:highlight w:val="none"/>
              </w:rPr>
            </w:pPr>
          </w:p>
        </w:tc>
        <w:tc>
          <w:tcPr>
            <w:tcW w:w="1090" w:type="dxa"/>
            <w:vAlign w:val="center"/>
          </w:tcPr>
          <w:p w14:paraId="5F8041FC">
            <w:pPr>
              <w:jc w:val="center"/>
              <w:rPr>
                <w:rFonts w:hint="eastAsia" w:ascii="宋体" w:hAnsi="宋体" w:eastAsia="宋体" w:cs="宋体"/>
                <w:color w:val="auto"/>
                <w:sz w:val="22"/>
                <w:szCs w:val="22"/>
                <w:highlight w:val="none"/>
              </w:rPr>
            </w:pPr>
          </w:p>
        </w:tc>
        <w:tc>
          <w:tcPr>
            <w:tcW w:w="1420" w:type="dxa"/>
            <w:vAlign w:val="center"/>
          </w:tcPr>
          <w:p w14:paraId="2094165F">
            <w:pPr>
              <w:jc w:val="center"/>
              <w:rPr>
                <w:rFonts w:hint="eastAsia" w:ascii="宋体" w:hAnsi="宋体" w:eastAsia="宋体" w:cs="宋体"/>
                <w:color w:val="auto"/>
                <w:sz w:val="22"/>
                <w:szCs w:val="22"/>
                <w:highlight w:val="none"/>
              </w:rPr>
            </w:pPr>
          </w:p>
        </w:tc>
        <w:tc>
          <w:tcPr>
            <w:tcW w:w="617" w:type="dxa"/>
            <w:vAlign w:val="center"/>
          </w:tcPr>
          <w:p w14:paraId="235BF458">
            <w:pPr>
              <w:jc w:val="center"/>
              <w:rPr>
                <w:rFonts w:hint="eastAsia" w:ascii="宋体" w:hAnsi="宋体" w:eastAsia="宋体" w:cs="宋体"/>
                <w:color w:val="auto"/>
                <w:sz w:val="22"/>
                <w:szCs w:val="22"/>
                <w:highlight w:val="none"/>
              </w:rPr>
            </w:pPr>
          </w:p>
        </w:tc>
      </w:tr>
      <w:tr w14:paraId="692AF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7BB1FF8D">
            <w:pPr>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w:t>
            </w:r>
          </w:p>
        </w:tc>
        <w:tc>
          <w:tcPr>
            <w:tcW w:w="1458" w:type="dxa"/>
            <w:vAlign w:val="center"/>
          </w:tcPr>
          <w:p w14:paraId="7A4D2BAE">
            <w:pPr>
              <w:jc w:val="center"/>
              <w:rPr>
                <w:rFonts w:hint="eastAsia" w:ascii="宋体" w:hAnsi="宋体" w:eastAsia="宋体" w:cs="宋体"/>
                <w:color w:val="auto"/>
                <w:sz w:val="22"/>
                <w:szCs w:val="22"/>
                <w:highlight w:val="none"/>
              </w:rPr>
            </w:pPr>
          </w:p>
        </w:tc>
        <w:tc>
          <w:tcPr>
            <w:tcW w:w="1776" w:type="dxa"/>
            <w:vAlign w:val="center"/>
          </w:tcPr>
          <w:p w14:paraId="083BD546">
            <w:pPr>
              <w:jc w:val="center"/>
              <w:rPr>
                <w:rFonts w:hint="eastAsia" w:ascii="宋体" w:hAnsi="宋体" w:eastAsia="宋体" w:cs="宋体"/>
                <w:color w:val="auto"/>
                <w:sz w:val="22"/>
                <w:szCs w:val="22"/>
                <w:highlight w:val="none"/>
              </w:rPr>
            </w:pPr>
          </w:p>
        </w:tc>
        <w:tc>
          <w:tcPr>
            <w:tcW w:w="925" w:type="dxa"/>
            <w:vAlign w:val="center"/>
          </w:tcPr>
          <w:p w14:paraId="2885E0E6">
            <w:pPr>
              <w:jc w:val="center"/>
              <w:rPr>
                <w:rFonts w:hint="eastAsia" w:ascii="宋体" w:hAnsi="宋体" w:eastAsia="宋体" w:cs="宋体"/>
                <w:color w:val="auto"/>
                <w:sz w:val="22"/>
                <w:szCs w:val="22"/>
                <w:highlight w:val="none"/>
              </w:rPr>
            </w:pPr>
          </w:p>
        </w:tc>
        <w:tc>
          <w:tcPr>
            <w:tcW w:w="1130" w:type="dxa"/>
            <w:vAlign w:val="center"/>
          </w:tcPr>
          <w:p w14:paraId="349723C8">
            <w:pPr>
              <w:jc w:val="center"/>
              <w:rPr>
                <w:rFonts w:hint="eastAsia" w:ascii="宋体" w:hAnsi="宋体" w:eastAsia="宋体" w:cs="宋体"/>
                <w:color w:val="auto"/>
                <w:sz w:val="22"/>
                <w:szCs w:val="22"/>
                <w:highlight w:val="none"/>
              </w:rPr>
            </w:pPr>
          </w:p>
        </w:tc>
        <w:tc>
          <w:tcPr>
            <w:tcW w:w="1090" w:type="dxa"/>
            <w:vAlign w:val="center"/>
          </w:tcPr>
          <w:p w14:paraId="4BB6D34F">
            <w:pPr>
              <w:jc w:val="center"/>
              <w:rPr>
                <w:rFonts w:hint="eastAsia" w:ascii="宋体" w:hAnsi="宋体" w:eastAsia="宋体" w:cs="宋体"/>
                <w:color w:val="auto"/>
                <w:sz w:val="22"/>
                <w:szCs w:val="22"/>
                <w:highlight w:val="none"/>
              </w:rPr>
            </w:pPr>
          </w:p>
        </w:tc>
        <w:tc>
          <w:tcPr>
            <w:tcW w:w="1420" w:type="dxa"/>
            <w:vAlign w:val="center"/>
          </w:tcPr>
          <w:p w14:paraId="03B3DA43">
            <w:pPr>
              <w:jc w:val="center"/>
              <w:rPr>
                <w:rFonts w:hint="eastAsia" w:ascii="宋体" w:hAnsi="宋体" w:eastAsia="宋体" w:cs="宋体"/>
                <w:color w:val="auto"/>
                <w:sz w:val="22"/>
                <w:szCs w:val="22"/>
                <w:highlight w:val="none"/>
              </w:rPr>
            </w:pPr>
          </w:p>
        </w:tc>
        <w:tc>
          <w:tcPr>
            <w:tcW w:w="617" w:type="dxa"/>
            <w:vAlign w:val="center"/>
          </w:tcPr>
          <w:p w14:paraId="1673DEF4">
            <w:pPr>
              <w:jc w:val="center"/>
              <w:rPr>
                <w:rFonts w:hint="eastAsia" w:ascii="宋体" w:hAnsi="宋体" w:eastAsia="宋体" w:cs="宋体"/>
                <w:color w:val="auto"/>
                <w:sz w:val="22"/>
                <w:szCs w:val="22"/>
                <w:highlight w:val="none"/>
              </w:rPr>
            </w:pPr>
          </w:p>
        </w:tc>
      </w:tr>
      <w:tr w14:paraId="6ED01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1ABB7A37">
            <w:pPr>
              <w:rPr>
                <w:rFonts w:hint="eastAsia" w:ascii="宋体" w:hAnsi="宋体" w:eastAsia="宋体" w:cs="宋体"/>
                <w:color w:val="auto"/>
                <w:sz w:val="22"/>
                <w:szCs w:val="22"/>
                <w:highlight w:val="none"/>
              </w:rPr>
            </w:pPr>
          </w:p>
          <w:p w14:paraId="7139DFB1">
            <w:pP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合计(元)</w:t>
            </w:r>
          </w:p>
        </w:tc>
        <w:tc>
          <w:tcPr>
            <w:tcW w:w="5182" w:type="dxa"/>
            <w:gridSpan w:val="5"/>
            <w:vAlign w:val="center"/>
          </w:tcPr>
          <w:p w14:paraId="47FB7886">
            <w:pPr>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大写：</w:t>
            </w:r>
          </w:p>
        </w:tc>
      </w:tr>
      <w:tr w14:paraId="7F740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4F9F1767">
            <w:pPr>
              <w:rPr>
                <w:rFonts w:hint="eastAsia" w:ascii="宋体" w:hAnsi="宋体" w:eastAsia="宋体" w:cs="宋体"/>
                <w:color w:val="auto"/>
                <w:sz w:val="22"/>
                <w:szCs w:val="22"/>
                <w:highlight w:val="none"/>
              </w:rPr>
            </w:pPr>
          </w:p>
        </w:tc>
        <w:tc>
          <w:tcPr>
            <w:tcW w:w="5182" w:type="dxa"/>
            <w:gridSpan w:val="5"/>
            <w:vAlign w:val="center"/>
          </w:tcPr>
          <w:p w14:paraId="23A4AF26">
            <w:pPr>
              <w:jc w:val="both"/>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小写：</w:t>
            </w:r>
            <w:r>
              <w:rPr>
                <w:rFonts w:hint="eastAsia" w:ascii="宋体" w:hAnsi="宋体" w:eastAsia="宋体" w:cs="宋体"/>
                <w:color w:val="auto"/>
                <w:sz w:val="22"/>
                <w:szCs w:val="22"/>
                <w:highlight w:val="none"/>
                <w:u w:val="single"/>
                <w:lang w:eastAsia="zh-CN"/>
              </w:rPr>
              <w:t xml:space="preserve">           </w:t>
            </w:r>
            <w:r>
              <w:rPr>
                <w:rFonts w:hint="eastAsia" w:ascii="宋体" w:hAnsi="宋体" w:eastAsia="宋体" w:cs="宋体"/>
                <w:color w:val="auto"/>
                <w:sz w:val="22"/>
                <w:szCs w:val="22"/>
                <w:highlight w:val="none"/>
              </w:rPr>
              <w:t>元</w:t>
            </w:r>
          </w:p>
        </w:tc>
      </w:tr>
    </w:tbl>
    <w:p w14:paraId="0E8A668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0070C013">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其中，</w:t>
      </w:r>
      <w:r>
        <w:rPr>
          <w:rFonts w:hint="eastAsia" w:ascii="宋体" w:hAnsi="宋体" w:eastAsia="宋体" w:cs="宋体"/>
          <w:color w:val="auto"/>
          <w:sz w:val="24"/>
          <w:szCs w:val="24"/>
          <w:highlight w:val="none"/>
          <w:lang w:val="en-US" w:eastAsia="zh-CN"/>
        </w:rPr>
        <w:t>不含税金额____元，增值税税额____元，适用税率____%。</w:t>
      </w:r>
    </w:p>
    <w:p w14:paraId="71E7E9F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 合同总额为一次性包死价格，不受市场价格的变化和影响，在合同不发生变更时作为付款结算的依据。</w:t>
      </w:r>
    </w:p>
    <w:p w14:paraId="35884A5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 设备的技术参数要求</w:t>
      </w:r>
    </w:p>
    <w:p w14:paraId="7F9D325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3480D3AE">
      <w:pPr>
        <w:spacing w:line="380" w:lineRule="exact"/>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 xml:space="preserve">1.4.2 </w:t>
      </w:r>
      <w:r>
        <w:rPr>
          <w:rFonts w:hint="eastAsia" w:ascii="宋体" w:hAnsi="宋体" w:eastAsia="宋体" w:cs="宋体"/>
          <w:b w:val="0"/>
          <w:bCs w:val="0"/>
          <w:color w:val="auto"/>
          <w:sz w:val="24"/>
          <w:szCs w:val="24"/>
          <w:highlight w:val="none"/>
          <w:lang w:val="en-US" w:eastAsia="zh-CN"/>
        </w:rPr>
        <w:t>所有设备和参数要与招标文件、投标文件保持一致，若关键参数不一致，以其中最优最高标准为执行标准。</w:t>
      </w:r>
    </w:p>
    <w:p w14:paraId="78B42B8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xml:space="preserve"> 乙方应向甲方提供有关标准的中文文本。</w:t>
      </w:r>
    </w:p>
    <w:p w14:paraId="662E3DEA">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xml:space="preserve"> 除非技术规范中另有规定，计量单位均采用中华人民共和国法定计量单位。</w:t>
      </w:r>
    </w:p>
    <w:p w14:paraId="6C9B214C">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2.包装运输要求</w:t>
      </w:r>
    </w:p>
    <w:p w14:paraId="233BC2E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C50A106">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3.交货时间及交货地点</w:t>
      </w:r>
    </w:p>
    <w:p w14:paraId="13ABC265">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321EFDF4">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 合同签订后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701DCBD3">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4.产品质量保证</w:t>
      </w:r>
    </w:p>
    <w:p w14:paraId="2149521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 乙方提供的设备及配套产品，必须是合同规定厂家制造的合格、全新、未曾使用的产品，产品内部无损坏，外表无磨损，内部包装无破损。</w:t>
      </w:r>
    </w:p>
    <w:p w14:paraId="37570C2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 乙方提供的设备及配套产品必须等同于或优于合同技术指标要求，并能按国家标准供应、检测、调试，确保产品技术指标满足合同约定及使用要求。</w:t>
      </w:r>
    </w:p>
    <w:p w14:paraId="3098B41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6921C54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0B6F67C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14E1E949">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 产品质量保证期为甲方硬件设备最终验收合格后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年，软件系统最终验收合格后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3AF7FE8B">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5.技术服务承诺</w:t>
      </w:r>
    </w:p>
    <w:p w14:paraId="29E9E01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 乙方应严格按照供货时间，及时给甲方供货。</w:t>
      </w:r>
    </w:p>
    <w:p w14:paraId="4F97107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 乙方负责提供设备相应的技术资料，包括产品合格证、产品保修单、安装使用及维护说明书以及运输装箱清单等，并对所有技术材料的真实性、准确性、先进性、完整性负责。</w:t>
      </w:r>
    </w:p>
    <w:p w14:paraId="3A6DCD5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 人员培训：乙方免费为甲方培训设备使用人员，培训内容包括设备操作、维护、简单维修等（培训内容与标准、培训安排等要求详见附件）。</w:t>
      </w:r>
    </w:p>
    <w:p w14:paraId="18C34CA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 售后服务：质保期内，乙方对甲方提出的服务响应不得超过</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小时，并在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小时内</w:t>
      </w:r>
      <w:r>
        <w:rPr>
          <w:rFonts w:hint="eastAsia" w:ascii="宋体" w:hAnsi="宋体" w:eastAsia="宋体" w:cs="宋体"/>
          <w:color w:val="auto"/>
          <w:sz w:val="24"/>
          <w:szCs w:val="24"/>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。质保期内乙方应每季度上门巡检不少于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47E7A79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 具体服务详见乙方投标文件中乙方的承诺书。</w:t>
      </w:r>
    </w:p>
    <w:p w14:paraId="4001519F">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6.验收方法及标准</w:t>
      </w:r>
    </w:p>
    <w:p w14:paraId="0E65491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 开箱验收</w:t>
      </w:r>
    </w:p>
    <w:p w14:paraId="3D762A7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6.1.1 产品运抵现场后，双方应及时开箱验收，并制作验收记录，以确认与本合同约定的数量、型号等是否一致。</w:t>
      </w:r>
    </w:p>
    <w:p w14:paraId="58CE7D1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377653F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F583C3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6.1.4 开箱验收中如发现产品的数量、规格与合同约定不符，甲方有权拒收产品，乙方应及时按甲方要求免费对拒收产品采取更换或其他必要的补救措施，直至开箱验收合格，方视为乙方完成交货。</w:t>
      </w:r>
    </w:p>
    <w:p w14:paraId="24A31AE8">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 检验验收</w:t>
      </w:r>
    </w:p>
    <w:p w14:paraId="30B5AA6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6.2.1 交货完成后，乙方应及时组装、调试、试运行，按照合同条款规定的试运行完成后，双方及时组织对产品进行检验验收。合同双方均须派人参加合同要求双方参加的试验、检验。</w:t>
      </w:r>
    </w:p>
    <w:p w14:paraId="1C1A3BE8">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6.2.2 在具体实施合同规定的检验验收之前，乙方需提前提交相应的测试计划(包括测试程序、测试内容和检验标准、试验时间安排等)供甲方确认。注：本条甲乙双方协商。</w:t>
      </w:r>
    </w:p>
    <w:p w14:paraId="54C035A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6.2.3 除需甲方确认的试验验收外，乙方还应对所有检验验收测试的结果、步骤、原始数据等做妥善记录。如甲方要求，乙方应提供这些记录给甲方。</w:t>
      </w:r>
    </w:p>
    <w:p w14:paraId="1499541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6.2.4 检验测试出现全部或部分未达到本合同所约定的技术指标，甲方有权选择下列任一处理方式：</w:t>
      </w:r>
    </w:p>
    <w:p w14:paraId="12790185">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a.重新测试直至合格为止；</w:t>
      </w:r>
    </w:p>
    <w:p w14:paraId="4EC08604">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b.要求乙方对货物进行免费更换，然后重新测试直至合格为止；无论选择何种方式，甲方因此而发生的、因乙方原因引起的所有费用均由乙方负担，并承担造成延迟交付的违约责任。</w:t>
      </w:r>
    </w:p>
    <w:p w14:paraId="178A20C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 使用过程检验</w:t>
      </w:r>
    </w:p>
    <w:p w14:paraId="5B4BDB1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70D63F8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6.3.2 如果合同双方对乙方提供的上述试验结果报告的解释有分歧，双方须于出现分歧后</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天内给对方声明，以陈述己方的观点。声明须附有关证据。分歧应通过协商解决。</w:t>
      </w:r>
    </w:p>
    <w:p w14:paraId="48C149EC">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 所有验收合格，但不能免除乙方应该承担的质保责任。</w:t>
      </w:r>
    </w:p>
    <w:p w14:paraId="338E6E6B">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7.合同款项支付方式</w:t>
      </w:r>
    </w:p>
    <w:p w14:paraId="2E56D8F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 履约保证金</w:t>
      </w:r>
    </w:p>
    <w:p w14:paraId="54756268">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7.1.1 乙方应在收到中标(成交)通知书后、合同签订前</w:t>
      </w:r>
      <w:r>
        <w:rPr>
          <w:rFonts w:hint="eastAsia" w:ascii="宋体" w:hAnsi="宋体" w:eastAsia="宋体" w:cs="宋体"/>
          <w:color w:val="auto"/>
          <w:sz w:val="24"/>
          <w:szCs w:val="24"/>
          <w:highlight w:val="none"/>
          <w:u w:val="single"/>
          <w:lang w:eastAsia="zh-CN"/>
        </w:rPr>
        <w:t xml:space="preserve"> 5 </w:t>
      </w:r>
      <w:r>
        <w:rPr>
          <w:rFonts w:hint="eastAsia" w:ascii="宋体" w:hAnsi="宋体" w:eastAsia="宋体" w:cs="宋体"/>
          <w:color w:val="auto"/>
          <w:sz w:val="24"/>
          <w:szCs w:val="24"/>
          <w:highlight w:val="none"/>
          <w:lang w:eastAsia="zh-CN"/>
        </w:rPr>
        <w:t>个工作日内，向甲方提交合同总价</w:t>
      </w:r>
      <w:r>
        <w:rPr>
          <w:rFonts w:hint="eastAsia" w:ascii="宋体" w:hAnsi="宋体" w:eastAsia="宋体" w:cs="宋体"/>
          <w:color w:val="auto"/>
          <w:sz w:val="24"/>
          <w:szCs w:val="24"/>
          <w:highlight w:val="none"/>
          <w:u w:val="single"/>
          <w:lang w:eastAsia="zh-CN"/>
        </w:rPr>
        <w:t xml:space="preserve"> 5  </w:t>
      </w:r>
      <w:r>
        <w:rPr>
          <w:rFonts w:hint="eastAsia" w:ascii="宋体" w:hAnsi="宋体" w:eastAsia="宋体" w:cs="宋体"/>
          <w:color w:val="auto"/>
          <w:sz w:val="24"/>
          <w:szCs w:val="24"/>
          <w:highlight w:val="none"/>
          <w:lang w:eastAsia="zh-CN"/>
        </w:rPr>
        <w:t>%的履约保证金（投标人可自主选择以银行转账、支票、汇票、本票或银行保函等非现金形式缴纳履约保证金，乙方应于提交前就所选缴纳方式的具体要求与甲方财务部门确认）。</w:t>
      </w:r>
    </w:p>
    <w:p w14:paraId="651D3C0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7.1.2 设备到货并由甲方验收合格后，采购人在收到供应商书面申请，经采购人确认供应商履行了合同约定的义务，无违约情形一次性予以无息退还。</w:t>
      </w:r>
    </w:p>
    <w:p w14:paraId="6549FEA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 合同款支付</w:t>
      </w:r>
    </w:p>
    <w:p w14:paraId="56A5D54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签订合同后，设备到达指定地点、安装调试完成并验收合格后，并完成甲方所有内部付款审批程序，满足付款条件起10个工作日内支付合同总价的100%。</w:t>
      </w:r>
    </w:p>
    <w:p w14:paraId="0491B7BE">
      <w:pPr>
        <w:spacing w:line="380" w:lineRule="exact"/>
        <w:ind w:firstLine="480" w:firstLineChars="200"/>
        <w:rPr>
          <w:rFonts w:hint="eastAsia" w:ascii="宋体" w:hAnsi="宋体" w:eastAsia="宋体" w:cs="宋体"/>
          <w:strike/>
          <w:color w:val="auto"/>
          <w:sz w:val="24"/>
          <w:szCs w:val="24"/>
          <w:highlight w:val="none"/>
          <w:lang w:eastAsia="zh-CN"/>
        </w:rPr>
      </w:pPr>
      <w:r>
        <w:rPr>
          <w:rFonts w:hint="eastAsia" w:ascii="宋体" w:hAnsi="宋体" w:eastAsia="宋体" w:cs="宋体"/>
          <w:color w:val="auto"/>
          <w:sz w:val="24"/>
          <w:szCs w:val="24"/>
          <w:highlight w:val="none"/>
          <w:lang w:eastAsia="zh-CN"/>
        </w:rPr>
        <w:t>7.3 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26AA4D13">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8.安全生产和文明施工</w:t>
      </w:r>
    </w:p>
    <w:p w14:paraId="1D831BE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 现场安全文明施工由乙方编制专项详细方案并严格执行。</w:t>
      </w:r>
    </w:p>
    <w:p w14:paraId="4684B950">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0B2054F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 在设备安装施工全过程中，乙方应服从甲方的各项管理，并对乙方施工人员进行安全管理。</w:t>
      </w:r>
    </w:p>
    <w:p w14:paraId="5FE1870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8.4 确保现场建筑物及相关设施设备完好无损，如施工过程中出现损坏，乙方负责修复赔偿。</w:t>
      </w:r>
    </w:p>
    <w:p w14:paraId="4D8C2AEC">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8.5 乙方应对安装施工人员相关岗位上岗资格进行审查，并对相关后果负责。</w:t>
      </w:r>
    </w:p>
    <w:p w14:paraId="108BAA82">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9.索赔</w:t>
      </w:r>
    </w:p>
    <w:p w14:paraId="18DB453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7EA013B9">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 在验收合格前，乙方对甲方提出的索赔负有责任，乙方应按照甲方同意的下列一种或多种方式解决索赔事宜：</w:t>
      </w:r>
    </w:p>
    <w:p w14:paraId="243A320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5B29EC0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9.2.2 根据货物低劣程度、损坏程度以及甲方所遭受损失的数额，经甲乙双方商定降低货物的价格，或由有资质的中介机构评估，以降低后的价格或评估价格为准。</w:t>
      </w:r>
    </w:p>
    <w:p w14:paraId="4673294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73DCE2CE">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9.3 乙方收到甲方发出的索赔通知之日起</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个工作日内未作答复的，甲方可从合同款或履约保证金中扣回索赔金额，如金额不足以补偿索赔金额，乙方应补足差额部分。</w:t>
      </w:r>
    </w:p>
    <w:p w14:paraId="087B6D55">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10.违约责任</w:t>
      </w:r>
    </w:p>
    <w:p w14:paraId="73CDF19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 合同生效后，甲乙双方应按合同规定认真全面履约。合同履约责任只涉及合同甲乙双方，不考虑第三方因素。</w:t>
      </w:r>
    </w:p>
    <w:p w14:paraId="29E081C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2755C8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 如乙方产品质量不符合国家标准、行业内控标准或本合同技术附件要求的，甲方有权退货，乙方应退还全部货款，并承担合同总价款</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%的违约金及其他损失。</w:t>
      </w:r>
    </w:p>
    <w:p w14:paraId="41BE900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10.4 在合同规定的供货期内乙方未全部交货，除应如数补齐外，还应承担合同总款的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%违约金。</w:t>
      </w:r>
    </w:p>
    <w:p w14:paraId="71068C02">
      <w:pPr>
        <w:spacing w:line="380" w:lineRule="exact"/>
        <w:ind w:firstLine="480" w:firstLineChars="2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10.5 乙方对货物不按招标文件要求，擅自更换，除恢复原招标产品外，应承担更换部分价款</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%的违约金；乙方如对产品材质、随机配品以次充好，除全部按要求恢复外，应承担此部分价款</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%的违约金。</w:t>
      </w:r>
    </w:p>
    <w:p w14:paraId="52753486">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10.6 除不可抗力因素外，乙方没有按照合同规定的时间交货，甲方可要求乙方支付违约金，违约金每日按合同总价款的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‰计收。</w:t>
      </w:r>
    </w:p>
    <w:p w14:paraId="4880B4C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10.7 乙方</w:t>
      </w:r>
      <w:r>
        <w:rPr>
          <w:rFonts w:hint="eastAsia" w:ascii="宋体" w:hAnsi="宋体" w:eastAsia="宋体" w:cs="宋体"/>
          <w:color w:val="auto"/>
          <w:sz w:val="24"/>
          <w:szCs w:val="24"/>
          <w:highlight w:val="none"/>
          <w:lang w:eastAsia="zh-CN"/>
        </w:rPr>
        <w:t>对所供产品出现的问题推诿、拖延，</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小时未作出服务响应和提供服务，甲方可要求乙方支付违约金，违约金每日按合同总价款的</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0.5</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‰计收。否则，甲方有权拒绝乙方以后参加学校竞标。</w:t>
      </w:r>
    </w:p>
    <w:p w14:paraId="046EFE36">
      <w:pPr>
        <w:spacing w:beforeLines="50" w:afterLines="50" w:line="360" w:lineRule="exact"/>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11.合同争议的解决</w:t>
      </w:r>
    </w:p>
    <w:p w14:paraId="6176298B">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 甲乙双方由于本合同的履行而发生任何争议时，双方可先通过协商解决。</w:t>
      </w:r>
    </w:p>
    <w:p w14:paraId="05413884">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 任何一方不愿通过协商或通过协商仍不能解决争议，则双方中任何一方均应向甲方所在地人民法院起诉。</w:t>
      </w:r>
    </w:p>
    <w:p w14:paraId="65386E7F">
      <w:pPr>
        <w:spacing w:line="380" w:lineRule="exact"/>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12.违约解除合同</w:t>
      </w:r>
    </w:p>
    <w:p w14:paraId="79E72E25">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 出现下列情形之一的，视为乙方违约。甲方可向乙方发出书面通知，部分或全部终止合同，同时保留向乙方索赔及追究其违约责任的权利。</w:t>
      </w:r>
    </w:p>
    <w:p w14:paraId="3B79E06D">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12.1.1 乙方未能在合同规定的限期或甲方同意延长的限期内，提供全部或部分货物的；</w:t>
      </w:r>
    </w:p>
    <w:p w14:paraId="70A1206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12.1.2 乙方未能履行合同规定的其他主要义务的；</w:t>
      </w:r>
    </w:p>
    <w:p w14:paraId="634945F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12.1.3 乙方在本合同履行过程中有欺诈行为的。</w:t>
      </w:r>
    </w:p>
    <w:p w14:paraId="6D8F8717">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 甲方全部或部分解除合同之后，乙方应承担甲方再次购买类似货物或服务而产生的支出。部分解除合同的，乙方应继续履行合同中未解除的部分。</w:t>
      </w:r>
    </w:p>
    <w:p w14:paraId="04B51A4C">
      <w:pPr>
        <w:shd w:val="clear" w:color="auto" w:fill="auto"/>
        <w:spacing w:line="380" w:lineRule="exact"/>
        <w:ind w:firstLine="480" w:firstLineChars="200"/>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lang w:eastAsia="zh-CN"/>
        </w:rPr>
        <w:t>13.</w:t>
      </w:r>
      <w:bookmarkStart w:id="0" w:name="_Toc14186"/>
      <w:bookmarkStart w:id="1" w:name="_Toc495505745"/>
      <w:bookmarkStart w:id="2" w:name="_Toc26328"/>
      <w:bookmarkStart w:id="3" w:name="_Toc23280"/>
      <w:r>
        <w:rPr>
          <w:rFonts w:hint="eastAsia" w:ascii="宋体" w:hAnsi="宋体" w:eastAsia="宋体" w:cs="宋体"/>
          <w:b w:val="0"/>
          <w:bCs w:val="0"/>
          <w:color w:val="auto"/>
          <w:sz w:val="24"/>
          <w:szCs w:val="24"/>
          <w:highlight w:val="none"/>
          <w:lang w:eastAsia="zh-CN"/>
        </w:rPr>
        <w:t>不可抗力</w:t>
      </w:r>
      <w:bookmarkEnd w:id="0"/>
      <w:bookmarkEnd w:id="1"/>
      <w:bookmarkEnd w:id="2"/>
      <w:bookmarkEnd w:id="3"/>
    </w:p>
    <w:p w14:paraId="07090884">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13.1</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本合同项下的“不可抗力”是指不能预见，不能避免且不能克服的客观情况，使得本合同一方当事人无法履行合同义务，如战争、严重火灾、水灾、风灾和地震属于不可抗力的事故。</w:t>
      </w:r>
    </w:p>
    <w:p w14:paraId="43995145">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13.2</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6A68F8B2">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13.3</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如不可抗力事件延续120天以上的，各方通过协商达成在合理的时间内继续履行合同，或部分履行合同，或终止合同的履行。</w:t>
      </w:r>
    </w:p>
    <w:p w14:paraId="0E423432">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w:t>
      </w:r>
      <w:r>
        <w:rPr>
          <w:rFonts w:hint="eastAsia" w:ascii="宋体" w:hAnsi="宋体" w:eastAsia="宋体" w:cs="宋体"/>
          <w:color w:val="auto"/>
          <w:kern w:val="0"/>
          <w:sz w:val="24"/>
          <w:szCs w:val="24"/>
          <w:highlight w:val="none"/>
          <w:lang w:eastAsia="zh-CN"/>
        </w:rPr>
        <w:t>4</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一方迟延履行后发生不可抗力的，不能免除责任。</w:t>
      </w:r>
    </w:p>
    <w:p w14:paraId="3FCDDE88">
      <w:pPr>
        <w:spacing w:beforeLines="-2147483648" w:afterLines="-2147483648" w:line="380" w:lineRule="exact"/>
        <w:ind w:firstLine="480" w:firstLineChars="200"/>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14.其他事项</w:t>
      </w:r>
    </w:p>
    <w:p w14:paraId="53130AF3">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 合同经双方签字盖章后生效。本合同一式六份，甲方执五份，乙方执一份，执行完毕后自行失效。</w:t>
      </w:r>
    </w:p>
    <w:p w14:paraId="0A784F81">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BCF3C72">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a.合同附件（设备和软件的具体配置及技术参数，</w:t>
      </w:r>
      <w:r>
        <w:rPr>
          <w:rFonts w:hint="eastAsia" w:ascii="宋体" w:hAnsi="宋体" w:eastAsia="宋体" w:cs="宋体"/>
          <w:color w:val="auto"/>
          <w:sz w:val="24"/>
          <w:szCs w:val="24"/>
          <w:highlight w:val="none"/>
          <w:lang w:eastAsia="zh-CN"/>
        </w:rPr>
        <w:t>培训内容、标准和安排</w:t>
      </w:r>
      <w:r>
        <w:rPr>
          <w:rFonts w:hint="eastAsia" w:ascii="宋体" w:hAnsi="宋体" w:eastAsia="宋体" w:cs="宋体"/>
          <w:color w:val="auto"/>
          <w:sz w:val="24"/>
          <w:szCs w:val="24"/>
          <w:highlight w:val="none"/>
          <w:lang w:val="en-US" w:eastAsia="zh-CN"/>
        </w:rPr>
        <w:t>）；</w:t>
      </w:r>
    </w:p>
    <w:p w14:paraId="13BC299C">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b.招标文件；</w:t>
      </w:r>
    </w:p>
    <w:p w14:paraId="203297EA">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c.投标文件；</w:t>
      </w:r>
    </w:p>
    <w:p w14:paraId="6373B820">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d.进出口代理协议；</w:t>
      </w:r>
    </w:p>
    <w:p w14:paraId="08FB8E76">
      <w:pPr>
        <w:spacing w:line="3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d.中标通知书。</w:t>
      </w:r>
    </w:p>
    <w:p w14:paraId="209D4679">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33B3699C">
      <w:pPr>
        <w:shd w:val="clear" w:color="auto" w:fill="auto"/>
        <w:spacing w:line="380" w:lineRule="exact"/>
        <w:ind w:firstLine="480" w:firstLineChars="200"/>
        <w:rPr>
          <w:rFonts w:hint="eastAsia" w:ascii="宋体" w:hAnsi="宋体" w:eastAsia="宋体" w:cs="宋体"/>
          <w:color w:val="auto"/>
          <w:kern w:val="0"/>
          <w:sz w:val="24"/>
          <w:szCs w:val="24"/>
          <w:highlight w:val="none"/>
          <w:lang w:eastAsia="zh-CN"/>
        </w:rPr>
      </w:pPr>
      <w:bookmarkStart w:id="4" w:name="_Toc11939"/>
      <w:bookmarkStart w:id="5" w:name="_Toc1081"/>
      <w:bookmarkStart w:id="6" w:name="_Toc495505746"/>
      <w:bookmarkStart w:id="7" w:name="_Toc18101"/>
      <w:r>
        <w:rPr>
          <w:rFonts w:hint="eastAsia" w:ascii="宋体" w:hAnsi="宋体" w:eastAsia="宋体" w:cs="宋体"/>
          <w:b w:val="0"/>
          <w:bCs w:val="0"/>
          <w:color w:val="auto"/>
          <w:sz w:val="24"/>
          <w:szCs w:val="24"/>
          <w:highlight w:val="none"/>
          <w:lang w:eastAsia="zh-CN"/>
        </w:rPr>
        <w:t>1</w:t>
      </w:r>
      <w:r>
        <w:rPr>
          <w:rFonts w:hint="eastAsia" w:ascii="宋体" w:hAnsi="宋体" w:eastAsia="宋体" w:cs="宋体"/>
          <w:color w:val="auto"/>
          <w:sz w:val="24"/>
          <w:szCs w:val="24"/>
          <w:highlight w:val="none"/>
          <w:lang w:eastAsia="zh-CN"/>
        </w:rPr>
        <w:t>4</w:t>
      </w:r>
      <w:r>
        <w:rPr>
          <w:rFonts w:hint="eastAsia" w:ascii="宋体" w:hAnsi="宋体" w:eastAsia="宋体" w:cs="宋体"/>
          <w:b w:val="0"/>
          <w:bCs w:val="0"/>
          <w:color w:val="auto"/>
          <w:sz w:val="24"/>
          <w:szCs w:val="24"/>
          <w:highlight w:val="none"/>
          <w:lang w:eastAsia="zh-CN"/>
        </w:rPr>
        <w:t>.4</w:t>
      </w:r>
      <w:bookmarkEnd w:id="4"/>
      <w:bookmarkEnd w:id="5"/>
      <w:bookmarkEnd w:id="6"/>
      <w:bookmarkEnd w:id="7"/>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kern w:val="0"/>
          <w:sz w:val="24"/>
          <w:szCs w:val="24"/>
          <w:highlight w:val="none"/>
          <w:lang w:eastAsia="zh-CN"/>
        </w:rPr>
        <w:t>本合同未尽事宜由双方协商，另行订立补充协议，补充协议与本协议具有同样的法律效力。如果本合同之附件与本合同规定不符, 以本合同规定为准。</w:t>
      </w:r>
    </w:p>
    <w:p w14:paraId="64D1C55F">
      <w:pPr>
        <w:spacing w:line="38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7B67980E">
      <w:pPr>
        <w:spacing w:line="380" w:lineRule="exact"/>
        <w:ind w:firstLine="480" w:firstLineChars="200"/>
        <w:rPr>
          <w:rFonts w:hint="eastAsia" w:ascii="宋体" w:hAnsi="宋体" w:eastAsia="宋体" w:cs="宋体"/>
          <w:color w:val="auto"/>
          <w:sz w:val="24"/>
          <w:szCs w:val="24"/>
          <w:highlight w:val="none"/>
          <w:lang w:eastAsia="zh-CN"/>
        </w:rPr>
      </w:pPr>
    </w:p>
    <w:p w14:paraId="56BA3B5A">
      <w:pPr>
        <w:spacing w:beforeLines="50" w:afterLines="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合同签订地点：陕西职业技术学院</w:t>
      </w:r>
    </w:p>
    <w:p w14:paraId="31FA6BB5">
      <w:pPr>
        <w:spacing w:beforeLines="50" w:afterLine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合同签订时间：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tbl>
      <w:tblPr>
        <w:tblStyle w:val="20"/>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3FC35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4438C5F1">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甲方(盖章):陕西职业技术学院</w:t>
            </w:r>
          </w:p>
        </w:tc>
        <w:tc>
          <w:tcPr>
            <w:tcW w:w="4485" w:type="dxa"/>
            <w:vAlign w:val="center"/>
          </w:tcPr>
          <w:p w14:paraId="5A3D88D9">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乙方(盖章):</w:t>
            </w:r>
          </w:p>
        </w:tc>
      </w:tr>
      <w:tr w14:paraId="54920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701E6967">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地址：西安市灞桥区狄寨路2028号</w:t>
            </w:r>
          </w:p>
        </w:tc>
        <w:tc>
          <w:tcPr>
            <w:tcW w:w="4485" w:type="dxa"/>
            <w:vAlign w:val="center"/>
          </w:tcPr>
          <w:p w14:paraId="28A36A15">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66F46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5FE812A5">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tc>
        <w:tc>
          <w:tcPr>
            <w:tcW w:w="4485" w:type="dxa"/>
            <w:vAlign w:val="center"/>
          </w:tcPr>
          <w:p w14:paraId="3AE058C4">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tc>
      </w:tr>
      <w:tr w14:paraId="673E7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6252AC51">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p>
        </w:tc>
        <w:tc>
          <w:tcPr>
            <w:tcW w:w="4485" w:type="dxa"/>
            <w:vAlign w:val="center"/>
          </w:tcPr>
          <w:p w14:paraId="5770CC80">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p>
        </w:tc>
      </w:tr>
      <w:tr w14:paraId="67628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79FDFBEC">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4485" w:type="dxa"/>
            <w:vAlign w:val="center"/>
          </w:tcPr>
          <w:p w14:paraId="1E7F117E">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r>
      <w:tr w14:paraId="77E8C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170ACA07">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4485" w:type="dxa"/>
            <w:vAlign w:val="center"/>
          </w:tcPr>
          <w:p w14:paraId="1E76BE13">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r>
      <w:tr w14:paraId="6C773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605575C2">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电子邮箱：</w:t>
            </w:r>
          </w:p>
        </w:tc>
        <w:tc>
          <w:tcPr>
            <w:tcW w:w="4485" w:type="dxa"/>
            <w:vAlign w:val="center"/>
          </w:tcPr>
          <w:p w14:paraId="601EC0A9">
            <w:pPr>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电子邮箱：</w:t>
            </w:r>
          </w:p>
        </w:tc>
      </w:tr>
    </w:tbl>
    <w:p w14:paraId="11F4D991">
      <w:pPr>
        <w:pStyle w:val="19"/>
        <w:rPr>
          <w:rFonts w:hint="eastAsia" w:ascii="宋体" w:hAnsi="宋体" w:eastAsia="宋体" w:cs="宋体"/>
          <w:color w:val="auto"/>
          <w:highlight w:val="none"/>
          <w:lang w:val="en-US" w:eastAsia="zh-Hans"/>
        </w:rPr>
      </w:pPr>
    </w:p>
    <w:p w14:paraId="6DA9D183">
      <w:pPr>
        <w:pStyle w:val="19"/>
        <w:rPr>
          <w:rFonts w:hint="eastAsia" w:ascii="宋体" w:hAnsi="宋体" w:eastAsia="宋体" w:cs="宋体"/>
          <w:color w:val="auto"/>
          <w:highlight w:val="none"/>
        </w:rPr>
      </w:pPr>
    </w:p>
    <w:p w14:paraId="437D3AA9">
      <w:pPr>
        <w:rPr>
          <w:rFonts w:hint="default"/>
          <w:highlight w:val="none"/>
          <w:lang w:val="en-US" w:eastAsia="zh-CN"/>
        </w:rPr>
      </w:pPr>
      <w:bookmarkStart w:id="8" w:name="_GoBack"/>
      <w:bookmarkEnd w:id="8"/>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5A9A7">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63184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563184D">
                    <w:pPr>
                      <w:pStyle w:val="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77E99"/>
    <w:rsid w:val="0561174D"/>
    <w:rsid w:val="1985637B"/>
    <w:rsid w:val="19EE39F7"/>
    <w:rsid w:val="1A20348C"/>
    <w:rsid w:val="1D2366AB"/>
    <w:rsid w:val="21C02D6D"/>
    <w:rsid w:val="244E6A18"/>
    <w:rsid w:val="2755784B"/>
    <w:rsid w:val="29B7714B"/>
    <w:rsid w:val="2A09202A"/>
    <w:rsid w:val="2B57116C"/>
    <w:rsid w:val="2D012D2F"/>
    <w:rsid w:val="2DC047AC"/>
    <w:rsid w:val="37B21A11"/>
    <w:rsid w:val="3FA639A6"/>
    <w:rsid w:val="432B57DF"/>
    <w:rsid w:val="469B0D50"/>
    <w:rsid w:val="47E72260"/>
    <w:rsid w:val="4C334E7A"/>
    <w:rsid w:val="578318F4"/>
    <w:rsid w:val="62F04E50"/>
    <w:rsid w:val="688E376F"/>
    <w:rsid w:val="6C35284A"/>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5"/>
    <w:link w:val="15"/>
    <w:semiHidden/>
    <w:unhideWhenUsed/>
    <w:qFormat/>
    <w:uiPriority w:val="0"/>
    <w:pPr>
      <w:keepNext/>
      <w:keepLines/>
      <w:spacing w:line="360" w:lineRule="auto"/>
      <w:ind w:firstLine="0" w:firstLineChars="0"/>
      <w:jc w:val="left"/>
      <w:outlineLvl w:val="2"/>
    </w:pPr>
    <w:rPr>
      <w:rFonts w:ascii="Times New Roman" w:hAnsi="Times New Roman" w:eastAsia="仿宋" w:cs="Times New Roman"/>
      <w:b/>
      <w:bCs/>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Plain Text"/>
    <w:basedOn w:val="1"/>
    <w:qFormat/>
    <w:uiPriority w:val="99"/>
    <w:rPr>
      <w:rFonts w:ascii="宋体" w:hAnsi="Courier New"/>
      <w:szCs w:val="21"/>
    </w:rPr>
  </w:style>
  <w:style w:type="paragraph" w:styleId="8">
    <w:name w:val="Date"/>
    <w:basedOn w:val="1"/>
    <w:next w:val="1"/>
    <w:qFormat/>
    <w:uiPriority w:val="0"/>
    <w:pPr>
      <w:adjustRightInd w:val="0"/>
      <w:spacing w:line="312" w:lineRule="atLeast"/>
      <w:textAlignment w:val="baseline"/>
    </w:pPr>
    <w:rPr>
      <w:rFonts w:ascii="Times New Roman" w:hAnsi="Times New Roman" w:eastAsia="楷体_GB2312" w:cs="Times New Roman"/>
      <w:b/>
      <w:kern w:val="0"/>
      <w:szCs w:val="20"/>
    </w:rPr>
  </w:style>
  <w:style w:type="paragraph" w:styleId="9">
    <w:name w:val="footer"/>
    <w:basedOn w:val="1"/>
    <w:qFormat/>
    <w:uiPriority w:val="0"/>
    <w:pPr>
      <w:tabs>
        <w:tab w:val="center" w:pos="4153"/>
        <w:tab w:val="right" w:pos="8306"/>
      </w:tabs>
      <w:snapToGrid w:val="0"/>
      <w:jc w:val="left"/>
    </w:pPr>
    <w:rPr>
      <w:rFonts w:ascii="宋体" w:hAnsi="宋体" w:eastAsia="宋体" w:cs="宋体"/>
    </w:r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2"/>
    <w:qFormat/>
    <w:uiPriority w:val="0"/>
    <w:rPr>
      <w:rFonts w:ascii="Times New Roman" w:hAnsi="Times New Roman" w:eastAsia="宋体" w:cs="Times New Roman"/>
      <w:b/>
      <w:kern w:val="44"/>
      <w:sz w:val="32"/>
      <w:szCs w:val="21"/>
    </w:rPr>
  </w:style>
  <w:style w:type="character" w:customStyle="1" w:styleId="14">
    <w:name w:val="标题 2 Char"/>
    <w:link w:val="3"/>
    <w:qFormat/>
    <w:uiPriority w:val="9"/>
    <w:rPr>
      <w:rFonts w:ascii="Cambria" w:hAnsi="Cambria" w:eastAsia="宋体" w:cs="Times New Roman"/>
      <w:b/>
      <w:bCs/>
      <w:kern w:val="0"/>
      <w:sz w:val="28"/>
      <w:szCs w:val="32"/>
    </w:rPr>
  </w:style>
  <w:style w:type="character" w:customStyle="1" w:styleId="15">
    <w:name w:val="标题 3 字符"/>
    <w:link w:val="4"/>
    <w:qFormat/>
    <w:uiPriority w:val="0"/>
    <w:rPr>
      <w:rFonts w:ascii="Times New Roman" w:hAnsi="Times New Roman" w:eastAsia="仿宋" w:cs="Times New Roman"/>
      <w:b/>
      <w:bCs/>
      <w:kern w:val="2"/>
      <w:sz w:val="28"/>
      <w:szCs w:val="32"/>
    </w:rPr>
  </w:style>
  <w:style w:type="character" w:customStyle="1" w:styleId="16">
    <w:name w:val="标题 1 字符"/>
    <w:link w:val="17"/>
    <w:qFormat/>
    <w:uiPriority w:val="99"/>
    <w:rPr>
      <w:rFonts w:hint="eastAsia" w:ascii="宋体" w:hAnsi="宋体"/>
      <w:b/>
      <w:bCs/>
      <w:kern w:val="44"/>
      <w:sz w:val="48"/>
      <w:szCs w:val="48"/>
    </w:rPr>
  </w:style>
  <w:style w:type="paragraph" w:customStyle="1" w:styleId="17">
    <w:name w:val="标题 11"/>
    <w:basedOn w:val="1"/>
    <w:link w:val="16"/>
    <w:qFormat/>
    <w:uiPriority w:val="0"/>
    <w:pPr>
      <w:spacing w:beforeAutospacing="1" w:afterAutospacing="1"/>
      <w:jc w:val="left"/>
      <w:outlineLvl w:val="0"/>
    </w:pPr>
    <w:rPr>
      <w:rFonts w:hint="eastAsia" w:ascii="宋体" w:hAnsi="宋体"/>
      <w:b/>
      <w:bCs/>
      <w:kern w:val="44"/>
      <w:sz w:val="48"/>
      <w:szCs w:val="48"/>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 w:type="table" w:customStyle="1" w:styleId="20">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6297</Words>
  <Characters>6636</Characters>
  <Lines>0</Lines>
  <Paragraphs>0</Paragraphs>
  <TotalTime>0</TotalTime>
  <ScaleCrop>false</ScaleCrop>
  <LinksUpToDate>false</LinksUpToDate>
  <CharactersWithSpaces>6834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2023-07-21T00:21:00Z</dcterms:created>
  <dc:creator>zx</dc:creator>
  <cp:lastModifiedBy>puppet</cp:lastModifiedBy>
  <dcterms:modified xsi:type="dcterms:W3CDTF">2026-07-23T11:02:01Z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8BAAE74FAD244B04A44BC8347593FFFE_12</vt:lpwstr>
  </property>
  <property fmtid="{D5CDD505-2E9C-101B-9397-08002B2CF9AE}" pid="4" name="KSOTemplateDocerSaveRecord">
    <vt:lpwstr>eyJoZGlkIjoiNzQ1ZjFhODQ2YTk0OWE2MWRiZGI1ZjhkYjY1YjEzNGMiLCJ1c2VySWQiOiI2NjUzNDI1ODcifQ==</vt:lpwstr>
  </property>
</Properties>
</file>