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版本号：SXHJZB-2026-05（二次）20260514001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转运车辆及上装系统维修保养项目(二次)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SXHJZB-2026-05（二次）</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转运车辆及上装系统维修保养项目(二次)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SXHJZB-2026-05（二次）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转运车辆及上装系统维修保养项目(二次)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1.对采购单位现有的27辆大型垃圾运输车及1辆洒水车进行维修保养，包括车辆大修、中小修、轮胎修补、汽车衡器维护保养、故障的专项修理。 2.中转站有重庆耐德新明和生产的垃圾转运车辆27台，垃圾转运箱45个，因车辆上装液压及转运箱体在使用过程中时常有故障发生，如液压系统漏油，操作系统无响应，箱体密封腐蚀、渗漏等，为了更好完成垃圾中转运输任务，协调好每一台车辆设备的维修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采购包1（转运车辆及上装系统维修保养项目）：属于专门面向中小企业采购。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7、企业资质：须具有《机动车维修经营备案表》：供应商应出合格有效期的《机动车维修经营备案表》；供应商需在项目电子化交易系统中按要求上传相应证明文件并进行电子签章。</w:t>
      </w:r>
    </w:p>
    <w:p>
      <w:pPr>
        <w:pStyle w:val="null3"/>
      </w:pPr>
      <w:r>
        <w:rPr>
          <w:rFonts w:ascii="仿宋_GB2312" w:hAnsi="仿宋_GB2312" w:cs="仿宋_GB2312" w:eastAsia="仿宋_GB2312"/>
        </w:rPr>
        <w:t>8、证书：具有行业主管部门核发的二类及以上汽车整车维修资质证书并年检合格，经营范围必须是大型汽车：具有行业主管部门核发的二类及以上汽车整车维修资质证书并年检合格，经营范围必须是大型汽车；供应商需在项目电子化交易系统中按要求上传相应证明文件并进行电子签章。</w:t>
      </w:r>
    </w:p>
    <w:p>
      <w:pPr>
        <w:pStyle w:val="null3"/>
      </w:pPr>
      <w:r>
        <w:rPr>
          <w:rFonts w:ascii="仿宋_GB2312" w:hAnsi="仿宋_GB2312" w:cs="仿宋_GB2312" w:eastAsia="仿宋_GB2312"/>
        </w:rPr>
        <w:t>9、法定代表人授权书：法定代表人授权书及被授权人身份证复印件（法定代表人直接参加投标只须提供法定代表人身份证明）；供应商需在项目电子化交易系统中按要求上传相应证明文件并进行电子签章。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10、本项目不接受联合体响应，不允许分包：供应商提供《非联合体、不分包投标声明》，视为独立响应，不分包；供应商应提供承诺书，格式及内容具体参见“响应文件格式”。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11、声明：供应商提供具有履行合同所必需的设备和专业技术能力的声明；供应商应提供承诺书，格式及内容具体参见“响应文件格式”。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18509212907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代理服务费收费标准：参照国家计委颁发的《招标代理服务收费管理暂行办法》(计价格[2002]1980号)规定的招标代理服务收费标准计算收取。 户名：陕西华璟项目管理有限公司 开户行：中国工商银行股份有限公司西安高新技术开发区支行 账号：3700024609200529721 汇款备注：项目名称+代理服务费（可简写）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联系人：王丹</w:t>
      </w:r>
    </w:p>
    <w:p>
      <w:pPr>
        <w:pStyle w:val="null3"/>
      </w:pPr>
      <w:r>
        <w:rPr>
          <w:rFonts w:ascii="仿宋_GB2312" w:hAnsi="仿宋_GB2312" w:cs="仿宋_GB2312" w:eastAsia="仿宋_GB2312"/>
        </w:rPr>
        <w:t>联系电话：18509212907</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1.对采购单位现有的27辆大型垃圾运输车及1辆洒水车进行维修保养，包括车辆大修、中小修、轮胎修补、汽车衡器维护保养、故障的专项修理。 2.中转站有重庆耐德新明和生产的垃圾转运车辆27台，垃圾转运箱45个，因车辆上装液压及转运箱体在使用过程中时常有故障发生，如液压系统漏油，操作系统无响应，箱体密封腐蚀、渗漏等，为了更好完成垃圾中转运输任务，协调好每一台车辆设备的维修质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1,278,000.00</w:t>
      </w:r>
    </w:p>
    <w:p>
      <w:pPr>
        <w:pStyle w:val="null3"/>
      </w:pPr>
      <w:r>
        <w:rPr>
          <w:rFonts w:ascii="仿宋_GB2312" w:hAnsi="仿宋_GB2312" w:cs="仿宋_GB2312" w:eastAsia="仿宋_GB2312"/>
        </w:rPr>
        <w:t>采购包最高限价（元）: 1,278,000.00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垃圾转运车辆上装系统维修保养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标的名称：垃圾转运车辆上装系统维修保养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对采购单位现有的</w:t>
            </w:r>
            <w:r>
              <w:rPr>
                <w:rFonts w:ascii="仿宋_GB2312" w:hAnsi="仿宋_GB2312" w:cs="仿宋_GB2312" w:eastAsia="仿宋_GB2312"/>
                <w:sz w:val="18"/>
                <w:color w:val="000000"/>
              </w:rPr>
              <w:t>27辆大型垃圾运输车及1辆洒水车进行维修保养，包括车辆大修、中小修、轮胎修补、汽车衡器维护保养、故障的专项修理。</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中转站有重庆耐德新明和生产的垃圾转运车辆</w:t>
            </w:r>
            <w:r>
              <w:rPr>
                <w:rFonts w:ascii="仿宋_GB2312" w:hAnsi="仿宋_GB2312" w:cs="仿宋_GB2312" w:eastAsia="仿宋_GB2312"/>
                <w:sz w:val="18"/>
              </w:rPr>
              <w:t>27台，垃圾转运箱45个，因车辆上装液压及转运箱体在使用过程中时常有故障发生，如液压系统漏油，操作系统无响应，箱体密封腐蚀、渗漏等，为了更好完成垃圾中转运输任务，协调好每一台车辆设备的维修质量。承修单位对车辆液压系统，上装系统，箱体密封等在维修、质量上作出以下要求：</w:t>
            </w:r>
            <w:r>
              <w:rPr>
                <w:rFonts w:ascii="仿宋_GB2312" w:hAnsi="仿宋_GB2312" w:cs="仿宋_GB2312" w:eastAsia="仿宋_GB2312"/>
                <w:sz w:val="18"/>
              </w:rPr>
              <w:t>需采购物资一批，下表中型号均为现有设备原厂型号，供应商作为技术参考，具体合同签订型号以供应商提供的磋商响应文件的分项报价表中载明的型号为准。</w:t>
            </w:r>
          </w:p>
          <w:p>
            <w:pPr>
              <w:pStyle w:val="null3"/>
              <w:jc w:val="both"/>
            </w:pPr>
            <w:r>
              <w:rPr>
                <w:rFonts w:ascii="仿宋_GB2312" w:hAnsi="仿宋_GB2312" w:cs="仿宋_GB2312" w:eastAsia="仿宋_GB2312"/>
                <w:sz w:val="18"/>
                <w:b/>
              </w:rPr>
              <w:t>二、液压系统</w:t>
            </w:r>
          </w:p>
          <w:p>
            <w:pPr>
              <w:pStyle w:val="null3"/>
              <w:ind w:firstLine="560"/>
              <w:jc w:val="both"/>
            </w:pPr>
            <w:r>
              <w:rPr>
                <w:rFonts w:ascii="仿宋_GB2312" w:hAnsi="仿宋_GB2312" w:cs="仿宋_GB2312" w:eastAsia="仿宋_GB2312"/>
                <w:sz w:val="18"/>
                <w:b/>
              </w:rPr>
              <w:t>液压系统保养明细</w:t>
            </w:r>
          </w:p>
          <w:tbl>
            <w:tblPr>
              <w:tblInd w:type="dxa" w:w="255"/>
              <w:tblBorders>
                <w:top w:val="none" w:color="000000" w:sz="4"/>
                <w:left w:val="none" w:color="000000" w:sz="4"/>
                <w:bottom w:val="none" w:color="000000" w:sz="4"/>
                <w:right w:val="none" w:color="000000" w:sz="4"/>
                <w:insideH w:val="none"/>
                <w:insideV w:val="none"/>
              </w:tblBorders>
            </w:tblPr>
            <w:tblGrid>
              <w:gridCol w:w="458"/>
              <w:gridCol w:w="1934"/>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更换液压油</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更换液压滤芯</w:t>
                  </w:r>
                  <w:r>
                    <w:rPr>
                      <w:rFonts w:ascii="仿宋_GB2312" w:hAnsi="仿宋_GB2312" w:cs="仿宋_GB2312" w:eastAsia="仿宋_GB2312"/>
                      <w:sz w:val="18"/>
                    </w:rPr>
                    <w:t>(内外)</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液压系统打黄油</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清洗液压吊臂及连接部分和油箱、管路等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液压油</w:t>
                  </w:r>
                  <w:r>
                    <w:rPr>
                      <w:rFonts w:ascii="仿宋_GB2312" w:hAnsi="仿宋_GB2312" w:cs="仿宋_GB2312" w:eastAsia="仿宋_GB2312"/>
                      <w:sz w:val="18"/>
                    </w:rPr>
                    <w:t>(46号抗磨液压油)</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液压滤芯</w:t>
                  </w:r>
                  <w:r>
                    <w:rPr>
                      <w:rFonts w:ascii="仿宋_GB2312" w:hAnsi="仿宋_GB2312" w:cs="仿宋_GB2312" w:eastAsia="仿宋_GB2312"/>
                      <w:sz w:val="18"/>
                    </w:rPr>
                    <w:t>(内)</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液压滤芯</w:t>
                  </w:r>
                  <w:r>
                    <w:rPr>
                      <w:rFonts w:ascii="仿宋_GB2312" w:hAnsi="仿宋_GB2312" w:cs="仿宋_GB2312" w:eastAsia="仿宋_GB2312"/>
                      <w:sz w:val="18"/>
                    </w:rPr>
                    <w:t>(外)</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清洗油</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润滑脂</w:t>
                  </w:r>
                </w:p>
              </w:tc>
            </w:tr>
          </w:tbl>
          <w:p>
            <w:pPr>
              <w:pStyle w:val="null3"/>
              <w:ind w:firstLine="560"/>
              <w:jc w:val="both"/>
            </w:pPr>
            <w:r>
              <w:rPr>
                <w:rFonts w:ascii="仿宋_GB2312" w:hAnsi="仿宋_GB2312" w:cs="仿宋_GB2312" w:eastAsia="仿宋_GB2312"/>
                <w:sz w:val="18"/>
                <w:b/>
              </w:rPr>
              <w:t>垃圾转运箱保养明细</w:t>
            </w:r>
          </w:p>
          <w:tbl>
            <w:tblPr>
              <w:tblInd w:type="dxa" w:w="255"/>
              <w:tblBorders>
                <w:top w:val="none" w:color="000000" w:sz="4"/>
                <w:left w:val="none" w:color="000000" w:sz="4"/>
                <w:bottom w:val="none" w:color="000000" w:sz="4"/>
                <w:right w:val="none" w:color="000000" w:sz="4"/>
                <w:insideH w:val="none"/>
                <w:insideV w:val="none"/>
              </w:tblBorders>
            </w:tblPr>
            <w:tblGrid>
              <w:gridCol w:w="262"/>
              <w:gridCol w:w="2132"/>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清洗除锈转运箱后门销轴</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后门及遮掩门密封条清理</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箱体打黄油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润滑油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清洗油</w:t>
                  </w:r>
                </w:p>
              </w:tc>
            </w:tr>
          </w:tbl>
          <w:p>
            <w:pPr>
              <w:pStyle w:val="null3"/>
              <w:ind w:firstLine="560"/>
              <w:jc w:val="both"/>
            </w:pPr>
            <w:r>
              <w:rPr>
                <w:rFonts w:ascii="仿宋_GB2312" w:hAnsi="仿宋_GB2312" w:cs="仿宋_GB2312" w:eastAsia="仿宋_GB2312"/>
                <w:sz w:val="18"/>
                <w:b/>
              </w:rPr>
              <w:t>更换后门及遮掩门密封条明细</w:t>
            </w:r>
          </w:p>
          <w:tbl>
            <w:tblPr>
              <w:tblInd w:type="dxa" w:w="270"/>
              <w:tblBorders>
                <w:top w:val="none" w:color="000000" w:sz="4"/>
                <w:left w:val="none" w:color="000000" w:sz="4"/>
                <w:bottom w:val="none" w:color="000000" w:sz="4"/>
                <w:right w:val="none" w:color="000000" w:sz="4"/>
                <w:insideH w:val="none"/>
                <w:insideV w:val="none"/>
              </w:tblBorders>
            </w:tblPr>
            <w:tblGrid>
              <w:gridCol w:w="256"/>
              <w:gridCol w:w="2134"/>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清理后门及遮掩门密封条槽更换密封胶条</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w:t>
                  </w:r>
                  <w:r>
                    <w:rPr>
                      <w:rFonts w:ascii="仿宋_GB2312" w:hAnsi="仿宋_GB2312" w:cs="仿宋_GB2312" w:eastAsia="仿宋_GB2312"/>
                      <w:sz w:val="18"/>
                    </w:rPr>
                    <w:t>_实体37硅胶条LGD2006-0000008-0C3（米）</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门胶条</w:t>
                  </w:r>
                  <w:r>
                    <w:rPr>
                      <w:rFonts w:ascii="仿宋_GB2312" w:hAnsi="仿宋_GB2312" w:cs="仿宋_GB2312" w:eastAsia="仿宋_GB2312"/>
                      <w:sz w:val="18"/>
                    </w:rPr>
                    <w:t>LGD2006-0000008-1A（米）</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r>
                    <w:rPr>
                      <w:rFonts w:ascii="仿宋_GB2312" w:hAnsi="仿宋_GB2312" w:cs="仿宋_GB2312" w:eastAsia="仿宋_GB2312"/>
                      <w:sz w:val="18"/>
                    </w:rPr>
                    <w:t>密封胶（支）</w:t>
                  </w:r>
                </w:p>
              </w:tc>
            </w:tr>
          </w:tbl>
          <w:p>
            <w:pPr>
              <w:pStyle w:val="null3"/>
              <w:ind w:firstLine="560"/>
              <w:jc w:val="both"/>
            </w:pPr>
            <w:r>
              <w:rPr>
                <w:rFonts w:ascii="仿宋_GB2312" w:hAnsi="仿宋_GB2312" w:cs="仿宋_GB2312" w:eastAsia="仿宋_GB2312"/>
                <w:sz w:val="18"/>
                <w:b/>
              </w:rPr>
              <w:t>25 吨拉臂钩车配件</w:t>
            </w:r>
          </w:p>
          <w:tbl>
            <w:tblPr>
              <w:tblBorders>
                <w:top w:val="none" w:color="000000" w:sz="4"/>
                <w:left w:val="none" w:color="000000" w:sz="4"/>
                <w:bottom w:val="none" w:color="000000" w:sz="4"/>
                <w:right w:val="none" w:color="000000" w:sz="4"/>
                <w:insideH w:val="none"/>
                <w:insideV w:val="none"/>
              </w:tblBorders>
            </w:tblPr>
            <w:tblGrid>
              <w:gridCol w:w="384"/>
              <w:gridCol w:w="652"/>
              <w:gridCol w:w="1347"/>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现有设备型号</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销轴</w:t>
                  </w:r>
                  <w:r>
                    <w:rPr>
                      <w:rFonts w:ascii="仿宋_GB2312" w:hAnsi="仿宋_GB2312" w:cs="仿宋_GB2312" w:eastAsia="仿宋_GB2312"/>
                      <w:sz w:val="18"/>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LGD2005-8020000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圆螺母</w:t>
                  </w:r>
                  <w:r>
                    <w:rPr>
                      <w:rFonts w:ascii="仿宋_GB2312" w:hAnsi="仿宋_GB2312" w:cs="仿宋_GB2312" w:eastAsia="仿宋_GB2312"/>
                      <w:sz w:val="18"/>
                    </w:rPr>
                    <w:t>M14X1.5</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GB812</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六角薄螺母</w:t>
                  </w:r>
                  <w:r>
                    <w:rPr>
                      <w:rFonts w:ascii="仿宋_GB2312" w:hAnsi="仿宋_GB2312" w:cs="仿宋_GB2312" w:eastAsia="仿宋_GB2312"/>
                      <w:sz w:val="18"/>
                    </w:rPr>
                    <w:t>M20</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GB/T6172.1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油管</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20411-18-06X2T06X450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油管</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20411-18-06/20491-18-06X2T06 X500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硬管</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LGX2600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滚轮销轴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LGX2600-1162000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液压锁</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VPR/SE/C38</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快装接头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1寸 公母</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避钩门板</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LGX2601-7100002</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自制把手</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LGD2006-CA00000-1A</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登山扣</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LGD2005-C600002-1A</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管卡</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TLPG2-112</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支撑油缸</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CCA25-4030000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油管</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20411-18-06X2SN06X2000+PVC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快换接头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公母</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避钩门总成</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门板</w:t>
                  </w:r>
                  <w:r>
                    <w:rPr>
                      <w:rFonts w:ascii="仿宋_GB2312" w:hAnsi="仿宋_GB2312" w:cs="仿宋_GB2312" w:eastAsia="仿宋_GB2312"/>
                      <w:sz w:val="18"/>
                    </w:rPr>
                    <w:t>+把手+小门绞轴</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电控箱总成</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自制</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手控盒</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自制</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接近开关</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P+F</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扩展模块</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TM3DM8R</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逻辑控制器</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TM221C24T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柱塞泵</w:t>
                  </w:r>
                  <w:r>
                    <w:rPr>
                      <w:rFonts w:ascii="仿宋_GB2312" w:hAnsi="仿宋_GB2312" w:cs="仿宋_GB2312" w:eastAsia="仿宋_GB2312"/>
                      <w:sz w:val="18"/>
                    </w:rPr>
                    <w:t>(右旋）</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SC084R</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12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20411-18-06X2SN06X2000+PVC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08</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20441-18-06/20411-18-06X2SN06X3900+PVC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09</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20441-18-06/20491-18-06X2SN06X3300V270+P1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07</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20441-22-06T/20411-22-06TX2SN06X5700+PVC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10</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20491-18-06/20411-16-06X2SN06X350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11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20491-18-06/20411-18-06X2SN06X1100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06</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20491-22-06T/20411-18-06X2SN06X900+PVC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05</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20491-22-06T/20411-22-06TX2SN06X900+PVC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20512-30-12X4SP12X26</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20512-30-12X4SP12X2730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13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20592-30-12X4SP12X780V0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15</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20491-22-06T/20411-18-06X2SN06X800+PVC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14</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20491-22-06T/20411-22-06TX2SN06X700+PVC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20491-30-12/20411-30-12X1T12X600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20592-30-12/20512-36-12TX4SP12X2300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胶管总成</w:t>
                  </w:r>
                  <w:r>
                    <w:rPr>
                      <w:rFonts w:ascii="仿宋_GB2312" w:hAnsi="仿宋_GB2312" w:cs="仿宋_GB2312" w:eastAsia="仿宋_GB2312"/>
                      <w:sz w:val="18"/>
                    </w:rPr>
                    <w:t>03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20491-12-04/20411-16-04X1T04X750+PVC</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吸油管</w:t>
                  </w:r>
                  <w:r>
                    <w:rPr>
                      <w:rFonts w:ascii="仿宋_GB2312" w:hAnsi="仿宋_GB2312" w:cs="仿宋_GB2312" w:eastAsia="仿宋_GB2312"/>
                      <w:sz w:val="18"/>
                    </w:rPr>
                    <w:t>Φ</w:t>
                  </w:r>
                </w:p>
                <w:p>
                  <w:pPr>
                    <w:pStyle w:val="null3"/>
                    <w:jc w:val="center"/>
                  </w:pPr>
                  <w:r>
                    <w:rPr>
                      <w:rFonts w:ascii="仿宋_GB2312" w:hAnsi="仿宋_GB2312" w:cs="仿宋_GB2312" w:eastAsia="仿宋_GB2312"/>
                      <w:sz w:val="18"/>
                    </w:rPr>
                    <w:t>51X64</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32C4X1800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五联多路阀</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622005960-01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锁紧油缸</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CCA010-23Y-4260000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举升油缸</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CCA25-4010000-1A</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平移油缸</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CCA25-4020000-1A</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桥支撑油缸</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CCA25-4030000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后门挂钩</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箱体锁紧油缸</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w:t>
                  </w:r>
                  <w:r>
                    <w:rPr>
                      <w:rFonts w:ascii="仿宋_GB2312" w:hAnsi="仿宋_GB2312" w:cs="仿宋_GB2312" w:eastAsia="仿宋_GB2312"/>
                      <w:sz w:val="18"/>
                    </w:rPr>
                    <w:t>S拐臂</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箱体防撞块</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拐臂弹簧</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箱体液压油管</w:t>
                  </w:r>
                  <w:r>
                    <w:rPr>
                      <w:rFonts w:ascii="仿宋_GB2312" w:hAnsi="仿宋_GB2312" w:cs="仿宋_GB2312" w:eastAsia="仿宋_GB2312"/>
                      <w:sz w:val="18"/>
                    </w:rPr>
                    <w:t>(钢)</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液压管卡扣</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多路阀电磁阀</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多路阀修理包</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多路阀配件</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多路阀调压阀</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多路阀限压阀</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清洗剂</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钢管接头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钢管弯头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钢管三通接头</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箱体内钢板维修</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w:t>
                  </w:r>
                  <w:r>
                    <w:rPr>
                      <w:rFonts w:ascii="仿宋_GB2312" w:hAnsi="仿宋_GB2312" w:cs="仿宋_GB2312" w:eastAsia="仿宋_GB2312"/>
                      <w:sz w:val="18"/>
                    </w:rPr>
                    <w:t>外</w:t>
                  </w:r>
                  <w:r>
                    <w:rPr>
                      <w:rFonts w:ascii="仿宋_GB2312" w:hAnsi="仿宋_GB2312" w:cs="仿宋_GB2312" w:eastAsia="仿宋_GB2312"/>
                      <w:sz w:val="18"/>
                    </w:rPr>
                    <w:t>钢板维修</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箱体外部喷漆</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箱体</w:t>
                  </w:r>
                  <w:r>
                    <w:rPr>
                      <w:rFonts w:ascii="仿宋_GB2312" w:hAnsi="仿宋_GB2312" w:cs="仿宋_GB2312" w:eastAsia="仿宋_GB2312"/>
                      <w:sz w:val="18"/>
                    </w:rPr>
                    <w:t>前钩臂凸元挂钩</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油缸修理包</w:t>
                  </w:r>
                  <w:r>
                    <w:rPr>
                      <w:rFonts w:ascii="仿宋_GB2312" w:hAnsi="仿宋_GB2312" w:cs="仿宋_GB2312" w:eastAsia="仿宋_GB2312"/>
                      <w:sz w:val="18"/>
                    </w:rPr>
                    <w:t>(支撑)</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油缸修理包</w:t>
                  </w:r>
                  <w:r>
                    <w:rPr>
                      <w:rFonts w:ascii="仿宋_GB2312" w:hAnsi="仿宋_GB2312" w:cs="仿宋_GB2312" w:eastAsia="仿宋_GB2312"/>
                      <w:sz w:val="18"/>
                    </w:rPr>
                    <w:t>(伸缩)</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油缸修理包</w:t>
                  </w:r>
                  <w:r>
                    <w:rPr>
                      <w:rFonts w:ascii="仿宋_GB2312" w:hAnsi="仿宋_GB2312" w:cs="仿宋_GB2312" w:eastAsia="仿宋_GB2312"/>
                      <w:sz w:val="18"/>
                    </w:rPr>
                    <w:t>(举升)</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油缸修理包</w:t>
                  </w:r>
                  <w:r>
                    <w:rPr>
                      <w:rFonts w:ascii="仿宋_GB2312" w:hAnsi="仿宋_GB2312" w:cs="仿宋_GB2312" w:eastAsia="仿宋_GB2312"/>
                      <w:sz w:val="18"/>
                    </w:rPr>
                    <w:t>(锁紧)</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油缸修理包</w:t>
                  </w:r>
                  <w:r>
                    <w:rPr>
                      <w:rFonts w:ascii="仿宋_GB2312" w:hAnsi="仿宋_GB2312" w:cs="仿宋_GB2312" w:eastAsia="仿宋_GB2312"/>
                      <w:sz w:val="18"/>
                    </w:rPr>
                    <w:t>(平移)</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bl>
          <w:p>
            <w:pPr>
              <w:pStyle w:val="null3"/>
              <w:jc w:val="left"/>
            </w:pPr>
            <w:r>
              <w:rPr>
                <w:rFonts w:ascii="仿宋_GB2312" w:hAnsi="仿宋_GB2312" w:cs="仿宋_GB2312" w:eastAsia="仿宋_GB2312"/>
                <w:sz w:val="18"/>
                <w:b/>
              </w:rPr>
              <w:t>三、垃圾车明细</w:t>
            </w:r>
          </w:p>
          <w:p>
            <w:pPr>
              <w:pStyle w:val="null3"/>
              <w:jc w:val="left"/>
            </w:pPr>
            <w:r>
              <w:rPr>
                <w:rFonts w:ascii="仿宋_GB2312" w:hAnsi="仿宋_GB2312" w:cs="仿宋_GB2312" w:eastAsia="仿宋_GB2312"/>
                <w:sz w:val="18"/>
                <w:b/>
              </w:rPr>
              <w:t>以山花牌</w:t>
            </w:r>
            <w:r>
              <w:rPr>
                <w:rFonts w:ascii="仿宋_GB2312" w:hAnsi="仿宋_GB2312" w:cs="仿宋_GB2312" w:eastAsia="仿宋_GB2312"/>
                <w:sz w:val="18"/>
                <w:b/>
              </w:rPr>
              <w:t>JHA5315ZXXZZA5垃圾车为准进行报价。</w:t>
            </w:r>
          </w:p>
          <w:p>
            <w:pPr>
              <w:pStyle w:val="null3"/>
              <w:jc w:val="both"/>
            </w:pPr>
            <w:r>
              <w:rPr>
                <w:rFonts w:ascii="仿宋_GB2312" w:hAnsi="仿宋_GB2312" w:cs="仿宋_GB2312" w:eastAsia="仿宋_GB2312"/>
                <w:sz w:val="18"/>
                <w:b/>
              </w:rPr>
              <w:t>（一）发动机部分</w:t>
            </w:r>
          </w:p>
          <w:tbl>
            <w:tblPr>
              <w:tblBorders>
                <w:top w:val="none" w:color="000000" w:sz="4"/>
                <w:left w:val="none" w:color="000000" w:sz="4"/>
                <w:bottom w:val="none" w:color="000000" w:sz="4"/>
                <w:right w:val="none" w:color="000000" w:sz="4"/>
                <w:insideH w:val="none"/>
                <w:insideV w:val="none"/>
              </w:tblBorders>
            </w:tblPr>
            <w:tblGrid>
              <w:gridCol w:w="793"/>
              <w:gridCol w:w="1550"/>
            </w:tblGrid>
            <w:tr>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项目编号</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r>
            <w:tr>
              <w:tc>
                <w:tcPr>
                  <w:tcW w:type="dxa" w:w="7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燃油供给系</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高压油泵</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高压喷油嘴</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高压油管</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柴油滤芯</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油水分离器</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柴油箱</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油箱滤芯</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蓄压阀</w:t>
                  </w:r>
                </w:p>
              </w:tc>
            </w:tr>
            <w:tr>
              <w:tc>
                <w:tcPr>
                  <w:tcW w:type="dxa" w:w="7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润滑系</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机油泵</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机油滤芯</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机油传感器</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柴机油（重汽</w:t>
                  </w:r>
                  <w:r>
                    <w:rPr>
                      <w:rFonts w:ascii="仿宋_GB2312" w:hAnsi="仿宋_GB2312" w:cs="仿宋_GB2312" w:eastAsia="仿宋_GB2312"/>
                      <w:sz w:val="18"/>
                    </w:rPr>
                    <w:t>MC专用油10W-40）</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排气弯管</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发动机呼吸器管</w:t>
                  </w:r>
                </w:p>
              </w:tc>
            </w:tr>
            <w:tr>
              <w:tc>
                <w:tcPr>
                  <w:tcW w:type="dxa" w:w="7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冷却系</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水箱</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水泵</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风扇皮带</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水温传感器</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防冻冷却液</w:t>
                  </w:r>
                </w:p>
              </w:tc>
            </w:tr>
            <w:tr>
              <w:tc>
                <w:tcPr>
                  <w:tcW w:type="dxa" w:w="793"/>
                  <w:vMerge/>
                  <w:tcBorders>
                    <w:top w:val="none" w:color="000000" w:sz="4"/>
                    <w:left w:val="single" w:color="000000" w:sz="4"/>
                    <w:bottom w:val="single" w:color="000000" w:sz="4"/>
                    <w:right w:val="single" w:color="000000" w:sz="4"/>
                  </w:tcBorders>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节温器</w:t>
                  </w:r>
                </w:p>
              </w:tc>
            </w:tr>
          </w:tbl>
          <w:p>
            <w:pPr>
              <w:pStyle w:val="null3"/>
              <w:jc w:val="left"/>
            </w:pPr>
            <w:r>
              <w:rPr>
                <w:rFonts w:ascii="仿宋_GB2312" w:hAnsi="仿宋_GB2312" w:cs="仿宋_GB2312" w:eastAsia="仿宋_GB2312"/>
                <w:sz w:val="18"/>
                <w:b/>
              </w:rPr>
              <w:t>（二）</w:t>
            </w:r>
            <w:r>
              <w:rPr>
                <w:rFonts w:ascii="仿宋_GB2312" w:hAnsi="仿宋_GB2312" w:cs="仿宋_GB2312" w:eastAsia="仿宋_GB2312"/>
                <w:sz w:val="18"/>
                <w:b/>
              </w:rPr>
              <w:t>电器部分</w:t>
            </w:r>
          </w:p>
          <w:tbl>
            <w:tblPr>
              <w:tblBorders>
                <w:top w:val="none" w:color="000000" w:sz="4"/>
                <w:left w:val="none" w:color="000000" w:sz="4"/>
                <w:bottom w:val="none" w:color="000000" w:sz="4"/>
                <w:right w:val="none" w:color="000000" w:sz="4"/>
                <w:insideH w:val="none"/>
                <w:insideV w:val="none"/>
              </w:tblBorders>
            </w:tblPr>
            <w:tblGrid>
              <w:gridCol w:w="774"/>
              <w:gridCol w:w="1547"/>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项目编号</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r>
            <w:tr>
              <w:tc>
                <w:tcPr>
                  <w:tcW w:type="dxa" w:w="7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电器部分</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发电机</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马达</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组合开关</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刹车灯开关</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大小灯总成</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其它开关</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空调压缩机</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空调皮带</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冷煤</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空调散热器</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空调管道</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雨刮器总成</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雨刮器片及连杆机构</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DCU尿素电脑版</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底盘线束</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尾灯</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刹车继电器总成</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电动车门总成</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排气管加保温层</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SCR总成</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发动机呼吸器</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氮氧传感器</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尿素单向阀</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排气弯管卡子</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液位传感器</w:t>
                  </w:r>
                </w:p>
              </w:tc>
            </w:tr>
            <w:tr>
              <w:tc>
                <w:tcPr>
                  <w:tcW w:type="dxa" w:w="774"/>
                  <w:vMerge/>
                  <w:tcBorders>
                    <w:top w:val="none" w:color="000000" w:sz="4"/>
                    <w:left w:val="single" w:color="000000" w:sz="4"/>
                    <w:bottom w:val="single" w:color="000000" w:sz="4"/>
                    <w:right w:val="single" w:color="000000" w:sz="4"/>
                  </w:tcBorders>
                </w:tcP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计量阀</w:t>
                  </w:r>
                </w:p>
              </w:tc>
            </w:tr>
          </w:tbl>
          <w:p>
            <w:pPr>
              <w:pStyle w:val="null3"/>
              <w:jc w:val="left"/>
            </w:pPr>
            <w:r>
              <w:rPr>
                <w:rFonts w:ascii="仿宋_GB2312" w:hAnsi="仿宋_GB2312" w:cs="仿宋_GB2312" w:eastAsia="仿宋_GB2312"/>
                <w:sz w:val="18"/>
                <w:b/>
              </w:rPr>
              <w:t>（三）底盘部分</w:t>
            </w:r>
          </w:p>
          <w:tbl>
            <w:tblPr>
              <w:tblBorders>
                <w:top w:val="none" w:color="000000" w:sz="4"/>
                <w:left w:val="none" w:color="000000" w:sz="4"/>
                <w:bottom w:val="none" w:color="000000" w:sz="4"/>
                <w:right w:val="none" w:color="000000" w:sz="4"/>
                <w:insideH w:val="none"/>
                <w:insideV w:val="none"/>
              </w:tblBorders>
            </w:tblPr>
            <w:tblGrid>
              <w:gridCol w:w="768"/>
              <w:gridCol w:w="1537"/>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项目编号</w:t>
                  </w:r>
                </w:p>
              </w:tc>
              <w:tc>
                <w:tcPr>
                  <w:tcW w:type="dxa" w:w="1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项目名称</w:t>
                  </w:r>
                </w:p>
              </w:tc>
            </w:tr>
            <w:tr>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传动系</w:t>
                  </w: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离合器片</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离合器压盘</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离合器分泵</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变速箱（倒档、</w:t>
                  </w:r>
                  <w:r>
                    <w:rPr>
                      <w:rFonts w:ascii="仿宋_GB2312" w:hAnsi="仿宋_GB2312" w:cs="仿宋_GB2312" w:eastAsia="仿宋_GB2312"/>
                      <w:sz w:val="18"/>
                    </w:rPr>
                    <w:t>1-10档齿轮、各档同步器）</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传动轴（三节）</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过桥轴承</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差速器（大小八字轮、行星齿轮）</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半轴</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齿轮油</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离合器分离轴承</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十字轴</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高低速修理包</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高低速气控锁止阀</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贯通轴</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变速器操纵机构</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飞轮</w:t>
                  </w:r>
                </w:p>
              </w:tc>
            </w:tr>
            <w:tr>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刹车系</w:t>
                  </w: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刹车总泵</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刹车管道</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刹车蹄（前后）</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刹车片（前后）</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刹车分泵（前后）</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刹车锅（前后）</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气泵总成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储气筒</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取力器拨叉</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调整臂</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空气干燥滤芯</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轮油封</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半轴油封</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铆钉</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刹车定位销</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滚轮</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刹车弹簧</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刹车靠背底座</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轮胎螺丝</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轴销</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隔膜泵</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储气罐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刹车鼓</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气泵总成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刹车继动阀总成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截止阀</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稳压阀</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四回路总阀</w:t>
                  </w:r>
                </w:p>
              </w:tc>
            </w:tr>
            <w:tr>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转向系</w:t>
                  </w: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方向盘</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方向机总成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方向机助力器总成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助力器油</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横直拉杆总成</w:t>
                  </w:r>
                </w:p>
              </w:tc>
            </w:tr>
            <w:tr>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其它系</w:t>
                  </w: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前后杠</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中网</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挡风玻璃</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后视镜</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前后钢板总成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钢板销</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钢板套</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钢板卡子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钢板螺丝</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钢板平衡座</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前、中、后桥总成</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平衡轴底座</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平衡轴盖冲压</w:t>
                  </w:r>
                </w:p>
              </w:tc>
            </w:tr>
            <w:tr>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大修工时</w:t>
                  </w: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发动机大修</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变速箱大修</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差速器大修</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车辆电脑板</w:t>
                  </w:r>
                </w:p>
              </w:tc>
            </w:tr>
            <w:tr>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维护保养工时（车辆二级保养）</w:t>
                  </w: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更换机油三滤</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八轮四轴检修保养</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全车打黄油</w:t>
                  </w:r>
                </w:p>
              </w:tc>
            </w:tr>
            <w:tr>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维护保养材料（车辆二级保养）</w:t>
                  </w: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机油（</w:t>
                  </w:r>
                  <w:r>
                    <w:rPr>
                      <w:rFonts w:ascii="仿宋_GB2312" w:hAnsi="仿宋_GB2312" w:cs="仿宋_GB2312" w:eastAsia="仿宋_GB2312"/>
                      <w:sz w:val="18"/>
                    </w:rPr>
                    <w:t>27升）</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机滤</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空滤</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柴滤</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油水分离器</w:t>
                  </w:r>
                </w:p>
              </w:tc>
            </w:tr>
            <w:tr>
              <w:tc>
                <w:tcPr>
                  <w:tcW w:type="dxa" w:w="768"/>
                  <w:vMerge/>
                  <w:tcBorders>
                    <w:top w:val="none" w:color="000000" w:sz="4"/>
                    <w:left w:val="single" w:color="000000" w:sz="4"/>
                    <w:bottom w:val="single" w:color="000000" w:sz="4"/>
                    <w:right w:val="single" w:color="000000" w:sz="4"/>
                  </w:tcBorders>
                </w:tc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高温油</w:t>
                  </w:r>
                </w:p>
              </w:tc>
            </w:tr>
          </w:tbl>
          <w:p>
            <w:pPr>
              <w:pStyle w:val="null3"/>
              <w:jc w:val="both"/>
            </w:pPr>
            <w:r>
              <w:rPr>
                <w:rFonts w:ascii="仿宋_GB2312" w:hAnsi="仿宋_GB2312" w:cs="仿宋_GB2312" w:eastAsia="仿宋_GB2312"/>
                <w:sz w:val="18"/>
                <w:b/>
              </w:rPr>
              <w:t>四</w:t>
            </w:r>
            <w:r>
              <w:rPr>
                <w:rFonts w:ascii="仿宋_GB2312" w:hAnsi="仿宋_GB2312" w:cs="仿宋_GB2312" w:eastAsia="仿宋_GB2312"/>
                <w:sz w:val="18"/>
                <w:b/>
              </w:rPr>
              <w:t>、服务要求</w:t>
            </w:r>
            <w:r>
              <w:rPr>
                <w:rFonts w:ascii="仿宋_GB2312" w:hAnsi="仿宋_GB2312" w:cs="仿宋_GB2312" w:eastAsia="仿宋_GB2312"/>
                <w:sz w:val="18"/>
                <w:b/>
              </w:rPr>
              <w:t>（</w:t>
            </w:r>
            <w:r>
              <w:rPr>
                <w:rFonts w:ascii="仿宋_GB2312" w:hAnsi="仿宋_GB2312" w:cs="仿宋_GB2312" w:eastAsia="仿宋_GB2312"/>
                <w:sz w:val="18"/>
                <w:b/>
              </w:rPr>
              <w:t>车辆</w:t>
            </w:r>
            <w:r>
              <w:rPr>
                <w:rFonts w:ascii="仿宋_GB2312" w:hAnsi="仿宋_GB2312" w:cs="仿宋_GB2312" w:eastAsia="仿宋_GB2312"/>
                <w:sz w:val="18"/>
                <w:b/>
              </w:rPr>
              <w:t>）</w:t>
            </w:r>
          </w:p>
          <w:p>
            <w:pPr>
              <w:pStyle w:val="null3"/>
              <w:ind w:firstLine="562"/>
              <w:jc w:val="both"/>
            </w:pPr>
            <w:r>
              <w:rPr>
                <w:rFonts w:ascii="仿宋_GB2312" w:hAnsi="仿宋_GB2312" w:cs="仿宋_GB2312" w:eastAsia="仿宋_GB2312"/>
                <w:sz w:val="18"/>
              </w:rPr>
              <w:t>（一）服务团队要求</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具有发动机、底盘、电器维修技师各</w:t>
            </w:r>
            <w:r>
              <w:rPr>
                <w:rFonts w:ascii="仿宋_GB2312" w:hAnsi="仿宋_GB2312" w:cs="仿宋_GB2312" w:eastAsia="仿宋_GB2312"/>
                <w:sz w:val="18"/>
              </w:rPr>
              <w:t>1名。</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具有其他相关维修人员（液压、油漆、钣金等）若干名。</w:t>
            </w:r>
          </w:p>
          <w:p>
            <w:pPr>
              <w:pStyle w:val="null3"/>
              <w:ind w:firstLine="562"/>
              <w:jc w:val="both"/>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）配件要求</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具有采购人车型易损配件的专用库房和库存。</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能够及时更换损坏的配件。</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必须按底盘生厂家和专用车改装厂的技术要求进行配件更换与维修。</w:t>
            </w:r>
          </w:p>
          <w:p>
            <w:pPr>
              <w:pStyle w:val="null3"/>
              <w:ind w:firstLine="562"/>
              <w:jc w:val="both"/>
            </w:pPr>
            <w:r>
              <w:rPr>
                <w:rFonts w:ascii="仿宋_GB2312" w:hAnsi="仿宋_GB2312" w:cs="仿宋_GB2312" w:eastAsia="仿宋_GB2312"/>
                <w:sz w:val="18"/>
              </w:rPr>
              <w:t>（</w:t>
            </w:r>
            <w:r>
              <w:rPr>
                <w:rFonts w:ascii="仿宋_GB2312" w:hAnsi="仿宋_GB2312" w:cs="仿宋_GB2312" w:eastAsia="仿宋_GB2312"/>
                <w:sz w:val="18"/>
              </w:rPr>
              <w:t>三</w:t>
            </w:r>
            <w:r>
              <w:rPr>
                <w:rFonts w:ascii="仿宋_GB2312" w:hAnsi="仿宋_GB2312" w:cs="仿宋_GB2312" w:eastAsia="仿宋_GB2312"/>
                <w:sz w:val="18"/>
              </w:rPr>
              <w:t>）维修保养要求</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应保证采购人获得优先服务的权利，并在不超过承诺的维修期限内完成维修工作。</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应设有</w:t>
            </w:r>
            <w:r>
              <w:rPr>
                <w:rFonts w:ascii="仿宋_GB2312" w:hAnsi="仿宋_GB2312" w:cs="仿宋_GB2312" w:eastAsia="仿宋_GB2312"/>
                <w:sz w:val="18"/>
              </w:rPr>
              <w:t>24小时服务电话，在接到采购人报修电话后1小时内予以响应，并能提供免费上门服务。</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能为采购人无偿提供紧急救援服务，配备有明显标志的抢险车，应在</w:t>
            </w:r>
            <w:r>
              <w:rPr>
                <w:rFonts w:ascii="仿宋_GB2312" w:hAnsi="仿宋_GB2312" w:cs="仿宋_GB2312" w:eastAsia="仿宋_GB2312"/>
                <w:sz w:val="18"/>
              </w:rPr>
              <w:t>2小时内派人赶到现场。</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维修厂应设有客户休息场所，并配备相关的配套服务设施。</w:t>
            </w:r>
          </w:p>
          <w:p>
            <w:pPr>
              <w:pStyle w:val="null3"/>
              <w:ind w:firstLine="56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对采购人的送修车辆建立用户档案，档案内容应有送修单、派工单、结算单，实行</w:t>
            </w:r>
            <w:r>
              <w:rPr>
                <w:rFonts w:ascii="仿宋_GB2312" w:hAnsi="仿宋_GB2312" w:cs="仿宋_GB2312" w:eastAsia="仿宋_GB2312"/>
                <w:sz w:val="18"/>
              </w:rPr>
              <w:t>“三单合一”管理，开展跟踪服务。</w:t>
            </w:r>
          </w:p>
          <w:p>
            <w:pPr>
              <w:pStyle w:val="null3"/>
              <w:ind w:firstLine="56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提供维修配件单位价格和维修工时单位价格（详见采购合同中的分项报价表）</w:t>
            </w:r>
          </w:p>
          <w:p>
            <w:pPr>
              <w:pStyle w:val="null3"/>
              <w:ind w:firstLine="540"/>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投标服务商应明确每次维修保养的工时、配件保质、保修期限。在保质、保修期限内，由于采购人使用不当造成的机件损坏，由采购人负责再次维修保养的各种工时及配件费用；由于成交服务商工人的维修保养水平或配件的质量等原因，在质保期内造成的车辆故障，由成交服务商负责返工维修保养，采购人不再负担相应的工时、配件费用。</w:t>
            </w:r>
          </w:p>
          <w:p>
            <w:pPr>
              <w:pStyle w:val="null3"/>
              <w:ind w:firstLine="56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接车诊断后的维修项目必须经采购人确认后方可维修，不得擅自增加维修项目，维修过程中发现某些项目必须追加的，在维修前应事先通知采购人，征得采购人同意，方能增加项目开始维修。</w:t>
            </w:r>
          </w:p>
          <w:p>
            <w:pPr>
              <w:pStyle w:val="null3"/>
              <w:ind w:firstLine="562"/>
              <w:jc w:val="both"/>
            </w:pPr>
            <w:r>
              <w:rPr>
                <w:rFonts w:ascii="仿宋_GB2312" w:hAnsi="仿宋_GB2312" w:cs="仿宋_GB2312" w:eastAsia="仿宋_GB2312"/>
                <w:sz w:val="18"/>
              </w:rPr>
              <w:t>（</w:t>
            </w:r>
            <w:r>
              <w:rPr>
                <w:rFonts w:ascii="仿宋_GB2312" w:hAnsi="仿宋_GB2312" w:cs="仿宋_GB2312" w:eastAsia="仿宋_GB2312"/>
                <w:sz w:val="18"/>
              </w:rPr>
              <w:t>四</w:t>
            </w:r>
            <w:r>
              <w:rPr>
                <w:rFonts w:ascii="仿宋_GB2312" w:hAnsi="仿宋_GB2312" w:cs="仿宋_GB2312" w:eastAsia="仿宋_GB2312"/>
                <w:sz w:val="18"/>
              </w:rPr>
              <w:t>）质量要求</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各项质量、技术要求符合汽车维修技术国家标准和行业标准以及汽车维修相关标准。</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所有维修车辆出厂时必须达到《机动车运行安全技术条件》</w:t>
            </w:r>
            <w:r>
              <w:rPr>
                <w:rFonts w:ascii="仿宋_GB2312" w:hAnsi="仿宋_GB2312" w:cs="仿宋_GB2312" w:eastAsia="仿宋_GB2312"/>
                <w:sz w:val="18"/>
              </w:rPr>
              <w:t>GB7258-2017等国家安全技术标准及车辆维修标准。</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被修车辆达不到规定的质量标准和技术要求的，返修不得再计价收费，车辆竣工出厂执行质量保证期制度，不能低于中华人民共和国交通部所颁布的《交通运输部关于修改</w:t>
            </w:r>
            <w:r>
              <w:rPr>
                <w:rFonts w:ascii="仿宋_GB2312" w:hAnsi="仿宋_GB2312" w:cs="仿宋_GB2312" w:eastAsia="仿宋_GB2312"/>
                <w:sz w:val="18"/>
              </w:rPr>
              <w:t>&lt;机动车维修管理规定&gt;的决定（交通运输部令2016年第37号）》的标准。</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车辆维修完成后必须向采购人提供车辆维修的检验标准和工作流程的相关资料。</w:t>
            </w:r>
          </w:p>
          <w:p>
            <w:pPr>
              <w:pStyle w:val="null3"/>
              <w:ind w:firstLine="560"/>
            </w:pPr>
            <w:r>
              <w:rPr>
                <w:rFonts w:ascii="仿宋_GB2312" w:hAnsi="仿宋_GB2312" w:cs="仿宋_GB2312" w:eastAsia="仿宋_GB2312"/>
                <w:sz w:val="18"/>
              </w:rPr>
              <w:t>（</w:t>
            </w:r>
            <w:r>
              <w:rPr>
                <w:rFonts w:ascii="仿宋_GB2312" w:hAnsi="仿宋_GB2312" w:cs="仿宋_GB2312" w:eastAsia="仿宋_GB2312"/>
                <w:sz w:val="18"/>
              </w:rPr>
              <w:t>五</w:t>
            </w:r>
            <w:r>
              <w:rPr>
                <w:rFonts w:ascii="仿宋_GB2312" w:hAnsi="仿宋_GB2312" w:cs="仿宋_GB2312" w:eastAsia="仿宋_GB2312"/>
                <w:sz w:val="18"/>
              </w:rPr>
              <w:t>）位置要求：</w:t>
            </w:r>
          </w:p>
          <w:p>
            <w:pPr>
              <w:pStyle w:val="null3"/>
              <w:ind w:firstLine="560"/>
              <w:jc w:val="both"/>
            </w:pPr>
            <w:r>
              <w:rPr>
                <w:rFonts w:ascii="仿宋_GB2312" w:hAnsi="仿宋_GB2312" w:cs="仿宋_GB2312" w:eastAsia="仿宋_GB2312"/>
                <w:sz w:val="18"/>
                <w:b/>
              </w:rPr>
              <w:t>因采购人车辆属大型车辆，按西安市公安局交警支队的有关规定要求只能在批准的规定线路内行驶，因此要求投标服务商必须位于大兴西路、西三环高架快速干道以北的西三环附近，方圆十公里范围内。避免采购人车辆在送修途中带来不必要的交通违章。</w:t>
            </w:r>
          </w:p>
          <w:p>
            <w:pPr>
              <w:pStyle w:val="null3"/>
              <w:jc w:val="both"/>
            </w:pPr>
            <w:r>
              <w:rPr>
                <w:rFonts w:ascii="仿宋_GB2312" w:hAnsi="仿宋_GB2312" w:cs="仿宋_GB2312" w:eastAsia="仿宋_GB2312"/>
                <w:sz w:val="18"/>
                <w:b/>
              </w:rPr>
              <w:t>五、服务要求（维修保养）</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必须在确保安全第一、熟悉车辆性能的情况下维修，维修过程需拍照留档，所更换的配件需拍新、旧对比照片存档并上报。</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车辆上装液压系统及转运箱体，一般故障必须随叫随到排除故障，工时不超过一个工作日，疑难特殊故障需本站领导和维修厂协调解决，维修时间不超过三个工作日</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维修车辆所使用的零配件要使用正厂配件，车辆上装液压及转运箱体配件由重庆耐德新明和工业有限公司直接发货，确因特殊情况需使用专厂品牌件，应事先告知送修单位并做好记录，在取得同意并保证车辆能正常安全行驶的情况下，方可使用，但车辆上装液压及转运箱体的关键部位如</w:t>
            </w:r>
            <w:r>
              <w:rPr>
                <w:rFonts w:ascii="仿宋_GB2312" w:hAnsi="仿宋_GB2312" w:cs="仿宋_GB2312" w:eastAsia="仿宋_GB2312"/>
                <w:sz w:val="18"/>
              </w:rPr>
              <w:t>:液压泵、油缸、阀体、控制器、液压系统等关键部位禁止使用副厂零配件。</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维修上装液压系统过程中需做好其他部件防护措施例如：</w:t>
            </w:r>
          </w:p>
          <w:p>
            <w:pPr>
              <w:pStyle w:val="null3"/>
              <w:ind w:firstLine="560"/>
              <w:jc w:val="both"/>
            </w:pPr>
            <w:r>
              <w:rPr>
                <w:rFonts w:ascii="仿宋_GB2312" w:hAnsi="仿宋_GB2312" w:cs="仿宋_GB2312" w:eastAsia="仿宋_GB2312"/>
                <w:sz w:val="18"/>
              </w:rPr>
              <w:t>①多路阀漏油更换密封，需将液压柱塞用棉布包裹好，避免碰伤。</w:t>
            </w:r>
          </w:p>
          <w:p>
            <w:pPr>
              <w:pStyle w:val="null3"/>
              <w:ind w:firstLine="560"/>
              <w:jc w:val="both"/>
            </w:pPr>
            <w:r>
              <w:rPr>
                <w:rFonts w:ascii="仿宋_GB2312" w:hAnsi="仿宋_GB2312" w:cs="仿宋_GB2312" w:eastAsia="仿宋_GB2312"/>
                <w:sz w:val="18"/>
              </w:rPr>
              <w:t>②液压油缸漏油更换密封，需将油缸芯放在软垫子上火木板上，避免碰伤。</w:t>
            </w:r>
          </w:p>
          <w:p>
            <w:pPr>
              <w:pStyle w:val="null3"/>
              <w:ind w:firstLine="560"/>
              <w:jc w:val="both"/>
            </w:pPr>
            <w:r>
              <w:rPr>
                <w:rFonts w:ascii="仿宋_GB2312" w:hAnsi="仿宋_GB2312" w:cs="仿宋_GB2312" w:eastAsia="仿宋_GB2312"/>
                <w:sz w:val="18"/>
              </w:rPr>
              <w:t>5.</w:t>
            </w:r>
            <w:r>
              <w:rPr>
                <w:rFonts w:ascii="仿宋_GB2312" w:hAnsi="仿宋_GB2312" w:cs="仿宋_GB2312" w:eastAsia="仿宋_GB2312"/>
                <w:sz w:val="18"/>
              </w:rPr>
              <w:t>在上装操作过程中做好每根线束的包裹固定，以免在使用过程中磨损、搭铁造成其他故障。</w:t>
            </w:r>
          </w:p>
          <w:p>
            <w:pPr>
              <w:pStyle w:val="null3"/>
              <w:ind w:firstLine="560"/>
              <w:jc w:val="both"/>
            </w:pPr>
            <w:r>
              <w:rPr>
                <w:rFonts w:ascii="仿宋_GB2312" w:hAnsi="仿宋_GB2312" w:cs="仿宋_GB2312" w:eastAsia="仿宋_GB2312"/>
                <w:sz w:val="18"/>
              </w:rPr>
              <w:t>6.</w:t>
            </w:r>
            <w:r>
              <w:rPr>
                <w:rFonts w:ascii="仿宋_GB2312" w:hAnsi="仿宋_GB2312" w:cs="仿宋_GB2312" w:eastAsia="仿宋_GB2312"/>
                <w:sz w:val="18"/>
              </w:rPr>
              <w:t>车辆在行驶途中出现故障，需要外出救援时第一时间救援。</w:t>
            </w:r>
          </w:p>
          <w:p>
            <w:pPr>
              <w:pStyle w:val="null3"/>
              <w:ind w:firstLine="560"/>
              <w:jc w:val="both"/>
            </w:pPr>
            <w:r>
              <w:rPr>
                <w:rFonts w:ascii="仿宋_GB2312" w:hAnsi="仿宋_GB2312" w:cs="仿宋_GB2312" w:eastAsia="仿宋_GB2312"/>
                <w:sz w:val="18"/>
              </w:rPr>
              <w:t>7.</w:t>
            </w:r>
            <w:r>
              <w:rPr>
                <w:rFonts w:ascii="仿宋_GB2312" w:hAnsi="仿宋_GB2312" w:cs="仿宋_GB2312" w:eastAsia="仿宋_GB2312"/>
                <w:sz w:val="18"/>
              </w:rPr>
              <w:t>车辆液压系统、上装系统、箱体维修完成后，需及时清理在维修过程中产生的垃圾，保持车辆及地面卫生干净。</w:t>
            </w:r>
          </w:p>
          <w:p>
            <w:pPr>
              <w:pStyle w:val="null3"/>
              <w:ind w:firstLine="560"/>
              <w:jc w:val="both"/>
            </w:pPr>
            <w:r>
              <w:rPr>
                <w:rFonts w:ascii="仿宋_GB2312" w:hAnsi="仿宋_GB2312" w:cs="仿宋_GB2312" w:eastAsia="仿宋_GB2312"/>
                <w:sz w:val="18"/>
              </w:rPr>
              <w:t>8.</w:t>
            </w:r>
            <w:r>
              <w:rPr>
                <w:rFonts w:ascii="仿宋_GB2312" w:hAnsi="仿宋_GB2312" w:cs="仿宋_GB2312" w:eastAsia="仿宋_GB2312"/>
                <w:sz w:val="18"/>
              </w:rPr>
              <w:t>应保证采购人获得优先服务的权利，并在不超过承诺的维修期限内完成维修工作。</w:t>
            </w:r>
          </w:p>
          <w:p>
            <w:pPr>
              <w:pStyle w:val="null3"/>
              <w:jc w:val="both"/>
            </w:pPr>
            <w:r>
              <w:rPr>
                <w:rFonts w:ascii="仿宋_GB2312" w:hAnsi="仿宋_GB2312" w:cs="仿宋_GB2312" w:eastAsia="仿宋_GB2312"/>
                <w:sz w:val="18"/>
                <w:b/>
              </w:rPr>
              <w:t>六</w:t>
            </w:r>
            <w:r>
              <w:rPr>
                <w:rFonts w:ascii="仿宋_GB2312" w:hAnsi="仿宋_GB2312" w:cs="仿宋_GB2312" w:eastAsia="仿宋_GB2312"/>
                <w:sz w:val="18"/>
                <w:b/>
              </w:rPr>
              <w:t>、其他</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结算时按照维保事项及其成交单价，以实际产生的维修保养费用据实结算。</w:t>
            </w:r>
          </w:p>
          <w:p>
            <w:pPr>
              <w:pStyle w:val="null3"/>
              <w:ind w:firstLine="560"/>
              <w:jc w:val="both"/>
            </w:pPr>
            <w:r>
              <w:rPr>
                <w:rFonts w:ascii="仿宋_GB2312" w:hAnsi="仿宋_GB2312" w:cs="仿宋_GB2312" w:eastAsia="仿宋_GB2312"/>
                <w:sz w:val="18"/>
              </w:rPr>
              <w:t>2.供应商须在采购人现场长期派驻一名专职驻站人员，负责处理日常维修相关事宜。</w:t>
            </w:r>
          </w:p>
          <w:p>
            <w:pPr>
              <w:pStyle w:val="null3"/>
              <w:ind w:firstLine="560"/>
              <w:jc w:val="both"/>
            </w:pPr>
            <w:r>
              <w:rPr>
                <w:rFonts w:ascii="仿宋_GB2312" w:hAnsi="仿宋_GB2312" w:cs="仿宋_GB2312" w:eastAsia="仿宋_GB2312"/>
                <w:sz w:val="18"/>
              </w:rPr>
              <w:t>3.供应商服务场所至采购人地址的距离≤10 公里。</w:t>
            </w:r>
          </w:p>
          <w:p>
            <w:pPr>
              <w:pStyle w:val="null3"/>
              <w:ind w:firstLine="560"/>
              <w:jc w:val="both"/>
            </w:pPr>
            <w:r>
              <w:rPr>
                <w:rFonts w:ascii="仿宋_GB2312" w:hAnsi="仿宋_GB2312" w:cs="仿宋_GB2312" w:eastAsia="仿宋_GB2312"/>
                <w:sz w:val="18"/>
              </w:rPr>
              <w:t>4.供应商须具备面积 3000 平方米以上的固定服务场所，且常备相关配件库存，满足服务保障需求。</w:t>
            </w:r>
          </w:p>
          <w:p>
            <w:pPr>
              <w:pStyle w:val="null3"/>
            </w:pPr>
            <w:r>
              <w:rPr>
                <w:rFonts w:ascii="仿宋_GB2312" w:hAnsi="仿宋_GB2312" w:cs="仿宋_GB2312" w:eastAsia="仿宋_GB2312"/>
                <w:sz w:val="18"/>
              </w:rPr>
              <w:t>5.采购人如需增加分项报价表以外的清单内容，成交供应商应无条件配合，相关配件材料费按市场价格进行结算。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1.结算时按照维保事项及其成交单价，以实际产生的维修保养费用来据实结算。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项目验收合格，甲方收到增值税普通发票后，据实结算</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1.其他未列明行业。从业人员300人以下的为中小微型企业。其中，从业人员100人及以上的为中型企业；从业人员10人及以上的为⼩型企业；从业人员10人以下的为微型企业。 2.各供应商二次报价时除在系统填报投标总价外，同时须将加盖公章的二次分项报价明细表发送至指定邮箱（1449979615@qq.com），成交供应商提供的二次分项报价明细表后期不作调整。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须具有《机动车维修经营备案表》：供应商应出合格有效期的《机动车维修经营备案表》；供应商需在项目电子化交易系统中按要求上传相应证明文件并进行电子签章。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行业主管部门核发的二类及以上汽车整车维修资质证书并年检合格，经营范围必须是大型汽车：具有行业主管部门核发的二类及以上汽车整车维修资质证书并年检合格，经营范围必须是大型汽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中小企业声明函 供应商应提交的相关资格证明材料 报价表 磋商响应方案说明书.docx 响应文件封面 分项报价表.docx 残疾人福利性单位声明函 技术响应表.docx 标的清单 供应商资格证明文件.docx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完整无缺项，未超过最高限价，无选择性报价。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中小企业声明函 供应商应提交的相关资格证明材料 报价表 磋商响应方案说明书.docx 响应文件封面 分项报价表.docx 残疾人福利性单位声明函 技术响应表.docx 标的清单 供应商资格证明文件.docx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中小企业声明函 供应商应提交的相关资格证明材料 报价表 磋商响应方案说明书.docx 响应文件封面 分项报价表.docx 残疾人福利性单位声明函 技术响应表.docx 标的清单 供应商资格证明文件.docx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中小企业声明函 供应商应提交的相关资格证明材料 报价表 磋商响应方案说明书.docx 响应文件封面 分项报价表.docx 残疾人福利性单位声明函 技术响应表.docx 标的清单 供应商资格证明文件.docx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响应文件封面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符合磋商文件的所有实质性要求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中小企业声明函 供应商应提交的相关资格证明材料 报价表 磋商响应方案说明书.docx 响应文件封面 分项报价表.docx 残疾人福利性单位声明函 技术响应表.docx 标的清单 供应商资格证明文件.docx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供应商按照采购文件要求上传磋商响应文件</w:t>
            </w:r>
          </w:p>
        </w:tc>
        <w:tc>
          <w:tcPr>
            <w:tcW w:type="dxa" w:w="1661"/>
          </w:tcPr>
          <w:p>
            <w:pPr>
              <w:pStyle w:val="null3"/>
            </w:pPr>
            <w:r>
              <w:rPr>
                <w:rFonts w:ascii="仿宋_GB2312" w:hAnsi="仿宋_GB2312" w:cs="仿宋_GB2312" w:eastAsia="仿宋_GB2312"/>
              </w:rPr>
              <w:t>中小企业声明函 供应商应提交的相关资格证明材料 报价表 磋商响应方案说明书.docx 响应文件封面 分项报价表.docx 残疾人福利性单位声明函 技术响应表.docx 标的清单 供应商资格证明文件.docx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供应商针对本项目编制完善的服务方案，内容包含:①计划安排；②配件保障；③工作流程；④实施步骤；⑤工作制度。 二、评审标准 1、完整性:方案必须全面，对评审内容中的各项要求有详细描述: 2、可实施性:切合本项目实际情况，提出步骤清晰、合理的方案; 3、针对性:方案能够紧扣项目实际情况，内容科学合理。 三、赋分标准(满分30分) ①计划安排:每完全满足一个评审标准得2分，满分6分; ②配件保障:每完全满足一个评审标准得2分，满分6分; ③工作流程:每完全满足一个评审标准得2分，满分6分。 ④实施步骤:每完全满足一个评审标准得2分，满分6分。 ⑤工作制度:每完全满足一个评审标准得2分，满分6分。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供应商针对本项目编制完善的服务质量保障措施，内容包含:①质量控制措施；②服务进度保证措施；③确保质量的技术组织措施。 二、评审标准 1、完整性:方案必须全面，对评审内容中的各项要求有详细描述: 2、可实施性:切合本项目实际情况，提出步骤清晰、合理的方案; 3、针对性:方案能够紧扣项目实际情况，内容科学合理。 三、赋分标准(满分18分) ①质量控制措施:每完全满足一个评审标准得2分，满分6分; ②服务进度保证措施:每完全满足一个评审标准得2分，满分6分; ③确保质量的技术组织措施：:每完全满足一个评审标准得2分，满分6分。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 ，内容包含:①项目组织构架；②岗位分工及责任制度（司机有休息室）；③人员管理制度； 二、评审标准 1、完整性:方案必须全面，对评审内容中的各项要求有详细描述: 2、可实施性:切合本项目实际情况，提出步骤清晰、合理的方案; 3、针对性:方案能够紧扣项目实际情况，内容科学合理。 三、赋分标准(满分18分) ①项目组织构架:每完全满足一个评审标准得2分，满分6分; ②岗位分工及责任制度:每完全满足一个评审标准得2分，满分6分; ③人员管理制度:每完全满足一个评审标准得2分，满分6分。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一、评审内容 供应商针对本项目编制完善的突发事件处理方案 ，内容包含:①应急预案；②应急保证措施； 二、评审标准 1、完整性:方案必须全面，对评审内容中的各项要求有详细描述: 2、可实施性:切合本项目实际情况，提出步骤清晰、合理的方案; 3、针对性:方案能够紧扣项目实际情况，内容科学合理。 三、赋分标准(满分12分) ①应急预案:每完全满足一个评审标准得2分，满分6分; ②应急保证措施:每完全满足一个评审标准得2分，满分6分。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供应商针对本项目编制完善的服务承诺，内容包含:①承诺完全配合采购人的工作，确保人员的社保及相关费用准时准确按期缴纳；②保证所用配件是符合国家质量标准； 二、评审标准 1、完整性:方案必须全面，对评审内容中的各项要求有详细描述: 2、可实施性:切合本项目实际情况，提出步骤清晰、合理的方案; 3、针对性:方案能够紧扣项目实际情况，内容科学合理。 三、赋分标准(满分6分) ①承诺完全配合采购人的工作，确保人员的社保及相关费用准时准确按期缴纳:每完全满足一个评审标准得1分，满分3分; ②保证所用配件是符合国家质量标准:每完全满足一个评审标准得1分，满分3分。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供应商提供2023年1月至今（以合同签订日期为准）类似项目业绩，以合同复印件为准，每一份计2分，最多计6分。二、评审标准： 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 号）的有关规定：价格分采用低价优先法计算，即满足磋商文件要求且磋商报价最低的磋商报价为评审基准价，其价格分为满分。其他供应商的价格分统一按照下列公式计算： 磋商报价得分=（评审基准价/磋商报价）×价格权值10%×100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