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版本号：SXXH2026-02620260811002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省体育训练中心园区中央空调主机更换维修工程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SXXH2026-026</w:t>
      </w:r>
      <w:r>
        <w:br/>
      </w:r>
      <w:r>
        <w:br/>
      </w:r>
      <w:r>
        <w:br/>
      </w:r>
    </w:p>
    <w:p>
      <w:pPr>
        <w:pStyle w:val="null3"/>
        <w:jc w:val="center"/>
        <w:outlineLvl w:val="2"/>
      </w:pPr>
      <w:r>
        <w:rPr>
          <w:rFonts w:ascii="仿宋_GB2312" w:hAnsi="仿宋_GB2312" w:cs="仿宋_GB2312" w:eastAsia="仿宋_GB2312"/>
          <w:sz w:val="28"/>
          <w:b/>
        </w:rPr>
        <w:t>陕西省体育训练中心</w:t>
      </w:r>
    </w:p>
    <w:p>
      <w:pPr>
        <w:pStyle w:val="null3"/>
        <w:jc w:val="center"/>
        <w:outlineLvl w:val="2"/>
      </w:pPr>
      <w:r>
        <w:rPr>
          <w:rFonts w:ascii="仿宋_GB2312" w:hAnsi="仿宋_GB2312" w:cs="仿宋_GB2312" w:eastAsia="仿宋_GB2312"/>
          <w:sz w:val="28"/>
          <w:b/>
        </w:rPr>
        <w:t>陕西鑫合项目管理有限责任公司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陕西鑫合项目管理有限责任公司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陕西省体育训练中心</w:t>
      </w:r>
      <w:r>
        <w:rPr>
          <w:rFonts w:ascii="仿宋_GB2312" w:hAnsi="仿宋_GB2312" w:cs="仿宋_GB2312" w:eastAsia="仿宋_GB2312"/>
        </w:rPr>
        <w:t>委托，拟对</w:t>
      </w:r>
      <w:r>
        <w:rPr>
          <w:rFonts w:ascii="仿宋_GB2312" w:hAnsi="仿宋_GB2312" w:cs="仿宋_GB2312" w:eastAsia="仿宋_GB2312"/>
        </w:rPr>
        <w:t>省体育训练中心园区中央空调主机更换维修工程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SXXH2026-026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省体育训练中心园区中央空调主机更换维修工程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主要维修改造内容：拆除原有螺杆式水冷机组3台及基础，新做机组基础，更换 变频式螺杆机水冷机组3台，根据主机规格改造部分水泵循环设 备及电源电缆。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采购包1（省体育训练中心园区中央空调主机更换维修工程）：属于专门面向中小企业采购。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供应商为具有独立承担民事责任能力的法人、其他组织或自然人：企业法人应提供合法有效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3、财务状况报告：提供审计事务所出具的2024年度或2025年度的财务报告，包括 “四表一注”（即资产负债表、利润表、现金流量表、所有者权益变动表（若有）及其附注，成立时间至提交响应文件截止时间不足一年的可提供成立后任意时段的资产负债表）或在磋商日期前六个月内其开户银行出具的资信证明，以上两种形式的资料提供任何一种即可（分支机构如无法提供财务审计报告，须出具包含分支机构的财务数据的总公司财务审计报告）；事业单位零余额账户提供相应证明或承诺。</w:t>
      </w:r>
    </w:p>
    <w:p>
      <w:pPr>
        <w:pStyle w:val="null3"/>
      </w:pPr>
      <w:r>
        <w:rPr>
          <w:rFonts w:ascii="仿宋_GB2312" w:hAnsi="仿宋_GB2312" w:cs="仿宋_GB2312" w:eastAsia="仿宋_GB2312"/>
        </w:rPr>
        <w:t>4、税收缴纳证明：提供磋商前6个月以来已缴纳任意时段的完税凭证或税务机关开具的完税证明（任意税种），纳税证明或完税证明上应有代收机构或税务机关的公章或专用章，依法免税的投标人应提供相关文件证明。</w:t>
      </w:r>
    </w:p>
    <w:p>
      <w:pPr>
        <w:pStyle w:val="null3"/>
      </w:pPr>
      <w:r>
        <w:rPr>
          <w:rFonts w:ascii="仿宋_GB2312" w:hAnsi="仿宋_GB2312" w:cs="仿宋_GB2312" w:eastAsia="仿宋_GB2312"/>
        </w:rPr>
        <w:t>5、社会保障资金缴纳证明：提供磋商前6个月以来已缴纳任意时段的社会保障资金缴存单据或社保机构开具的社会保险参保缴费情况证明，单据或证明上应有社保机构或代收机构的公章或专用章；依法不需要缴纳社会保障资金的投标人应提供相关文件证明。</w:t>
      </w:r>
    </w:p>
    <w:p>
      <w:pPr>
        <w:pStyle w:val="null3"/>
      </w:pPr>
      <w:r>
        <w:rPr>
          <w:rFonts w:ascii="仿宋_GB2312" w:hAnsi="仿宋_GB2312" w:cs="仿宋_GB2312" w:eastAsia="仿宋_GB2312"/>
        </w:rPr>
        <w:t>6、提供具有履行本合同所必需的设备和专业技术能力的说明及承诺：提供具有履行本合同所必需的设备和专业技术能力的说明及承诺（提供书面说明承诺，加盖供应商公章）。</w:t>
      </w:r>
    </w:p>
    <w:p>
      <w:pPr>
        <w:pStyle w:val="null3"/>
      </w:pPr>
      <w:r>
        <w:rPr>
          <w:rFonts w:ascii="仿宋_GB2312" w:hAnsi="仿宋_GB2312" w:cs="仿宋_GB2312" w:eastAsia="仿宋_GB2312"/>
        </w:rPr>
        <w:t>7、提供参加政府采购活动前三年内在经营活动中没有重大违法记录的书面声明：提供参加政府采购活动前三年内在经营活动中没有重大违法记录的书面声明（提供书面声明，加盖供应商公章）。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8、施工资质：供应商应具备中华人民共和国住房和城乡建设部颁发的机电工程施工总承包二级（含二级）以上资质或建筑机电安装工程专业承包二级（含二级）以上资质，同时具备有效的安全生产许可证。</w:t>
      </w:r>
    </w:p>
    <w:p>
      <w:pPr>
        <w:pStyle w:val="null3"/>
      </w:pPr>
      <w:r>
        <w:rPr>
          <w:rFonts w:ascii="仿宋_GB2312" w:hAnsi="仿宋_GB2312" w:cs="仿宋_GB2312" w:eastAsia="仿宋_GB2312"/>
        </w:rPr>
        <w:t>9、拟派项目负责人：拟派项目负责人须具备机电安装专业二级（含二级）以上注册建造师证书，同时具有有效的安全生产考核合格证（B证），且无其他在建工程（提供无在建工程承诺）。</w:t>
      </w:r>
    </w:p>
    <w:p>
      <w:pPr>
        <w:pStyle w:val="null3"/>
      </w:pPr>
      <w:r>
        <w:rPr>
          <w:rFonts w:ascii="仿宋_GB2312" w:hAnsi="仿宋_GB2312" w:cs="仿宋_GB2312" w:eastAsia="仿宋_GB2312"/>
        </w:rPr>
        <w:t>10、陕西省建筑市场监管与诚信信息发布平台：供应商及供应商拟派项目负责人须在“陕西省建筑市场监管与诚信信息发布平台”可查询（附查询结果截图）。</w:t>
      </w:r>
    </w:p>
    <w:p>
      <w:pPr>
        <w:pStyle w:val="null3"/>
      </w:pPr>
      <w:r>
        <w:rPr>
          <w:rFonts w:ascii="仿宋_GB2312" w:hAnsi="仿宋_GB2312" w:cs="仿宋_GB2312" w:eastAsia="仿宋_GB2312"/>
        </w:rPr>
        <w:t>11、供应商信誉要求：不得为“信用中国”网站(http://ww w.creditchina.gov.cn)列入“失信被执行人、重大税收违法失 信主体 、政府采购严重违法失信行为记录名单”的供应商；不得为中国政府采购网(http://w ww.cc gp.gov.cn)“政府采购严重违法失信行为 记录名单”中的供应商。</w:t>
      </w:r>
    </w:p>
    <w:p>
      <w:pPr>
        <w:pStyle w:val="null3"/>
      </w:pPr>
      <w:r>
        <w:rPr>
          <w:rFonts w:ascii="仿宋_GB2312" w:hAnsi="仿宋_GB2312" w:cs="仿宋_GB2312" w:eastAsia="仿宋_GB2312"/>
        </w:rPr>
        <w:t>12、联合体投标，分包：本项目不接受联合体投标，不允许分包。供应商应提供《非联合体不分包投标声明》。</w:t>
      </w:r>
    </w:p>
    <w:p>
      <w:pPr>
        <w:pStyle w:val="null3"/>
      </w:pPr>
      <w:r>
        <w:rPr>
          <w:rFonts w:ascii="仿宋_GB2312" w:hAnsi="仿宋_GB2312" w:cs="仿宋_GB2312" w:eastAsia="仿宋_GB2312"/>
        </w:rPr>
        <w:t>13、磋商保证金：供应商按磋商文件要求递交磋商保证金</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陕西省体育训练中心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西安市丈八东路303号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029-88586741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陕西鑫合项目管理有限责任公司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西安市雁塔区西部国际广场A座21楼2101-6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张克娜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19209186908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采购包1：2,250,871.58元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开户名称：陕西鑫合项目管理有限责任公司</w:t>
            </w:r>
          </w:p>
          <w:p>
            <w:pPr>
              <w:pStyle w:val="null3"/>
            </w:pPr>
            <w:r>
              <w:rPr>
                <w:rFonts w:ascii="仿宋_GB2312" w:hAnsi="仿宋_GB2312" w:cs="仿宋_GB2312" w:eastAsia="仿宋_GB2312"/>
              </w:rPr>
              <w:t>开户银行：中国银行股份有限公司西安经济技术开发区支行</w:t>
            </w:r>
          </w:p>
          <w:p>
            <w:pPr>
              <w:pStyle w:val="null3"/>
            </w:pPr>
            <w:r>
              <w:rPr>
                <w:rFonts w:ascii="仿宋_GB2312" w:hAnsi="仿宋_GB2312" w:cs="仿宋_GB2312" w:eastAsia="仿宋_GB2312"/>
              </w:rPr>
              <w:t>银行账号：103249166702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说明：合同签署后，乙方应在7天内向甲方指定的账户缴纳履约保证金，项目验收合格后履约保证金转为质保金，在国家规定的质保期限（2年）结束后，无工程质量争议予以无息退还。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代理服务费收费标准：1、成交人在领取《成交通知书》之前，应向采购代理机构缴纳招标代理服务费。 2、招标代理服务费依据《国家计委关于印发招标代理服务收费管理暂行办法的通知》（计价格【2002】1980号）和国家发改委办公厅颁发的《关于招标代理服务收费有关问题的通知》（发改办价格【2003】857号）文件规定标准收取。具体收费金额将在中标公告中公布。</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踏勘时间：2026-08-10 09:00:00</w:t>
            </w:r>
          </w:p>
          <w:p>
            <w:pPr>
              <w:pStyle w:val="null3"/>
              <w:ind w:firstLine="975"/>
            </w:pPr>
            <w:r>
              <w:rPr>
                <w:rFonts w:ascii="仿宋_GB2312" w:hAnsi="仿宋_GB2312" w:cs="仿宋_GB2312" w:eastAsia="仿宋_GB2312"/>
              </w:rPr>
              <w:t>踏勘地点：陕西省体育训练中心</w:t>
            </w:r>
          </w:p>
          <w:p>
            <w:pPr>
              <w:pStyle w:val="null3"/>
              <w:ind w:firstLine="975"/>
            </w:pPr>
            <w:r>
              <w:rPr>
                <w:rFonts w:ascii="仿宋_GB2312" w:hAnsi="仿宋_GB2312" w:cs="仿宋_GB2312" w:eastAsia="仿宋_GB2312"/>
              </w:rPr>
              <w:t>联系人：崔工/张工</w:t>
            </w:r>
          </w:p>
          <w:p>
            <w:pPr>
              <w:pStyle w:val="null3"/>
              <w:ind w:firstLine="975"/>
            </w:pPr>
            <w:r>
              <w:rPr>
                <w:rFonts w:ascii="仿宋_GB2312" w:hAnsi="仿宋_GB2312" w:cs="仿宋_GB2312" w:eastAsia="仿宋_GB2312"/>
              </w:rPr>
              <w:t>联系电话号码：19209186908/19502905869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陕西省体育训练中心</w:t>
      </w:r>
      <w:r>
        <w:rPr>
          <w:rFonts w:ascii="仿宋_GB2312" w:hAnsi="仿宋_GB2312" w:cs="仿宋_GB2312" w:eastAsia="仿宋_GB2312"/>
        </w:rPr>
        <w:t>和</w:t>
      </w:r>
      <w:r>
        <w:rPr>
          <w:rFonts w:ascii="仿宋_GB2312" w:hAnsi="仿宋_GB2312" w:cs="仿宋_GB2312" w:eastAsia="仿宋_GB2312"/>
        </w:rPr>
        <w:t>陕西鑫合项目管理有限责任公司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陕西省体育训练中心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陕西鑫合项目管理有限责任公司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陕西省体育训练中心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陕西鑫合项目管理有限责任公司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陕西鑫合项目管理有限责任公司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陕西鑫合项目管理有限责任公司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陕西鑫合项目管理有限责任公司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联系人：张克娜</w:t>
      </w:r>
    </w:p>
    <w:p>
      <w:pPr>
        <w:pStyle w:val="null3"/>
      </w:pPr>
      <w:r>
        <w:rPr>
          <w:rFonts w:ascii="仿宋_GB2312" w:hAnsi="仿宋_GB2312" w:cs="仿宋_GB2312" w:eastAsia="仿宋_GB2312"/>
        </w:rPr>
        <w:t>联系电话：19209186908</w:t>
      </w:r>
    </w:p>
    <w:p>
      <w:pPr>
        <w:pStyle w:val="null3"/>
      </w:pPr>
      <w:r>
        <w:rPr>
          <w:rFonts w:ascii="仿宋_GB2312" w:hAnsi="仿宋_GB2312" w:cs="仿宋_GB2312" w:eastAsia="仿宋_GB2312"/>
        </w:rPr>
        <w:t>地址：西安市雁塔区西部国际⼴场A座21楼2101-6</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2,250,871.58</w:t>
      </w:r>
    </w:p>
    <w:p>
      <w:pPr>
        <w:pStyle w:val="null3"/>
      </w:pPr>
      <w:r>
        <w:rPr>
          <w:rFonts w:ascii="仿宋_GB2312" w:hAnsi="仿宋_GB2312" w:cs="仿宋_GB2312" w:eastAsia="仿宋_GB2312"/>
        </w:rPr>
        <w:t>采购包最高限价（元）: 2,250,871.58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省体育训练中心园区中央空调主机更换维修工程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2,250,871.58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标的名称：省体育训练中心园区中央空调主机更换维修工程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①制冷性能参数：额定制冷量≥设计制冷量</w:t>
            </w:r>
            <w:r>
              <w:rPr>
                <w:rFonts w:ascii="仿宋_GB2312" w:hAnsi="仿宋_GB2312" w:cs="仿宋_GB2312" w:eastAsia="仿宋_GB2312"/>
              </w:rPr>
              <w:t>（</w:t>
            </w:r>
            <w:r>
              <w:rPr>
                <w:rFonts w:ascii="仿宋_GB2312" w:hAnsi="仿宋_GB2312" w:cs="仿宋_GB2312" w:eastAsia="仿宋_GB2312"/>
              </w:rPr>
              <w:t>冷却水进口温度</w:t>
            </w:r>
            <w:r>
              <w:rPr>
                <w:rFonts w:ascii="仿宋_GB2312" w:hAnsi="仿宋_GB2312" w:cs="仿宋_GB2312" w:eastAsia="仿宋_GB2312"/>
              </w:rPr>
              <w:t>30℃，冷却水出口温度35℃工况</w:t>
            </w:r>
            <w:r>
              <w:rPr>
                <w:rFonts w:ascii="仿宋_GB2312" w:hAnsi="仿宋_GB2312" w:cs="仿宋_GB2312" w:eastAsia="仿宋_GB2312"/>
              </w:rPr>
              <w:t>）</w:t>
            </w:r>
            <w:r>
              <w:rPr>
                <w:rFonts w:ascii="仿宋_GB2312" w:hAnsi="仿宋_GB2312" w:cs="仿宋_GB2312" w:eastAsia="仿宋_GB2312"/>
              </w:rPr>
              <w:t>、能效等级需满足国家一级能耗标准</w:t>
            </w:r>
            <w:r>
              <w:rPr>
                <w:rFonts w:ascii="仿宋_GB2312" w:hAnsi="仿宋_GB2312" w:cs="仿宋_GB2312" w:eastAsia="仿宋_GB2312"/>
              </w:rPr>
              <w:t>；</w:t>
            </w:r>
          </w:p>
          <w:p>
            <w:pPr>
              <w:pStyle w:val="null3"/>
            </w:pPr>
            <w:r>
              <w:rPr>
                <w:rFonts w:ascii="仿宋_GB2312" w:hAnsi="仿宋_GB2312" w:cs="仿宋_GB2312" w:eastAsia="仿宋_GB2312"/>
              </w:rPr>
              <w:t>②设备运行适配性：主机运行工况适配现有水循环管路、水泵设备参数可兼容原有基础改造结构，适配项目建筑使用环境，支持变负荷调节运行；</w:t>
            </w:r>
          </w:p>
          <w:p>
            <w:pPr>
              <w:pStyle w:val="null3"/>
            </w:pPr>
            <w:r>
              <w:rPr>
                <w:rFonts w:ascii="仿宋_GB2312" w:hAnsi="仿宋_GB2312" w:cs="仿宋_GB2312" w:eastAsia="仿宋_GB2312"/>
              </w:rPr>
              <w:t>③降噪性能：机组运行噪音值、减震降噪配置，具备成熟节能控制技术，满足室内外噪音环保要求；</w:t>
            </w:r>
          </w:p>
          <w:p>
            <w:pPr>
              <w:pStyle w:val="null3"/>
            </w:pPr>
            <w:r>
              <w:rPr>
                <w:rFonts w:ascii="仿宋_GB2312" w:hAnsi="仿宋_GB2312" w:cs="仿宋_GB2312" w:eastAsia="仿宋_GB2312"/>
              </w:rPr>
              <w:t>④</w:t>
            </w:r>
            <w:r>
              <w:rPr>
                <w:rFonts w:ascii="仿宋_GB2312" w:hAnsi="仿宋_GB2312" w:cs="仿宋_GB2312" w:eastAsia="仿宋_GB2312"/>
              </w:rPr>
              <w:t>设备材质与结构性能：主机核心部件（压缩机、换热器、蒸发器、控制系统）材质规格、防腐防锈设计、模块化结构设计，适配长期高频次运行；</w:t>
            </w:r>
          </w:p>
          <w:p>
            <w:pPr>
              <w:pStyle w:val="null3"/>
            </w:pPr>
            <w:r>
              <w:rPr>
                <w:rFonts w:ascii="仿宋_GB2312" w:hAnsi="仿宋_GB2312" w:cs="仿宋_GB2312" w:eastAsia="仿宋_GB2312"/>
              </w:rPr>
              <w:t>★</w:t>
            </w:r>
            <w:r>
              <w:rPr>
                <w:rFonts w:ascii="仿宋_GB2312" w:hAnsi="仿宋_GB2312" w:cs="仿宋_GB2312" w:eastAsia="仿宋_GB2312"/>
              </w:rPr>
              <w:t>⑤</w:t>
            </w:r>
            <w:r>
              <w:rPr>
                <w:rFonts w:ascii="仿宋_GB2312" w:hAnsi="仿宋_GB2312" w:cs="仿宋_GB2312" w:eastAsia="仿宋_GB2312"/>
              </w:rPr>
              <w:t>智能控制与安全性能：</w:t>
            </w:r>
            <w:r>
              <w:rPr>
                <w:rFonts w:ascii="仿宋_GB2312" w:hAnsi="仿宋_GB2312" w:cs="仿宋_GB2312" w:eastAsia="仿宋_GB2312"/>
              </w:rPr>
              <w:t>主机需</w:t>
            </w:r>
            <w:r>
              <w:rPr>
                <w:rFonts w:ascii="仿宋_GB2312" w:hAnsi="仿宋_GB2312" w:cs="仿宋_GB2312" w:eastAsia="仿宋_GB2312"/>
              </w:rPr>
              <w:t>使用标准的</w:t>
            </w:r>
            <w:r>
              <w:rPr>
                <w:rFonts w:ascii="仿宋_GB2312" w:hAnsi="仿宋_GB2312" w:cs="仿宋_GB2312" w:eastAsia="仿宋_GB2312"/>
              </w:rPr>
              <w:t>Modbus/ BACnet/N2通讯协议</w:t>
            </w:r>
            <w:r>
              <w:rPr>
                <w:rFonts w:ascii="仿宋_GB2312" w:hAnsi="仿宋_GB2312" w:cs="仿宋_GB2312" w:eastAsia="仿宋_GB2312"/>
              </w:rPr>
              <w:t>且免费开放</w:t>
            </w:r>
            <w:r>
              <w:rPr>
                <w:rFonts w:ascii="仿宋_GB2312" w:hAnsi="仿宋_GB2312" w:cs="仿宋_GB2312" w:eastAsia="仿宋_GB2312"/>
              </w:rPr>
              <w:t>，</w:t>
            </w:r>
            <w:r>
              <w:rPr>
                <w:rFonts w:ascii="仿宋_GB2312" w:hAnsi="仿宋_GB2312" w:cs="仿宋_GB2312" w:eastAsia="仿宋_GB2312"/>
              </w:rPr>
              <w:t>搭载智能电控系统</w:t>
            </w:r>
            <w:r>
              <w:rPr>
                <w:rFonts w:ascii="仿宋_GB2312" w:hAnsi="仿宋_GB2312" w:cs="仿宋_GB2312" w:eastAsia="仿宋_GB2312"/>
              </w:rPr>
              <w:t>（</w:t>
            </w:r>
            <w:r>
              <w:rPr>
                <w:rFonts w:ascii="仿宋_GB2312" w:hAnsi="仿宋_GB2312" w:cs="仿宋_GB2312" w:eastAsia="仿宋_GB2312"/>
              </w:rPr>
              <w:t>需实现对主机、水泵系统、冷却塔系统的监测控制，实时监控制冷主机、冷却塔、冷冻及冷却水系统状态）。</w:t>
            </w:r>
            <w:r>
              <w:rPr>
                <w:rFonts w:ascii="仿宋_GB2312" w:hAnsi="仿宋_GB2312" w:cs="仿宋_GB2312" w:eastAsia="仿宋_GB2312"/>
              </w:rPr>
              <w:t>具备故障自检、过载保护、高低压保护、远程监控等功能，具备断电重启、防结冰等安全防护机制</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⑥制冷主机整机需采用制造商的产品。</w:t>
            </w:r>
          </w:p>
          <w:p>
            <w:pPr>
              <w:pStyle w:val="null3"/>
            </w:pPr>
            <w:r>
              <w:rPr>
                <w:rFonts w:ascii="仿宋_GB2312" w:hAnsi="仿宋_GB2312" w:cs="仿宋_GB2312" w:eastAsia="仿宋_GB2312"/>
                <w:sz w:val="21"/>
              </w:rPr>
              <w:t>⑦</w:t>
            </w:r>
            <w:r>
              <w:rPr>
                <w:rFonts w:ascii="仿宋_GB2312" w:hAnsi="仿宋_GB2312" w:cs="仿宋_GB2312" w:eastAsia="仿宋_GB2312"/>
                <w:sz w:val="21"/>
              </w:rPr>
              <w:t>质保</w:t>
            </w:r>
            <w:r>
              <w:rPr>
                <w:rFonts w:ascii="仿宋_GB2312" w:hAnsi="仿宋_GB2312" w:cs="仿宋_GB2312" w:eastAsia="仿宋_GB2312"/>
                <w:sz w:val="21"/>
              </w:rPr>
              <w:t>期：</w:t>
            </w:r>
            <w:r>
              <w:rPr>
                <w:rFonts w:ascii="仿宋_GB2312" w:hAnsi="仿宋_GB2312" w:cs="仿宋_GB2312" w:eastAsia="仿宋_GB2312"/>
                <w:sz w:val="21"/>
              </w:rPr>
              <w:t>2年</w:t>
            </w:r>
            <w:r>
              <w:rPr>
                <w:rFonts w:ascii="仿宋_GB2312" w:hAnsi="仿宋_GB2312" w:cs="仿宋_GB2312" w:eastAsia="仿宋_GB2312"/>
                <w:sz w:val="21"/>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严格按照国家、地方及行业相关规范、规程、标准及采购人相关要求执行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1.工期：自进场之日起30个日历日内完成项目全部内容。 2.质保期：两年。 3.工程质量：符合国家、地方及行业相关规范、规程、标准及采购人相关要求。 4.支付方式：（1）合同签订后 7 个工作日内，承包人向发包人缴纳合同固定总价 3% 的履约保证金；发包人收到履约保证金后，开工前7个工作日内支付合同固定总价的 40% 作为工程预付款；（2）设备进场后，支付合同固定总价的 20% 作为工程进度款；（3）工程全部完工，承包人自检合格并提交竣工资料，经发包人、监理联合竣工验收合格后，支付合同固定总价的20% ；（4）完整竣工资料移交完成，双方完成工程结算（仅核算有效书面变更签证），结算审核完毕后30个工作日内，支付至结算价款的100% 。 5.磋商保证金注意事项：（1）磋商保证金须从供应商户名支付，并备注项目编号+保证金，如从个人户名或非供应商户名支付，将被拒绝，视为自动放弃投标权利（该个人是供应商的情形除外）；以保函形式交纳磋商保证金的，供应商应在磋商截止时间前将保函扫描成清晰的PDF文件，发送至邮箱278378391@qq.com（邮件命名：项目编号），并将保函原件单独递交至代理机构财务；供应商应在响应文件中附保函复印件。保函必须由具有开具投标保函资格的单位开具；若供应商违约，开具保函单位承担 连带责任； （2）磋商保证金的提交金额、时间不满足磋商文件要求的，响应无效； （3）磋商保证金以采购代理机构到账凭证为准，供应商无需更换交纳凭证，由采购代理机构统一提供。 （4）未按指定账户提交的，我公司将退回，供应商须在文件递交截止时间前按照指定账户再次提交。6.成交供应商在开标结束后3个工作日内向代理机构提供纸质版投标文件，投标文件为正本一份，副本二份，电子U盘二份 （U盘内容包括Word版本、签字盖章扫描后的PDF版本投标文件）。纸质投标文件均须A4纸打印，分别各自装订成册并编制目录和页码。与电子竞争性磋商响应文件一致的签字、盖章的完整版本。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资格证明文件其他格式.docx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资格证明文件其他格式.docx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提供审计事务所出具的2024年度或2025年度的财务报告，包括 “四表一注”（即资产负债表、利润表、现金流量表、所有者权益变动表（若有）及其附注，成立时间至提交响应文件截止时间不足一年的可提供成立后任意时段的资产负债表）或在磋商日期前六个月内其开户银行出具的资信证明，以上两种形式的资料提供任何一种即可（分支机构如无法提供财务审计报告，须出具包含分支机构的财务数据的总公司财务审计报告）；事业单位零余额账户提供相应证明或承诺。</w:t>
            </w:r>
          </w:p>
        </w:tc>
        <w:tc>
          <w:tcPr>
            <w:tcW w:type="dxa" w:w="1661"/>
          </w:tcPr>
          <w:p>
            <w:pPr>
              <w:pStyle w:val="null3"/>
            </w:pPr>
            <w:r>
              <w:rPr>
                <w:rFonts w:ascii="仿宋_GB2312" w:hAnsi="仿宋_GB2312" w:cs="仿宋_GB2312" w:eastAsia="仿宋_GB2312"/>
              </w:rPr>
              <w:t>资格证明文件其他格式.docx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提供磋商前6个月以来已缴纳任意时段的完税凭证或税务机关开具的完税证明（任意税种），纳税证明或完税证明上应有代收机构或税务机关的公章或专用章，依法免税的投标人应提供相关文件证明。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前6个月以来已缴纳任意时段的社会保障资金缴存单据或社保机构开具的社会保险参保缴费情况证明，单据或证明上应有社保机构或代收机构的公章或专用章；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提供具有履行本合同所必需的设备和专业技术能力的说明及承诺（提供书面说明承诺，加盖供应商公章）。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资格证明文件其他格式.docx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供应商应具备中华人民共和国住房和城乡建设部颁发的机电工程施工总承包二级（含二级）以上资质或建筑机电安装工程专业承包二级（含二级）以上资质，同时具备有效的安全生产许可证。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拟派项目负责人须具备机电安装专业二级（含二级）以上注册建造师证书，同时具有有效的安全生产考核合格证（B证），且无其他在建工程（提供无在建工程承诺）。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供应商及供应商拟派项目负责人须在“陕西省建筑市场监管与诚信信息发布平台”可查询（附查询结果截图）。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不得为“信用中国”网站(http://ww w.creditchina.gov.cn)列入“失信被执行人、重大税收违法失 信主体 、政府采购严重违法失信行为记录名单”的供应商；不得为中国政府采购网(http://w ww.cc gp.gov.cn)“政府采购严重违法失信行为 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联合体投标，分包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供应商按磋商文件要求递交磋商保证金</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满足本磋商文件中“三、针对本项目的其他技术服务要求”和“技术参数与性能指标”中加★项要求的</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技术方案及参数证明</w:t>
            </w:r>
          </w:p>
        </w:tc>
        <w:tc>
          <w:tcPr>
            <w:tcW w:type="dxa" w:w="2492"/>
          </w:tcPr>
          <w:p>
            <w:pPr>
              <w:pStyle w:val="null3"/>
            </w:pPr>
            <w:r>
              <w:rPr>
                <w:rFonts w:ascii="仿宋_GB2312" w:hAnsi="仿宋_GB2312" w:cs="仿宋_GB2312" w:eastAsia="仿宋_GB2312"/>
              </w:rPr>
              <w:t>一、评审内容 供应商须根据本项目现场工况、原有水循环系统参数、建筑制冷负荷需求提供完整技术方案，内容包含： ①项目总体实施思路与建设目标； ②现场工况摸排、原有设备拆除及新设备安装全流程梳理； ③中央空调主机更换核心实施路径与作业流程； ④现场部署、设备调试及整体交付方案； ⑤项目全流程合规、风险防控保障方案。 ⑥提供设备厂家授权并加盖厂家公章。 二、评审标准 ①完整性：方案全面覆盖评审内容，章节完整、描述详实、核心要素无缺失，佐证材料齐全； ②可实施性：贴合本园区中央空调现场实际，作业步骤清晰、流程衔接合理，具备落地执行条件； ③针对性：紧扣本项目主机更换施工要求，匹配工程特点与现场环境； ④先进性：符合机电安装国家及行业规范，方案体系科学、经济合理，满足使用及验收标准。 三、赋分标准 赋分标准 以上六项评审内容，前五项满足一项得1.5分，第六项满足得2.5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主机性能指标</w:t>
            </w:r>
          </w:p>
        </w:tc>
        <w:tc>
          <w:tcPr>
            <w:tcW w:type="dxa" w:w="2492"/>
          </w:tcPr>
          <w:p>
            <w:pPr>
              <w:pStyle w:val="null3"/>
            </w:pPr>
            <w:r>
              <w:rPr>
                <w:rFonts w:ascii="仿宋_GB2312" w:hAnsi="仿宋_GB2312" w:cs="仿宋_GB2312" w:eastAsia="仿宋_GB2312"/>
              </w:rPr>
              <w:t>一、评审内容 1、高能效指标佐证材料 ①第三方CMA整机性能检测报告； ②中国能效标识网产品备案查询完整截图； ③有效期内、型号匹配的CQC节能认证证书。 2、国际性能认证佐证材料 AHRI冷水机组认证证书。 3、全年变负荷性能（IPLV）需求 提供制造商盖鲜章的选型单/样册（清晰标注产品型号、额定制冷量、额定 GB IPLV、GB COP 参数），且GB IPLV≥8.3(GB COP不得低于5.5)。 4. 变频运行承诺材料 制造商加盖鲜章的书面承诺函，明确机载变频柜、变频启动、全工况变频运行相关内容。 5.采用环保冷媒R-134A。 ①提供产品型式检验报告（第三方权威检测机构出具），检测项目需明确标注：制冷剂型号为R-134A，报告盖CMA检测章； ②厂家官方产品规格书/技术参数手册（加盖厂家公章），设备技术参数页明确写明制冷介质：R134A。 二、赋分标准 ①高能效指标3分：每提供一项能效佐证材料，得1分，满分3分，未提供不得分； ②国际性能认证2分：提供AHRI有效证书得2分，未提供本项不得分； ③全年变负荷性能（IPLV）需求：GB IPLV≥8.3(GB COP不得低于5.5)，满足需求得3分，不满足需求不得分； ④变频运行承诺1分：提供满足要求的承诺函得1分，未提供或承诺函无厂家盖章，本项不得分； ⑤采用环保冷媒R-134A，提供任一种佐证资料得一分，未提供不得分。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安全作业方案及安全配套措施</w:t>
            </w:r>
          </w:p>
        </w:tc>
        <w:tc>
          <w:tcPr>
            <w:tcW w:type="dxa" w:w="2492"/>
          </w:tcPr>
          <w:p>
            <w:pPr>
              <w:pStyle w:val="null3"/>
            </w:pPr>
            <w:r>
              <w:rPr>
                <w:rFonts w:ascii="仿宋_GB2312" w:hAnsi="仿宋_GB2312" w:cs="仿宋_GB2312" w:eastAsia="仿宋_GB2312"/>
              </w:rPr>
              <w:t>一、评审内容 供应商针对本项目编制安全作业方案及配套措施，内容包含： ①施工现场整体安全作业总体方案； ②高空、设备吊装、用电等专项安全作业管控措施； ③施工人员安全防护、岗前交底管理； ④安全隐患排查、应急处置及安全配套保障措施。 二、评审标准 ①完整性：方案全面覆盖评审内容，内容详实、安全管控要素齐全； ②可实施性：贴合机电安装施工现场条件，安全流程清晰、管控节点明确，可落地执行； ③针对性：紧扣中央空调主机更换施工风险点，专项措施匹配现场作业要求； ④先进性：符合建筑施工安全规范，管控体系完善，风险防控全面到位。 三、赋分标准 赋分标准 以上四项评审内容，满足一项得1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环境保护、文明施工措施计划</w:t>
            </w:r>
          </w:p>
        </w:tc>
        <w:tc>
          <w:tcPr>
            <w:tcW w:type="dxa" w:w="2492"/>
          </w:tcPr>
          <w:p>
            <w:pPr>
              <w:pStyle w:val="null3"/>
            </w:pPr>
            <w:r>
              <w:rPr>
                <w:rFonts w:ascii="仿宋_GB2312" w:hAnsi="仿宋_GB2312" w:cs="仿宋_GB2312" w:eastAsia="仿宋_GB2312"/>
              </w:rPr>
              <w:t>一、评审内容 供应商编制环境保护及文明施工措施计划，内容包含： ①施工现场环境保护管控方案； ②扬尘、噪音、固体废弃物等污染防控措施； ③现场场地规划、物料堆放文明管理，施工人员行为规范、现场风貌管理措施。 二、评审标准 ①完整性：计划全面覆盖评审内容，描述详实、管理要素齐全； ②可实施性：结合园区现场环境制定措施，流程清晰、管控方式合理，可落地执行； ③针对性：匹配本项目施工场景，措施贴合体育园区运维及环境管理要求； ④先进性：符合建筑行业环保、文明施工相关规范，管理体系科学合理。 三、赋分标准 赋分标准 以上三项评审内容，满足一项得1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供应商针对本项目制定全流程质量控制措施，内容包含： ①设备进场检验质量管控； ②拆除、安装、调试各工序质量标准与管控要求； ③关键工序旁站、抽检等质量检查机制； ④质量问题整改、复检闭环管理措施。 二、评审标准 ①完整性：措施全面覆盖评审内容，质量管控节点齐全、描述详实； ②可实施性：贴合机电安装工艺要求，管控步骤清晰、执行流程合理； ③针对性：紧扣中央空调主机更换工艺标准，匹配项目验收要求； ④先进性：符合国家机电安装工程质量规范，管控标准严格、体系可靠。 三、赋分标准 赋分标准 以上四项评审内容，满足一项得1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1、项目经理资历： 具有工程类高级及以上职称，职称专业为暖通、制冷、机电、机械、电气、土木工程、建筑工程、市政、给排水、热能动力、工程管理等相关专业，得2分，相关专业中级职称1分，其余不得分。 2、项目经理业绩：2023.7.1日至投标截止日，具有类似项目业绩一份得2分，满分6分。（须提供中标通知书或合同扫描件，及支付凭证（发票）或竣工验收单，并加盖供应商公章） 3、项目技术负责人具备机电安装专业二级（含二级）以上注册建造师证书得2分，不提供不得分。 4、项目组织管理机构及劳动力安排计划： 项目部需配备人员：施工管理、质量、材料、资料管理、造价人员、项目专职安全员，需提供人员简历及相关执业证书/岗位培训证书/相关专业中级及以上技术职称证书；项目专职安全员须提供有效C证。 以上六类人员，每提供一类人员且资料合格有效得1分，满分6分。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 供应商编制施工机械及材料投入计划，内容包含： ①施工机械设备、数量、进场安排； ②项目主要设备、辅材清单及品牌、规格、技术参数； ③分阶段材料采购、进场、存储管理计划； ④机械设备运维、材料质量保障措施。 二、评审标准 ①完整性：计划全面覆盖评审内容，清单、安排、保障要素齐全； ②可实施性：机械、材料配置匹配施工进度，进场计划合理，可落地执行； ③针对性：紧扣本项目主机更换施工内容，选型适配工程需求； ④先进性：设备、材料符合行业标准，选型经济合理、性能可靠。 三、赋分标准 赋分标准以上四项评审内容，满足一项得1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确保工期的技术及组织安排</w:t>
            </w:r>
          </w:p>
        </w:tc>
        <w:tc>
          <w:tcPr>
            <w:tcW w:type="dxa" w:w="2492"/>
          </w:tcPr>
          <w:p>
            <w:pPr>
              <w:pStyle w:val="null3"/>
            </w:pPr>
            <w:r>
              <w:rPr>
                <w:rFonts w:ascii="仿宋_GB2312" w:hAnsi="仿宋_GB2312" w:cs="仿宋_GB2312" w:eastAsia="仿宋_GB2312"/>
              </w:rPr>
              <w:t>一、评审内容 供应商制定工期保障方案，内容包含： ①总工期及分阶段施工进度计划； ②保障工期的专项技术措施； ③人员、机械、物资等组织保障安排； ④工期延误预判及应急纠偏措施。 二、评审标准 ①完整性：方案全面覆盖评审内容，进度、技术、组织、应急要素齐全； ②可实施性：进度排布合理，保障措施清晰，可按期完成施工； ③针对性：结合本项目 30 日历天工期要求制定方案，匹配工程量； ④先进性：工期统筹科学，组织与技术手段高效合规。 三、赋分标准 赋分标准以上四项评审内容，满足一项得1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1、质保期在满足国家要求（2年）的基础上，每增加1年质保期加1分，满分3分。 2、供应商需在投标质保期内每年至少完成1次设备主机维保、清洗，出现制冷系统故障不限频次现场解决问题，提供承诺得2分，未提供的不得分。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7月1日（以合同签订日期为准）至投标截止日止，承担过的类似项目的业绩合同，每提供一份计2分，满分10分。注：（1）响应文件须提供中标通知书或合同扫描件，及支付凭证（发票）或竣工验收单，并加盖投标人公章。（2）证明材料须字迹清晰，如无法辨认或有歧义等情况带来的不利后果由供应商承担。（3）供应商提供虚假材料的，则响应文件无效。已经签订合同的，采购人有权解除合同。由此造成的所有损失，全部由供应商承担。 注：企业业绩与项目负责人业绩可重复计分。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详见附件：资格证明文件其他格式.docx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详见附件：省体育训练中心园区中央空调主机更换项目合同模板7.29(1).docx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