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版本号：SXZTFY-2026-001420260529002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特种专业技术车辆采购项目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SXZTFY-2026-0014</w:t>
      </w:r>
      <w:r>
        <w:br/>
      </w:r>
      <w:r>
        <w:br/>
      </w:r>
      <w:r>
        <w:br/>
      </w:r>
    </w:p>
    <w:p>
      <w:pPr>
        <w:pStyle w:val="null3"/>
        <w:jc w:val="center"/>
        <w:outlineLvl w:val="2"/>
      </w:pPr>
      <w:r>
        <w:rPr>
          <w:rFonts w:ascii="仿宋_GB2312" w:hAnsi="仿宋_GB2312" w:cs="仿宋_GB2312" w:eastAsia="仿宋_GB2312"/>
          <w:sz w:val="28"/>
          <w:b/>
        </w:rPr>
        <w:t>商洛市公安局商州分局</w:t>
      </w:r>
    </w:p>
    <w:p>
      <w:pPr>
        <w:pStyle w:val="null3"/>
        <w:jc w:val="center"/>
        <w:outlineLvl w:val="2"/>
      </w:pPr>
      <w:r>
        <w:rPr>
          <w:rFonts w:ascii="仿宋_GB2312" w:hAnsi="仿宋_GB2312" w:cs="仿宋_GB2312" w:eastAsia="仿宋_GB2312"/>
          <w:sz w:val="28"/>
          <w:b/>
        </w:rPr>
        <w:t>陕西众泰丰源工程项目管理有限公司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陕西众泰丰源工程项目管理有限公司</w:t>
      </w:r>
      <w:r>
        <w:rPr>
          <w:rFonts w:ascii="仿宋_GB2312" w:hAnsi="仿宋_GB2312" w:cs="仿宋_GB2312" w:eastAsia="仿宋_GB2312"/>
        </w:rPr>
        <w:t>（以下简称“代理机构”）受</w:t>
      </w:r>
      <w:r>
        <w:rPr>
          <w:rFonts w:ascii="仿宋_GB2312" w:hAnsi="仿宋_GB2312" w:cs="仿宋_GB2312" w:eastAsia="仿宋_GB2312"/>
        </w:rPr>
        <w:t>商洛市公安局商州分局</w:t>
      </w:r>
      <w:r>
        <w:rPr>
          <w:rFonts w:ascii="仿宋_GB2312" w:hAnsi="仿宋_GB2312" w:cs="仿宋_GB2312" w:eastAsia="仿宋_GB2312"/>
        </w:rPr>
        <w:t>委托，拟对</w:t>
      </w:r>
      <w:r>
        <w:rPr>
          <w:rFonts w:ascii="仿宋_GB2312" w:hAnsi="仿宋_GB2312" w:cs="仿宋_GB2312" w:eastAsia="仿宋_GB2312"/>
        </w:rPr>
        <w:t>特种专业技术车辆采购项目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SXZTFY-2026-0014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特种专业技术车辆采购项目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采购特种专业技术车辆2辆，自合同签订之日起20日历天内完成供货及安装。配置满足警务执勤标准。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2、法定代表人授权书：法定代表人授权书及被授权人身份证明(法定代表人直接参与投标只需提供其身份证明)；</w:t>
      </w:r>
    </w:p>
    <w:p>
      <w:pPr>
        <w:pStyle w:val="null3"/>
      </w:pPr>
      <w:r>
        <w:rPr>
          <w:rFonts w:ascii="仿宋_GB2312" w:hAnsi="仿宋_GB2312" w:cs="仿宋_GB2312" w:eastAsia="仿宋_GB2312"/>
        </w:rPr>
        <w:t>3、财务状况证明：提供具有财务审计资质单位出具的2025年度的财务报告(成立时间至开标时间不足一年的可提供成立后任意时段的资产负债表)或开标前六个月内其基本账户银行出具的资信证明(附开户许可证或开户备案证明)；</w:t>
      </w:r>
    </w:p>
    <w:p>
      <w:pPr>
        <w:pStyle w:val="null3"/>
      </w:pPr>
      <w:r>
        <w:rPr>
          <w:rFonts w:ascii="仿宋_GB2312" w:hAnsi="仿宋_GB2312" w:cs="仿宋_GB2312" w:eastAsia="仿宋_GB2312"/>
        </w:rPr>
        <w:t>4、税收缴纳证明：供应商应提供至投标文件递交截止时间前近六个月至少一个月的纳税凭据或完税证明(任意税种)，依法免税的应提供相关证明材料；</w:t>
      </w:r>
    </w:p>
    <w:p>
      <w:pPr>
        <w:pStyle w:val="null3"/>
      </w:pPr>
      <w:r>
        <w:rPr>
          <w:rFonts w:ascii="仿宋_GB2312" w:hAnsi="仿宋_GB2312" w:cs="仿宋_GB2312" w:eastAsia="仿宋_GB2312"/>
        </w:rPr>
        <w:t>5、社会保障资金缴纳证明：供应商应提供至投标文件递交截止时间前近六个月至少一个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6、书面声明：参加本次政府采购活动前三年内在经营活动中没有重大违法记录的书面声明；</w:t>
      </w:r>
    </w:p>
    <w:p>
      <w:pPr>
        <w:pStyle w:val="null3"/>
      </w:pPr>
      <w:r>
        <w:rPr>
          <w:rFonts w:ascii="仿宋_GB2312" w:hAnsi="仿宋_GB2312" w:cs="仿宋_GB2312" w:eastAsia="仿宋_GB2312"/>
        </w:rPr>
        <w:t>7、信誉情况：供应商不得为"信用中国”网站(www.creditchina.gov.cn)中列入"失信被执行人(中国执行信息公开网http://zxgk.court.gov.cn/shixin)"和“重大税收违法失信主体”的供应商，不得为中国政府采购网(ww.Ccgp.gov.cn)政府采购“严重违法失信行为记录名单”中被财政部门禁止参加政府采购活动的供应商；</w:t>
      </w:r>
    </w:p>
    <w:p>
      <w:pPr>
        <w:pStyle w:val="null3"/>
      </w:pPr>
      <w:r>
        <w:rPr>
          <w:rFonts w:ascii="仿宋_GB2312" w:hAnsi="仿宋_GB2312" w:cs="仿宋_GB2312" w:eastAsia="仿宋_GB2312"/>
        </w:rPr>
        <w:t>8、专业技术能力的承诺：提供具有履行合同所必需的设备和专业技术能力的承诺;</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pPr>
      <w:r>
        <w:rPr>
          <w:rFonts w:ascii="仿宋_GB2312" w:hAnsi="仿宋_GB2312" w:cs="仿宋_GB2312" w:eastAsia="仿宋_GB2312"/>
        </w:rPr>
        <w:t>10、本项目不接受联合体投标：本项目不接受联合体投标。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商洛市公安局商州分局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商洛市商州区江滨路东段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商洛市公安局商州分局经办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18700571333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陕西众泰丰源工程项目管理有限公司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商洛市商州区城关街道办事处通江路 9 号(青花汾酒)3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17791182771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开户名称：陕西众泰丰源工程项目管理有限公司</w:t>
            </w:r>
          </w:p>
          <w:p>
            <w:pPr>
              <w:pStyle w:val="null3"/>
            </w:pPr>
            <w:r>
              <w:rPr>
                <w:rFonts w:ascii="仿宋_GB2312" w:hAnsi="仿宋_GB2312" w:cs="仿宋_GB2312" w:eastAsia="仿宋_GB2312"/>
              </w:rPr>
              <w:t>开户银行：中国建设银行股份有限公司商洛分行</w:t>
            </w:r>
          </w:p>
          <w:p>
            <w:pPr>
              <w:pStyle w:val="null3"/>
            </w:pPr>
            <w:r>
              <w:rPr>
                <w:rFonts w:ascii="仿宋_GB2312" w:hAnsi="仿宋_GB2312" w:cs="仿宋_GB2312" w:eastAsia="仿宋_GB2312"/>
              </w:rPr>
              <w:t>银行账号：6105 0167 0014 0000 1376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代理服务费收费标准：代理服务费收费标准：招标代理报酬按照国家计委颁发的《招标代理服务收费管理暂行办法》(计价格〔2002〕1980号)和国家发改委(发改价格〔2011〕534号)文件执行。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商洛市公安局商州分局</w:t>
      </w:r>
      <w:r>
        <w:rPr>
          <w:rFonts w:ascii="仿宋_GB2312" w:hAnsi="仿宋_GB2312" w:cs="仿宋_GB2312" w:eastAsia="仿宋_GB2312"/>
        </w:rPr>
        <w:t>和</w:t>
      </w:r>
      <w:r>
        <w:rPr>
          <w:rFonts w:ascii="仿宋_GB2312" w:hAnsi="仿宋_GB2312" w:cs="仿宋_GB2312" w:eastAsia="仿宋_GB2312"/>
        </w:rPr>
        <w:t>陕西众泰丰源工程项目管理有限公司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商洛市公安局商州分局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陕西众泰丰源工程项目管理有限公司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商洛市公安局商州分局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陕西众泰丰源工程项目管理有限公司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联系人：吴娇</w:t>
      </w:r>
    </w:p>
    <w:p>
      <w:pPr>
        <w:pStyle w:val="null3"/>
      </w:pPr>
      <w:r>
        <w:rPr>
          <w:rFonts w:ascii="仿宋_GB2312" w:hAnsi="仿宋_GB2312" w:cs="仿宋_GB2312" w:eastAsia="仿宋_GB2312"/>
        </w:rPr>
        <w:t>联系电话：17791182771</w:t>
      </w:r>
    </w:p>
    <w:p>
      <w:pPr>
        <w:pStyle w:val="null3"/>
      </w:pPr>
      <w:r>
        <w:rPr>
          <w:rFonts w:ascii="仿宋_GB2312" w:hAnsi="仿宋_GB2312" w:cs="仿宋_GB2312" w:eastAsia="仿宋_GB2312"/>
        </w:rPr>
        <w:t>地址：商洛市商州区城关街道办事处通江路 9 号(青花汾酒)3 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采购特种专业技术车辆2辆，自合同签订之日起20日历天内完成供货及安装。配置满足警务执勤标准。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特种车辆</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标的名称：特种车辆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611"/>
              <w:gridCol w:w="1560"/>
              <w:gridCol w:w="376"/>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项目类别</w:t>
                  </w:r>
                </w:p>
              </w:tc>
              <w:tc>
                <w:tcPr>
                  <w:tcW w:type="dxa" w:w="1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大型普通客车</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★座位</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26座一台，21座一台（21座可办公）</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★车长</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-7.</w:t>
                  </w:r>
                  <w:r>
                    <w:rPr>
                      <w:rFonts w:ascii="仿宋_GB2312" w:hAnsi="仿宋_GB2312" w:cs="仿宋_GB2312" w:eastAsia="仿宋_GB2312"/>
                      <w:sz w:val="24"/>
                    </w:rPr>
                    <w:t>3</w:t>
                  </w:r>
                  <w:r>
                    <w:rPr>
                      <w:rFonts w:ascii="仿宋_GB2312" w:hAnsi="仿宋_GB2312" w:cs="仿宋_GB2312" w:eastAsia="仿宋_GB2312"/>
                      <w:sz w:val="24"/>
                    </w:rPr>
                    <w:t>米</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轴距</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3.8-3.94米</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★等级</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中型中级</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★燃料</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柴油</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★整车</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单风挡玻璃造型</w:t>
                  </w:r>
                  <w:r>
                    <w:rPr>
                      <w:rFonts w:ascii="仿宋_GB2312" w:hAnsi="仿宋_GB2312" w:cs="仿宋_GB2312" w:eastAsia="仿宋_GB2312"/>
                      <w:sz w:val="24"/>
                    </w:rPr>
                    <w:t>;车身蒙皮、骨架、舱门等采取电泳等防腐防锈蚀工艺处理;整车线束采用镀锡阻燃铜线。</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★发动机</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柴油燃料发动机，功率</w:t>
                  </w:r>
                  <w:r>
                    <w:rPr>
                      <w:rFonts w:ascii="仿宋_GB2312" w:hAnsi="仿宋_GB2312" w:cs="仿宋_GB2312" w:eastAsia="仿宋_GB2312"/>
                      <w:sz w:val="24"/>
                    </w:rPr>
                    <w:t>≥1</w:t>
                  </w:r>
                  <w:r>
                    <w:rPr>
                      <w:rFonts w:ascii="仿宋_GB2312" w:hAnsi="仿宋_GB2312" w:cs="仿宋_GB2312" w:eastAsia="仿宋_GB2312"/>
                      <w:sz w:val="24"/>
                    </w:rPr>
                    <w:t>20</w:t>
                  </w:r>
                  <w:r>
                    <w:rPr>
                      <w:rFonts w:ascii="仿宋_GB2312" w:hAnsi="仿宋_GB2312" w:cs="仿宋_GB2312" w:eastAsia="仿宋_GB2312"/>
                      <w:sz w:val="24"/>
                    </w:rPr>
                    <w:t>马力，国六排放；配置燃油加热器。</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环保标准</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国六</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中控</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中控屏幕</w:t>
                  </w:r>
                  <w:r>
                    <w:rPr>
                      <w:rFonts w:ascii="仿宋_GB2312" w:hAnsi="仿宋_GB2312" w:cs="仿宋_GB2312" w:eastAsia="仿宋_GB2312"/>
                      <w:sz w:val="24"/>
                    </w:rPr>
                    <w:t>≥6英寸</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变速器</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6速手动</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制动系</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前后桥采用盘式制动器；蹄片间隙自调装置；制动器衬片更换报警装置。</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悬架结构</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钢板弹簧悬架</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车轮及轮胎</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w:t>
                  </w:r>
                  <w:r>
                    <w:rPr>
                      <w:rFonts w:ascii="仿宋_GB2312" w:hAnsi="仿宋_GB2312" w:cs="仿宋_GB2312" w:eastAsia="仿宋_GB2312"/>
                      <w:sz w:val="24"/>
                    </w:rPr>
                    <w:t>正规</w:t>
                  </w:r>
                  <w:r>
                    <w:rPr>
                      <w:rFonts w:ascii="仿宋_GB2312" w:hAnsi="仿宋_GB2312" w:cs="仿宋_GB2312" w:eastAsia="仿宋_GB2312"/>
                      <w:sz w:val="24"/>
                    </w:rPr>
                    <w:t>品牌</w:t>
                  </w:r>
                  <w:r>
                    <w:rPr>
                      <w:rFonts w:ascii="仿宋_GB2312" w:hAnsi="仿宋_GB2312" w:cs="仿宋_GB2312" w:eastAsia="仿宋_GB2312"/>
                      <w:sz w:val="24"/>
                    </w:rPr>
                    <w:t>，</w:t>
                  </w:r>
                  <w:r>
                    <w:rPr>
                      <w:rFonts w:ascii="仿宋_GB2312" w:hAnsi="仿宋_GB2312" w:cs="仿宋_GB2312" w:eastAsia="仿宋_GB2312"/>
                      <w:sz w:val="24"/>
                    </w:rPr>
                    <w:t>无内胎子午线轮胎，备胎</w:t>
                  </w:r>
                  <w:r>
                    <w:rPr>
                      <w:rFonts w:ascii="仿宋_GB2312" w:hAnsi="仿宋_GB2312" w:cs="仿宋_GB2312" w:eastAsia="仿宋_GB2312"/>
                      <w:sz w:val="24"/>
                    </w:rPr>
                    <w:t>1条</w:t>
                  </w:r>
                  <w:r>
                    <w:rPr>
                      <w:rFonts w:ascii="仿宋_GB2312" w:hAnsi="仿宋_GB2312" w:cs="仿宋_GB2312" w:eastAsia="仿宋_GB2312"/>
                      <w:sz w:val="24"/>
                    </w:rPr>
                    <w:t>，</w:t>
                  </w:r>
                  <w:r>
                    <w:rPr>
                      <w:rFonts w:ascii="仿宋_GB2312" w:hAnsi="仿宋_GB2312" w:cs="仿宋_GB2312" w:eastAsia="仿宋_GB2312"/>
                      <w:sz w:val="24"/>
                    </w:rPr>
                    <w:t>安装胎压监测报警系统。</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外后视镜</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杆式</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乘客门</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气动外摆门，遥控门锁</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流水槽</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配备</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车内行李架</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配备</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侧窗</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粘贴式全封闭侧窗，左右各配置</w:t>
                  </w:r>
                  <w:r>
                    <w:rPr>
                      <w:rFonts w:ascii="仿宋_GB2312" w:hAnsi="仿宋_GB2312" w:cs="仿宋_GB2312" w:eastAsia="仿宋_GB2312"/>
                      <w:sz w:val="24"/>
                    </w:rPr>
                    <w:t>1个外推式应急窗，驾驶员窗及最后排左右开内嵌式推拉窗。</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安全通风顶窗</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1个</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行李舱门</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后上翻门</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优质</w:t>
                  </w:r>
                  <w:r>
                    <w:rPr>
                      <w:rFonts w:ascii="仿宋_GB2312" w:hAnsi="仿宋_GB2312" w:cs="仿宋_GB2312" w:eastAsia="仿宋_GB2312"/>
                      <w:sz w:val="24"/>
                    </w:rPr>
                    <w:t>品牌压缩机，标准制冷量</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000Kcal/h</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座椅</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减震司机椅，乘客座椅符合中型中级客车要求，乘客区配备</w:t>
                  </w:r>
                  <w:r>
                    <w:rPr>
                      <w:rFonts w:ascii="仿宋_GB2312" w:hAnsi="仿宋_GB2312" w:cs="仿宋_GB2312" w:eastAsia="仿宋_GB2312"/>
                      <w:sz w:val="24"/>
                    </w:rPr>
                    <w:t>USB充电接口</w:t>
                  </w:r>
                  <w:r>
                    <w:rPr>
                      <w:rFonts w:ascii="仿宋_GB2312" w:hAnsi="仿宋_GB2312" w:cs="仿宋_GB2312" w:eastAsia="仿宋_GB2312"/>
                      <w:sz w:val="24"/>
                    </w:rPr>
                    <w:t>≥22个</w:t>
                  </w:r>
                  <w:r>
                    <w:rPr>
                      <w:rFonts w:ascii="仿宋_GB2312" w:hAnsi="仿宋_GB2312" w:cs="仿宋_GB2312" w:eastAsia="仿宋_GB2312"/>
                      <w:sz w:val="24"/>
                    </w:rPr>
                    <w:t>，乘客座椅采用皮革材质。</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安全带</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按照国家规定配置三点式安全带。</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CAN总线</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装置</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安全设施</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装置彩色倒车监视器，倒车雷达；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2kg干粉灭火器，发动机舱配置自动灭火装置。</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内饰</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JT/T 1094《营运客车安全技术条件》阻燃内饰；地板革、窗帘、风挡遮阳帘颜色及材质需方确认。</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外观喷涂</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选用优质漆料，全车喷涂烘烤漆工艺处理，车体及保险杠漆面要有足够色牢度，</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其它</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1个三角警示牌；</w:t>
                  </w:r>
                  <w:r>
                    <w:rPr>
                      <w:rFonts w:ascii="仿宋_GB2312" w:hAnsi="仿宋_GB2312" w:cs="仿宋_GB2312" w:eastAsia="仿宋_GB2312"/>
                      <w:sz w:val="24"/>
                    </w:rPr>
                    <w:t>≥</w:t>
                  </w:r>
                  <w:r>
                    <w:rPr>
                      <w:rFonts w:ascii="仿宋_GB2312" w:hAnsi="仿宋_GB2312" w:cs="仿宋_GB2312" w:eastAsia="仿宋_GB2312"/>
                      <w:sz w:val="24"/>
                    </w:rPr>
                    <w:t>1件反光背心：随车工具等。</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配置要求</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外观涂装：按照公安部</w:t>
                  </w:r>
                  <w:r>
                    <w:rPr>
                      <w:rFonts w:ascii="仿宋_GB2312" w:hAnsi="仿宋_GB2312" w:cs="仿宋_GB2312" w:eastAsia="仿宋_GB2312"/>
                      <w:sz w:val="24"/>
                    </w:rPr>
                    <w:t>2004警用车辆制式标准进行涂装或按采购人要求涂装。 （</w:t>
                  </w:r>
                  <w:r>
                    <w:rPr>
                      <w:rFonts w:ascii="仿宋_GB2312" w:hAnsi="仿宋_GB2312" w:cs="仿宋_GB2312" w:eastAsia="仿宋_GB2312"/>
                      <w:sz w:val="24"/>
                    </w:rPr>
                    <w:t>2</w:t>
                  </w:r>
                  <w:r>
                    <w:rPr>
                      <w:rFonts w:ascii="仿宋_GB2312" w:hAnsi="仿宋_GB2312" w:cs="仿宋_GB2312" w:eastAsia="仿宋_GB2312"/>
                      <w:sz w:val="24"/>
                    </w:rPr>
                    <w:t>）前蓝红警灯；（</w:t>
                  </w:r>
                  <w:r>
                    <w:rPr>
                      <w:rFonts w:ascii="仿宋_GB2312" w:hAnsi="仿宋_GB2312" w:cs="仿宋_GB2312" w:eastAsia="仿宋_GB2312"/>
                      <w:sz w:val="24"/>
                    </w:rPr>
                    <w:t>4</w:t>
                  </w:r>
                  <w:r>
                    <w:rPr>
                      <w:rFonts w:ascii="仿宋_GB2312" w:hAnsi="仿宋_GB2312" w:cs="仿宋_GB2312" w:eastAsia="仿宋_GB2312"/>
                      <w:sz w:val="24"/>
                    </w:rPr>
                    <w:t>）警用扬声器；（</w:t>
                  </w:r>
                  <w:r>
                    <w:rPr>
                      <w:rFonts w:ascii="仿宋_GB2312" w:hAnsi="仿宋_GB2312" w:cs="仿宋_GB2312" w:eastAsia="仿宋_GB2312"/>
                      <w:sz w:val="24"/>
                    </w:rPr>
                    <w:t>5</w:t>
                  </w:r>
                  <w:r>
                    <w:rPr>
                      <w:rFonts w:ascii="仿宋_GB2312" w:hAnsi="仿宋_GB2312" w:cs="仿宋_GB2312" w:eastAsia="仿宋_GB2312"/>
                      <w:sz w:val="24"/>
                    </w:rPr>
                    <w:t>）尾</w:t>
                  </w:r>
                  <w:r>
                    <w:rPr>
                      <w:rFonts w:ascii="仿宋_GB2312" w:hAnsi="仿宋_GB2312" w:cs="仿宋_GB2312" w:eastAsia="仿宋_GB2312"/>
                      <w:sz w:val="24"/>
                    </w:rPr>
                    <w:t>灯</w:t>
                  </w:r>
                </w:p>
                <w:p>
                  <w:pPr>
                    <w:pStyle w:val="null3"/>
                    <w:jc w:val="both"/>
                  </w:pPr>
                  <w:r>
                    <w:rPr>
                      <w:rFonts w:ascii="仿宋_GB2312" w:hAnsi="仿宋_GB2312" w:cs="仿宋_GB2312" w:eastAsia="仿宋_GB2312"/>
                      <w:sz w:val="24"/>
                    </w:rPr>
                    <w:t>（投标人须在投标文件中提供《配置要求响应承诺函》并加盖投标人公章，否则视为不满足。）</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自合同签订之日起20日历天内完成供货及安装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甲方指定交货地点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进度款，车辆经现场验收合格后，达到付款条件起5个工作日内，支付合同总金额的100.0%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所有车辆交付完毕，由采购人、使用单位进行验收。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1、供货时中标单位须向采购单位提供整车工信部公告和国家消防装备质量监督检验中心出具的检测报告。 2、质保期： 自验收合格之日起 1年 3、中标人承诺的质保服务期起始时间为最终验收合格之日。 4、所有产品质量必须符合国家有关规范、标准和相关政策。所有设备及辅材必须是未使用过的新产品，质量优良、渠道正当，配置合理，能够满足采购人长期、稳定使用要求。 5、质保期限内，中标人对故障产品 24 小时内免费同型换新。质保服务期出现的质量问题由中标人负责解决并承担所有费用。质保期后如需更换零部件，中标人应以优惠价提供。 6、中标人应充分考虑技术支持并实现与售后服务，质保期内服务内容至少包括实施、培训、安装部署、维护、故障排除、技术支持并实现硬件维修、更换和技术服务。 7、在质保期限内，中标人提供 7 天*24 小时*365 日无休售后服务。半小时响应（紧急情况即时响应），6 小时内到达现场服务，设备重大问题 24 小时予以解决；服务完成后，需得到采购人对服务情况的检查和文字确认。如果中标人在收到通知后 2 天内没有弥补缺陷，采购人可采取必要的补救措施，但其风险和费用将由中标人承担，采购人根据合同规定对中标人行使的其它权力不受影响。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本合同及合同有关事项发生的争议，按下列第(2)种方式解决:(1)向商洛仲裁委 员会申请仲裁，仲裁地点为/(2)向商洛市人民法院起诉。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1.基础要求：车型在投标截止时间前，是国家“道路机动车辆生产企业及产品”中已公告的整车产品（含公示期）。车辆基本参数、技术性能须与国家汽车产品公告目录基本参数、技术性能一致。车型已进入JT/T 325 《营运客车类型划分及等级评定》目录。 2.各项技术指标应符合： GB7258 《机动车运行安全技术条件》； GB13094 《客车结构安全要求》； JT/T 325 《营运客车类型划分及等级评定》； JT/T 1094 《营运客车安全技术条件》； JT/T 1095 《营运客车内饰材料阻燃特性》； 其他相关国家、行业、地方标准和法规的要求。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本国产品说明 投标函 中小企业声明函 残疾人福利性单位声明函 关于符合本国产品标准的声明函 投标文件封面 中国境内生产的组件成本核算基本规则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法定代表人授权书及被授权人身份证明(法定代表人直接参与投标只需提供其身份证明)；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提供具有财务审计资质单位出具的2025年度的财务报告(成立时间至开标时间不足一年的可提供成立后任意时段的资产负债表)或开标前六个月内其基本账户银行出具的资信证明(附开户许可证或开户备案证明)；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供应商应提供至投标文件递交截止时间前近六个月至少一个月的纳税凭据或完税证明(任意税种)，依法免税的应提供相关证明材料；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供应商应提供至投标文件递交截止时间前近六个月至少一个月的社会保障资金缴存单据或社保机构开具的社会保险参保缴费情况证明，依法不需要缴纳社会保障资金的应提供相关证明材料；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供货期是否满足招标文件要求。</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与招标文件商务要求条款不一致或增加了招标人难以接受的条款。</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开标一览表 产品技术参数表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所投产品技术参数清楚、明确，技术资料齐全，完全符合、满足招标文件技术要求的，计10分；技术参数非“★ ”项的，每优于1项得 1 分，最高得5分，每负偏离1项扣0.5分，扣完为止。提供相关证明材料，未提供不得分。 注：证明材料包括但不限于产品彩页、检测报告、说明书、技术白皮书、官网和功能截图等证明材料。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底盘通过性</w:t>
            </w:r>
          </w:p>
        </w:tc>
        <w:tc>
          <w:tcPr>
            <w:tcW w:type="dxa" w:w="2492"/>
          </w:tcPr>
          <w:p>
            <w:pPr>
              <w:pStyle w:val="null3"/>
            </w:pPr>
            <w:r>
              <w:rPr>
                <w:rFonts w:ascii="仿宋_GB2312" w:hAnsi="仿宋_GB2312" w:cs="仿宋_GB2312" w:eastAsia="仿宋_GB2312"/>
              </w:rPr>
              <w:t>投标车型具有良好的通过性，接近角/离去角≥19°/ 11°的得5分。 接近角/离去角≥18°/ 11°的得3分，接近角/离去角≥17°/ 10°的得2分，其他不得分。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车身防腐</w:t>
            </w:r>
          </w:p>
        </w:tc>
        <w:tc>
          <w:tcPr>
            <w:tcW w:type="dxa" w:w="2492"/>
          </w:tcPr>
          <w:p>
            <w:pPr>
              <w:pStyle w:val="null3"/>
            </w:pPr>
            <w:r>
              <w:rPr>
                <w:rFonts w:ascii="仿宋_GB2312" w:hAnsi="仿宋_GB2312" w:cs="仿宋_GB2312" w:eastAsia="仿宋_GB2312"/>
              </w:rPr>
              <w:t>1.采用整车阴极电泳工艺得3分；采用局部阴极电泳工艺得2分；其余防腐工艺的得1分。 2.采用机器人自动焊接工艺的得2分；其余焊接工艺的得1分。 3.采用机器人自动喷涂工艺的得2分；其余喷涂工艺得1分。 （提供投标产品生产企业相关证明材料，包括但不限于电泳设备、电泳漆采购合同复印件，机器人焊接设备、机器人喷涂设备采购合同复印件及图片等证明材料，未提供按其余处理得1分）。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优化承诺</w:t>
            </w:r>
          </w:p>
        </w:tc>
        <w:tc>
          <w:tcPr>
            <w:tcW w:type="dxa" w:w="2492"/>
          </w:tcPr>
          <w:p>
            <w:pPr>
              <w:pStyle w:val="null3"/>
            </w:pPr>
            <w:r>
              <w:rPr>
                <w:rFonts w:ascii="仿宋_GB2312" w:hAnsi="仿宋_GB2312" w:cs="仿宋_GB2312" w:eastAsia="仿宋_GB2312"/>
              </w:rPr>
              <w:t>1.本次投标报价应充分响应招标文件的所有内容，同时兼顾考虑项目实施过程中由于方案产品优化完善所产生的费用。 2.中标后在投标方案的基础上进行方案产品的优化和完善，中标价为方案产品优化和完善的最高限价，中标人不得以各种理由增加相应的费用。 3.在优化方案产品中出现设备及材料变化时，应选择性能配置高于投标时的设备配置、材料性能，且调整后的设备配置、材料性能须经采购人同意，但不得做实质性变动。 以上每项内容均完全响应的得6分，每负偏离一项扣2分，扣完为止，未提供承诺不得分。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供应商针对本项目提供完整的实施方案内容包括：①项目组织及供货实施方案②调试方案③验收方案④投入人力、财力，物力调配及保障措施。 二、评分标准： 1、完整性：方案全面完整，对评审内容中的各项要求有详细描述及说明，思路清晰，条理清楚； 2、可实施性：切合本项目实际情况内容合理，步骤清晰，可操作性强； 3、针对性：方案能够紧扣本项目实际情况，内容科学合理，符合项目实际要求。 三、赋分标准（满分12分） ①项目组织及供货实施方案：每满足 1 项评分标准得 1 分，满分 3 分；存在缺陷扣（0.5 分），不提供不得分； ②调试方案：每满足 1 项评分标准得 1 分，满分 3 分；存在缺陷扣（0.5 分），不提供不得分； ③验收方案：每满足 1 项评分标准得 1 分，满分 3 分；存在缺陷扣（0.5 分），不提供不得分； ④投入人力、财力，物力调配及保障措施：每满足 1 项评分标准得 1 分，满分 3 分；存在缺陷扣（0.5 分），不提供不得分； 缺陷是指方案不完整或不详细或内容不合理或步骤不清晰或可行性不强或内容表述前后不一致或针对性不强。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质量保证及应急预案措施</w:t>
            </w:r>
          </w:p>
        </w:tc>
        <w:tc>
          <w:tcPr>
            <w:tcW w:type="dxa" w:w="2492"/>
          </w:tcPr>
          <w:p>
            <w:pPr>
              <w:pStyle w:val="null3"/>
            </w:pPr>
            <w:r>
              <w:rPr>
                <w:rFonts w:ascii="仿宋_GB2312" w:hAnsi="仿宋_GB2312" w:cs="仿宋_GB2312" w:eastAsia="仿宋_GB2312"/>
              </w:rPr>
              <w:t>一、评审内容： 供应商针对本项目实际需求，提供质量及应急预案措施，内容包括：①质量管理②质量保障措施③针对突发状况的应急预案措施。 二、评分标准： 1、完整性：方案全面完整，对评审内容中的各项要求有详细描述及说明，思路清晰，条理清楚； 2、可实施性：切合本项目实际情况内容合理，步骤清晰，可操作性强； 3、针对性：方案能够紧扣本项目实际情况，内容科学合理，符合项目实际要求。 三、赋分标准（满分 9 分） ①质量管理：每满足 1 项评分标准得 1 分，满分 3 分；存在缺陷扣（0.5 分），不提供不得分； ②质量保障措施：每满足 1 项评分标准得 1 分，满分 3 分；存在缺陷扣（0.5分），不提供不得分； ③针对突发状况的应急预案措施：每满足 1 项评分标准得 1 分，满分 3 分；存在缺陷扣（0.5 分），不提供不得分； 缺陷是指方案不完整或不详细或内容不合理或步骤不清晰或可行性不强或内容表述前后不一致或针对性不强。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供应商针对本项目制定售后服务及培训方案，方案内容包括： ①售后服务机构及售后服务人员配置、售后服务电话、售后响应时间 ②产品维护保养方案 ③售后服务保障措施及承诺 ④培训计划、方式、内容、培训反馈及总结。 二、评分标准： 1、完整性：方案全面完整，对评审内容中的各项要求有详细描述及说明，思路清晰，条理清楚； 2、可实施性：切合本项目实际情况内容合理，步骤清晰，可操作性强； 3、针对性：方案能够紧扣本项目实际情况，内容科学合理，符合项目实际要求。 三、赋分标准（满分 12分） ①售后服务机构及售后服务人员配置、售后服务电话、售后响应时间：每满足 1 项评分标准得 1 分，满分3分；存在缺陷扣（0.5 分），不提供不得分； ②产品维护保养方案：每满足 1 项评分标准得 1 分，满分3分；存在缺陷扣（0.5 分），不提供不得分； ③售后服务保障措施及承诺：每满足 1 项评分标准得 1分，满分 3 分；存在缺陷扣（0.5 分），不提供不得分； ④培训计划、方式、内容、培训反馈及总结：每满足 1 项评分标准得 1分，满分3 分；存在缺陷扣（0.5 分），不提供不得分； 缺陷是指方案不完整或不详细或内容不合理或步骤不清晰或可行性不强或内容表述前后不一致或针对性不强。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提供投标人的 2023年 1 月 1 日至今（以合同签订日期为准）完成的类似公务车项目业绩，每提供 1 个有效得1分，最高得4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采用低价优先法计算，即满足招标文件要求且最终报价最低的供应商的报价为评标基准价，其价格得分为满分 30 分。 其他供应商的报价得分统一按照下列公式计算： 报价得分=（评标基准价/投标报价） ×价格权重×100； 注：（1）根据《政府采购促进中小企业发展管理办法》、财库〔2022〕19 号的相关规定，投标人所投产品均是小微企业制造的，其产品报价给予 10％的扣除，用扣除后的价格参与评审。 （2）根据财库[2014]68 号《财政部司法部关于政府采购支持监狱企业发展有关问题的通知》规定，符合条件的监狱企业，享受政府采购扶持政策。投标人投标产品是监狱企业制造的，其产品报价给予 10％的扣除，用扣除后的价格参与报价计算。 （3）根据《财政部民政部中国残疾人联合会关于促进残疾人就业政府采购政策的通知》（财库〔2017〕141 号）的规定，投标人投标产品是残疾人福利性单位的，其产品报价给予 10％的扣除，用扣除后的价格参与投标报价计算。 小型、微型企业、监狱企业、残疾人福利性单位以上政策同时具备的仅对其进行一次 10%的价格扣除，不重复扣除。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