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版本号：SXXZ-ZB-2026007.2B120260622001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印刷设备采购项目(二次)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SXXZ-ZB-2026007.2B1</w:t>
      </w:r>
      <w:r>
        <w:br/>
      </w:r>
      <w:r>
        <w:br/>
      </w:r>
      <w:r>
        <w:br/>
      </w:r>
    </w:p>
    <w:p>
      <w:pPr>
        <w:pStyle w:val="null3"/>
        <w:jc w:val="center"/>
        <w:outlineLvl w:val="2"/>
      </w:pPr>
      <w:r>
        <w:rPr>
          <w:rFonts w:ascii="仿宋_GB2312" w:hAnsi="仿宋_GB2312" w:cs="仿宋_GB2312" w:eastAsia="仿宋_GB2312"/>
          <w:sz w:val="28"/>
          <w:b/>
        </w:rPr>
        <w:t>中共陕西省委机要印务中心</w:t>
      </w:r>
    </w:p>
    <w:p>
      <w:pPr>
        <w:pStyle w:val="null3"/>
        <w:jc w:val="center"/>
        <w:outlineLvl w:val="2"/>
      </w:pPr>
      <w:r>
        <w:rPr>
          <w:rFonts w:ascii="仿宋_GB2312" w:hAnsi="仿宋_GB2312" w:cs="仿宋_GB2312" w:eastAsia="仿宋_GB2312"/>
          <w:sz w:val="28"/>
          <w:b/>
        </w:rPr>
        <w:t>陕西兴正工程造价咨询有限公司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陕西兴正工程造价咨询有限公司</w:t>
      </w:r>
      <w:r>
        <w:rPr>
          <w:rFonts w:ascii="仿宋_GB2312" w:hAnsi="仿宋_GB2312" w:cs="仿宋_GB2312" w:eastAsia="仿宋_GB2312"/>
        </w:rPr>
        <w:t>（以下简称“代理机构”）受</w:t>
      </w:r>
      <w:r>
        <w:rPr>
          <w:rFonts w:ascii="仿宋_GB2312" w:hAnsi="仿宋_GB2312" w:cs="仿宋_GB2312" w:eastAsia="仿宋_GB2312"/>
        </w:rPr>
        <w:t>中共陕西省委机要印务中心</w:t>
      </w:r>
      <w:r>
        <w:rPr>
          <w:rFonts w:ascii="仿宋_GB2312" w:hAnsi="仿宋_GB2312" w:cs="仿宋_GB2312" w:eastAsia="仿宋_GB2312"/>
        </w:rPr>
        <w:t>委托，拟对</w:t>
      </w:r>
      <w:r>
        <w:rPr>
          <w:rFonts w:ascii="仿宋_GB2312" w:hAnsi="仿宋_GB2312" w:cs="仿宋_GB2312" w:eastAsia="仿宋_GB2312"/>
        </w:rPr>
        <w:t>印刷设备采购项目(二次)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SXXZ-ZB-2026007.2B1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印刷设备采购项目(二次)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本次采购内容包括：计算机直接制版机（CTP）1台</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1、具有独立承担民事责任能力的法人、其他组织或自然人：法人或者其他组织须提供营业执照等证明文件 , 自然人须提供身份证明，投标人需在项目电子化交易系统中按要求上传相应证明文件并进行电子签章。</w:t>
      </w:r>
    </w:p>
    <w:p>
      <w:pPr>
        <w:pStyle w:val="null3"/>
      </w:pPr>
      <w:r>
        <w:rPr>
          <w:rFonts w:ascii="仿宋_GB2312" w:hAnsi="仿宋_GB2312" w:cs="仿宋_GB2312" w:eastAsia="仿宋_GB2312"/>
        </w:rPr>
        <w:t>2、参加本次政府采购活动前3年内在经营活动中没有重大违法记录的书面声明：参加本次政府采购活动前3年内在经营活动中没有重大违法记录的书面声明，投标人需在项目电子化交易系统中按要求上传相应证明文件并进行电子签章。</w:t>
      </w:r>
    </w:p>
    <w:p>
      <w:pPr>
        <w:pStyle w:val="null3"/>
      </w:pPr>
      <w:r>
        <w:rPr>
          <w:rFonts w:ascii="仿宋_GB2312" w:hAnsi="仿宋_GB2312" w:cs="仿宋_GB2312" w:eastAsia="仿宋_GB2312"/>
        </w:rPr>
        <w:t>3、具有履行合同所必需的设备和专业技术能力的承诺函：具有履行合同所必需的设备和专业技术能力的承诺函，投标人需在项目电子化交易系统中按要求上传相应证明文件并进行电子签章。</w:t>
      </w:r>
    </w:p>
    <w:p>
      <w:pPr>
        <w:pStyle w:val="null3"/>
      </w:pPr>
      <w:r>
        <w:rPr>
          <w:rFonts w:ascii="仿宋_GB2312" w:hAnsi="仿宋_GB2312" w:cs="仿宋_GB2312" w:eastAsia="仿宋_GB2312"/>
        </w:rPr>
        <w:t>4、社保缴纳凭证：自2025年10月1日以来已缴存的至少一个月的社会保障资金缴存单据或社保机构开具的社会保险参保缴费情况证明，单据或证明上应有社保机构或代收机构的公章或业务专用章；依法不需要缴纳社会保障资金的投标人应提供相关文件证明。投标人需在项目电子化交易系统中按要求上传相应证明文件并进行电子签章。</w:t>
      </w:r>
    </w:p>
    <w:p>
      <w:pPr>
        <w:pStyle w:val="null3"/>
      </w:pPr>
      <w:r>
        <w:rPr>
          <w:rFonts w:ascii="仿宋_GB2312" w:hAnsi="仿宋_GB2312" w:cs="仿宋_GB2312" w:eastAsia="仿宋_GB2312"/>
        </w:rPr>
        <w:t>5、税收缴纳凭证：自2025年10月1日以来已缴纳的至少一个月的纳税证明或完税证明，纳税证明或完税证明上应有代收机构或税务机关的公章或业务专用章；依法免税的投标人应提供相关文件证明。投标人需在项目电子化交易系统中按要求上传相应证明文件并进行电子签章。</w:t>
      </w:r>
    </w:p>
    <w:p>
      <w:pPr>
        <w:pStyle w:val="null3"/>
      </w:pPr>
      <w:r>
        <w:rPr>
          <w:rFonts w:ascii="仿宋_GB2312" w:hAnsi="仿宋_GB2312" w:cs="仿宋_GB2312" w:eastAsia="仿宋_GB2312"/>
        </w:rPr>
        <w:t>6、财务状况报告：提供2024年度经审计的财务报告，或其开标前三个月内基本存款账户开户银行出具的资信证明及基本存款账户开户许可证（或基本存款账户信息相关证明文件），或信用担保机构出具的投标担保函。投标人需在项目电子化交易系统中按要求上传相应证明文件并进行电子签章。</w:t>
      </w:r>
    </w:p>
    <w:p>
      <w:pPr>
        <w:pStyle w:val="null3"/>
      </w:pPr>
      <w:r>
        <w:rPr>
          <w:rFonts w:ascii="仿宋_GB2312" w:hAnsi="仿宋_GB2312" w:cs="仿宋_GB2312" w:eastAsia="仿宋_GB2312"/>
        </w:rPr>
        <w:t>7、信用记录：投标人不得为“信用中国”网站（www.creditchina.gov.cn）中列入失信被执行人和重大税收违法失信主体的投标人，不得为中国政府采购网（www.ccgp.gov.cn）政府采购严重违法失信行为记录名单中被财政部门禁止参加政府采购活动的投标人。招标人或采购代理机构在开标当日通过“信用中国”网(www.creditchina. gov.cn)、中国政府采购网(www.ccgp.gov.cn)查询相关主体信用记录网页截图保存。</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中共陕西省委机要印务中心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西安市建国路20号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中共陕西省委机要印务中心经办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029-87434623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陕西兴正工程造价咨询有限公司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陕西省西安市未央区西安经济技术开发区文景北路16号白桦林国际B座1602室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王雪娟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029-86111316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代理服务费用收取对象：中标/成交投标人 代理服务费收费标准： 1、代理服务费参照《国家计委关于印发&lt;招标代理服务收费管理暂行办法&gt;的通知》（计价格[2002]1980号）和国家发展和改革委员会办公厅颁发的《关于招标代理服务收费有关问题的通知》（发改办价格[2003]857号）规定按预算金额收取代理服务费。本项目代理服务费按货物类计取。 2、代理服务费以转账或现金形式交纳，服务费缴纳账号如下： 开户名称：陕西兴正工程造价咨询有限公司 开户行名称：西安银行股份有限公司小寨东路支行 账 号：816011580000091059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中共陕西省委机要印务中心</w:t>
      </w:r>
      <w:r>
        <w:rPr>
          <w:rFonts w:ascii="仿宋_GB2312" w:hAnsi="仿宋_GB2312" w:cs="仿宋_GB2312" w:eastAsia="仿宋_GB2312"/>
        </w:rPr>
        <w:t>和</w:t>
      </w:r>
      <w:r>
        <w:rPr>
          <w:rFonts w:ascii="仿宋_GB2312" w:hAnsi="仿宋_GB2312" w:cs="仿宋_GB2312" w:eastAsia="仿宋_GB2312"/>
        </w:rPr>
        <w:t>陕西兴正工程造价咨询有限公司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中共陕西省委机要印务中心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陕西兴正工程造价咨询有限公司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中共陕西省委机要印务中心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陕西兴正工程造价咨询有限公司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国家有关的验收标准及规范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陕西兴正工程造价咨询有限公司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陕西兴正工程造价咨询有限公司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陕西兴正工程造价咨询有限公司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联系人：王女士</w:t>
      </w:r>
    </w:p>
    <w:p>
      <w:pPr>
        <w:pStyle w:val="null3"/>
      </w:pPr>
      <w:r>
        <w:rPr>
          <w:rFonts w:ascii="仿宋_GB2312" w:hAnsi="仿宋_GB2312" w:cs="仿宋_GB2312" w:eastAsia="仿宋_GB2312"/>
        </w:rPr>
        <w:t>联系电话：029-86111316</w:t>
      </w:r>
    </w:p>
    <w:p>
      <w:pPr>
        <w:pStyle w:val="null3"/>
      </w:pPr>
      <w:r>
        <w:rPr>
          <w:rFonts w:ascii="仿宋_GB2312" w:hAnsi="仿宋_GB2312" w:cs="仿宋_GB2312" w:eastAsia="仿宋_GB2312"/>
        </w:rPr>
        <w:t>地址：西安市经济技术开发区文景北路16号白桦林国际B座1602室</w:t>
      </w:r>
    </w:p>
    <w:p>
      <w:pPr>
        <w:pStyle w:val="null3"/>
      </w:pPr>
      <w:r>
        <w:rPr>
          <w:rFonts w:ascii="仿宋_GB2312" w:hAnsi="仿宋_GB2312" w:cs="仿宋_GB2312" w:eastAsia="仿宋_GB2312"/>
        </w:rPr>
        <w:t>邮编：710010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本次采购内容包括：计算机直接制版机（CTP）一台。</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550,000.00</w:t>
      </w:r>
    </w:p>
    <w:p>
      <w:pPr>
        <w:pStyle w:val="null3"/>
      </w:pPr>
      <w:r>
        <w:rPr>
          <w:rFonts w:ascii="仿宋_GB2312" w:hAnsi="仿宋_GB2312" w:cs="仿宋_GB2312" w:eastAsia="仿宋_GB2312"/>
        </w:rPr>
        <w:t>采购包最高限价（元）: 550,000.00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CTP制版机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550,000.00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标的名称：CTP制版机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采购包</w:t>
            </w:r>
            <w:r>
              <w:rPr>
                <w:rFonts w:ascii="仿宋_GB2312" w:hAnsi="仿宋_GB2312" w:cs="仿宋_GB2312" w:eastAsia="仿宋_GB2312"/>
              </w:rPr>
              <w:t>1：</w:t>
            </w:r>
          </w:p>
          <w:p>
            <w:pPr>
              <w:pStyle w:val="null3"/>
            </w:pPr>
            <w:r>
              <w:rPr>
                <w:rFonts w:ascii="仿宋_GB2312" w:hAnsi="仿宋_GB2312" w:cs="仿宋_GB2312" w:eastAsia="仿宋_GB2312"/>
              </w:rPr>
              <w:t>投标人报价不允许超过标的金额</w:t>
            </w:r>
          </w:p>
          <w:p>
            <w:pPr>
              <w:pStyle w:val="null3"/>
              <w:numPr>
                <w:ilvl w:val="0"/>
                <w:numId w:val="1"/>
              </w:numPr>
              <w:jc w:val="both"/>
            </w:pPr>
            <w:r>
              <w:rPr>
                <w:rFonts w:ascii="仿宋_GB2312" w:hAnsi="仿宋_GB2312" w:cs="仿宋_GB2312" w:eastAsia="仿宋_GB2312"/>
                <w:sz w:val="21"/>
              </w:rPr>
              <w:t>采购标的：</w:t>
            </w:r>
          </w:p>
          <w:tbl>
            <w:tblPr>
              <w:tblInd w:type="dxa" w:w="120"/>
              <w:tblBorders>
                <w:top w:val="none" w:color="000000" w:sz="4"/>
                <w:left w:val="none" w:color="000000" w:sz="4"/>
                <w:bottom w:val="none" w:color="000000" w:sz="4"/>
                <w:right w:val="none" w:color="000000" w:sz="4"/>
                <w:insideH w:val="none"/>
                <w:insideV w:val="none"/>
              </w:tblBorders>
            </w:tblPr>
            <w:tblGrid>
              <w:gridCol w:w="456"/>
              <w:gridCol w:w="2097"/>
            </w:tblGrid>
            <w:tr>
              <w:tc>
                <w:tcPr>
                  <w:tcW w:type="dxa" w:w="4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货物名称</w:t>
                  </w:r>
                </w:p>
              </w:tc>
              <w:tc>
                <w:tcPr>
                  <w:tcW w:type="dxa" w:w="20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 xml:space="preserve"> </w:t>
                  </w:r>
                  <w:r>
                    <w:rPr>
                      <w:rFonts w:ascii="仿宋_GB2312" w:hAnsi="仿宋_GB2312" w:cs="仿宋_GB2312" w:eastAsia="仿宋_GB2312"/>
                      <w:sz w:val="18"/>
                    </w:rPr>
                    <w:t>计算机直接制版机（</w:t>
                  </w:r>
                  <w:r>
                    <w:rPr>
                      <w:rFonts w:ascii="仿宋_GB2312" w:hAnsi="仿宋_GB2312" w:cs="仿宋_GB2312" w:eastAsia="仿宋_GB2312"/>
                      <w:sz w:val="18"/>
                    </w:rPr>
                    <w:t>CTP）</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整装设备的规格尺寸</w:t>
                  </w:r>
                </w:p>
                <w:p>
                  <w:pPr>
                    <w:pStyle w:val="null3"/>
                    <w:jc w:val="center"/>
                  </w:pPr>
                  <w:r>
                    <w:rPr>
                      <w:rFonts w:ascii="仿宋_GB2312" w:hAnsi="仿宋_GB2312" w:cs="仿宋_GB2312" w:eastAsia="仿宋_GB2312"/>
                      <w:sz w:val="18"/>
                    </w:rPr>
                    <w:t>（长</w:t>
                  </w:r>
                  <w:r>
                    <w:rPr>
                      <w:rFonts w:ascii="仿宋_GB2312" w:hAnsi="仿宋_GB2312" w:cs="仿宋_GB2312" w:eastAsia="仿宋_GB2312"/>
                      <w:sz w:val="18"/>
                    </w:rPr>
                    <w:t>×宽）</w:t>
                  </w:r>
                </w:p>
              </w:tc>
              <w:tc>
                <w:tcPr>
                  <w:tcW w:type="dxa" w:w="2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不超过</w:t>
                  </w:r>
                  <w:r>
                    <w:rPr>
                      <w:rFonts w:ascii="仿宋_GB2312" w:hAnsi="仿宋_GB2312" w:cs="仿宋_GB2312" w:eastAsia="仿宋_GB2312"/>
                      <w:sz w:val="21"/>
                    </w:rPr>
                    <w:t>8米×3米</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数量</w:t>
                  </w:r>
                </w:p>
              </w:tc>
              <w:tc>
                <w:tcPr>
                  <w:tcW w:type="dxa" w:w="2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一台</w:t>
                  </w:r>
                </w:p>
              </w:tc>
            </w:tr>
          </w:tbl>
          <w:p>
            <w:pPr>
              <w:pStyle w:val="null3"/>
              <w:jc w:val="both"/>
            </w:pPr>
            <w:r>
              <w:rPr>
                <w:rFonts w:ascii="仿宋_GB2312" w:hAnsi="仿宋_GB2312" w:cs="仿宋_GB2312" w:eastAsia="仿宋_GB2312"/>
                <w:sz w:val="21"/>
              </w:rPr>
              <w:t>1.1技术要求</w:t>
            </w:r>
          </w:p>
          <w:p>
            <w:pPr>
              <w:pStyle w:val="null3"/>
              <w:jc w:val="both"/>
            </w:pPr>
            <w:r>
              <w:rPr>
                <w:rFonts w:ascii="仿宋_GB2312" w:hAnsi="仿宋_GB2312" w:cs="仿宋_GB2312" w:eastAsia="仿宋_GB2312"/>
                <w:sz w:val="21"/>
              </w:rPr>
              <w:t>1.1.1基本配置★：</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1）计算机直接制版机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2）出版软件所需与印前流程连接。</w:t>
            </w:r>
          </w:p>
          <w:p>
            <w:pPr>
              <w:pStyle w:val="null3"/>
              <w:ind w:firstLine="420"/>
              <w:jc w:val="both"/>
            </w:pPr>
            <w:r>
              <w:rPr>
                <w:rFonts w:ascii="仿宋_GB2312" w:hAnsi="仿宋_GB2312" w:cs="仿宋_GB2312" w:eastAsia="仿宋_GB2312"/>
                <w:sz w:val="21"/>
              </w:rPr>
              <w:t>1.1.2功能配置：</w:t>
            </w:r>
          </w:p>
          <w:tbl>
            <w:tblPr>
              <w:tblInd w:type="dxa" w:w="210"/>
              <w:tblBorders>
                <w:top w:val="none" w:color="000000" w:sz="4"/>
                <w:left w:val="none" w:color="000000" w:sz="4"/>
                <w:bottom w:val="none" w:color="000000" w:sz="4"/>
                <w:right w:val="none" w:color="000000" w:sz="4"/>
                <w:insideH w:val="none"/>
                <w:insideV w:val="none"/>
              </w:tblBorders>
            </w:tblPr>
            <w:tblGrid>
              <w:gridCol w:w="226"/>
              <w:gridCol w:w="649"/>
              <w:gridCol w:w="1678"/>
            </w:tblGrid>
            <w:tr>
              <w:tc>
                <w:tcPr>
                  <w:tcW w:type="dxa" w:w="226"/>
                  <w:tcBorders>
                    <w:top w:val="single" w:color="000000" w:sz="4"/>
                    <w:left w:val="single" w:color="000000" w:sz="4"/>
                    <w:bottom w:val="single" w:color="000000" w:sz="4"/>
                    <w:right w:val="non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序号</w:t>
                  </w:r>
                </w:p>
              </w:tc>
              <w:tc>
                <w:tcPr>
                  <w:tcW w:type="dxa" w:w="649"/>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名称</w:t>
                  </w:r>
                </w:p>
              </w:tc>
              <w:tc>
                <w:tcPr>
                  <w:tcW w:type="dxa" w:w="1678"/>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配置</w:t>
                  </w:r>
                </w:p>
              </w:tc>
            </w:tr>
            <w:tr>
              <w:tc>
                <w:tcPr>
                  <w:tcW w:type="dxa" w:w="22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1</w:t>
                  </w:r>
                </w:p>
              </w:tc>
              <w:tc>
                <w:tcPr>
                  <w:tcW w:type="dxa" w:w="6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9"/>
                    </w:rPr>
                    <w:t>▲</w:t>
                  </w:r>
                  <w:r>
                    <w:rPr>
                      <w:rFonts w:ascii="仿宋_GB2312" w:hAnsi="仿宋_GB2312" w:cs="仿宋_GB2312" w:eastAsia="仿宋_GB2312"/>
                      <w:sz w:val="21"/>
                    </w:rPr>
                    <w:t>CTP分辨率(dpi)</w:t>
                  </w:r>
                </w:p>
              </w:tc>
              <w:tc>
                <w:tcPr>
                  <w:tcW w:type="dxa" w:w="16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1、标配2400dpi；</w:t>
                  </w:r>
                </w:p>
                <w:p>
                  <w:pPr>
                    <w:pStyle w:val="null3"/>
                    <w:jc w:val="center"/>
                  </w:pPr>
                  <w:r>
                    <w:rPr>
                      <w:rFonts w:ascii="仿宋_GB2312" w:hAnsi="仿宋_GB2312" w:cs="仿宋_GB2312" w:eastAsia="仿宋_GB2312"/>
                      <w:sz w:val="21"/>
                    </w:rPr>
                    <w:t>2、</w:t>
                  </w:r>
                  <w:r>
                    <w:rPr>
                      <w:rFonts w:ascii="仿宋_GB2312" w:hAnsi="仿宋_GB2312" w:cs="仿宋_GB2312" w:eastAsia="仿宋_GB2312"/>
                      <w:sz w:val="21"/>
                    </w:rPr>
                    <w:t>内置多分辨率</w:t>
                  </w:r>
                  <w:r>
                    <w:rPr>
                      <w:rFonts w:ascii="仿宋_GB2312" w:hAnsi="仿宋_GB2312" w:cs="仿宋_GB2312" w:eastAsia="仿宋_GB2312"/>
                      <w:sz w:val="21"/>
                    </w:rPr>
                    <w:t>1200/1800/2400/2540</w:t>
                  </w:r>
                  <w:r>
                    <w:rPr>
                      <w:rFonts w:ascii="仿宋_GB2312" w:hAnsi="仿宋_GB2312" w:cs="仿宋_GB2312" w:eastAsia="仿宋_GB2312"/>
                      <w:sz w:val="21"/>
                    </w:rPr>
                    <w:t>。</w:t>
                  </w:r>
                </w:p>
              </w:tc>
            </w:tr>
            <w:tr>
              <w:tc>
                <w:tcPr>
                  <w:tcW w:type="dxa" w:w="22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2</w:t>
                  </w:r>
                </w:p>
              </w:tc>
              <w:tc>
                <w:tcPr>
                  <w:tcW w:type="dxa" w:w="6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9"/>
                    </w:rPr>
                    <w:t>▲</w:t>
                  </w:r>
                  <w:r>
                    <w:rPr>
                      <w:rFonts w:ascii="仿宋_GB2312" w:hAnsi="仿宋_GB2312" w:cs="仿宋_GB2312" w:eastAsia="仿宋_GB2312"/>
                      <w:sz w:val="21"/>
                    </w:rPr>
                    <w:t>CTP速度/h</w:t>
                  </w:r>
                </w:p>
              </w:tc>
              <w:tc>
                <w:tcPr>
                  <w:tcW w:type="dxa" w:w="16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1"/>
                    </w:rPr>
                    <w:t>≥38张/小时（需以设备可出版最大尺寸或1030x790mm尺寸版材计算每小时生产效率，不能以设备可出版最小尺寸计算每小时生产效率)</w:t>
                  </w:r>
                </w:p>
              </w:tc>
            </w:tr>
            <w:tr>
              <w:tc>
                <w:tcPr>
                  <w:tcW w:type="dxa" w:w="22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3</w:t>
                  </w:r>
                </w:p>
              </w:tc>
              <w:tc>
                <w:tcPr>
                  <w:tcW w:type="dxa" w:w="6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9"/>
                    </w:rPr>
                    <w:t>▲</w:t>
                  </w:r>
                  <w:r>
                    <w:rPr>
                      <w:rFonts w:ascii="仿宋_GB2312" w:hAnsi="仿宋_GB2312" w:cs="仿宋_GB2312" w:eastAsia="仿宋_GB2312"/>
                      <w:sz w:val="21"/>
                    </w:rPr>
                    <w:t>CTP印版幅面</w:t>
                  </w:r>
                  <w:r>
                    <w:br/>
                  </w:r>
                  <w:r>
                    <w:rPr>
                      <w:rFonts w:ascii="仿宋_GB2312" w:hAnsi="仿宋_GB2312" w:cs="仿宋_GB2312" w:eastAsia="仿宋_GB2312"/>
                      <w:sz w:val="21"/>
                    </w:rPr>
                    <w:t>最小</w:t>
                  </w:r>
                  <w:r>
                    <w:rPr>
                      <w:rFonts w:ascii="仿宋_GB2312" w:hAnsi="仿宋_GB2312" w:cs="仿宋_GB2312" w:eastAsia="仿宋_GB2312"/>
                      <w:sz w:val="21"/>
                    </w:rPr>
                    <w:t>/最大</w:t>
                  </w:r>
                  <w:r>
                    <w:br/>
                  </w:r>
                  <w:r>
                    <w:rPr>
                      <w:rFonts w:ascii="仿宋_GB2312" w:hAnsi="仿宋_GB2312" w:cs="仿宋_GB2312" w:eastAsia="仿宋_GB2312"/>
                      <w:sz w:val="21"/>
                    </w:rPr>
                    <w:t>（长</w:t>
                  </w:r>
                  <w:r>
                    <w:rPr>
                      <w:rFonts w:ascii="仿宋_GB2312" w:hAnsi="仿宋_GB2312" w:cs="仿宋_GB2312" w:eastAsia="仿宋_GB2312"/>
                      <w:sz w:val="21"/>
                    </w:rPr>
                    <w:t>×宽）</w:t>
                  </w:r>
                </w:p>
              </w:tc>
              <w:tc>
                <w:tcPr>
                  <w:tcW w:type="dxa" w:w="16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21"/>
                    </w:rPr>
                    <w:t>最大：</w:t>
                  </w:r>
                  <w:r>
                    <w:rPr>
                      <w:rFonts w:ascii="仿宋_GB2312" w:hAnsi="仿宋_GB2312" w:cs="仿宋_GB2312" w:eastAsia="仿宋_GB2312"/>
                      <w:sz w:val="21"/>
                    </w:rPr>
                    <w:t>≥790×1030mm</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最小：</w:t>
                  </w:r>
                  <w:r>
                    <w:rPr>
                      <w:rFonts w:ascii="仿宋_GB2312" w:hAnsi="仿宋_GB2312" w:cs="仿宋_GB2312" w:eastAsia="仿宋_GB2312"/>
                      <w:sz w:val="21"/>
                    </w:rPr>
                    <w:t>≤370×323mm</w:t>
                  </w:r>
                </w:p>
                <w:p>
                  <w:pPr>
                    <w:pStyle w:val="null3"/>
                    <w:jc w:val="both"/>
                  </w:pPr>
                </w:p>
              </w:tc>
            </w:tr>
            <w:tr>
              <w:tc>
                <w:tcPr>
                  <w:tcW w:type="dxa" w:w="22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4</w:t>
                  </w:r>
                </w:p>
              </w:tc>
              <w:tc>
                <w:tcPr>
                  <w:tcW w:type="dxa" w:w="6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★CTP自动上版功能</w:t>
                  </w:r>
                </w:p>
              </w:tc>
              <w:tc>
                <w:tcPr>
                  <w:tcW w:type="dxa" w:w="16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全自动上版</w:t>
                  </w:r>
                  <w:r>
                    <w:rPr>
                      <w:rFonts w:ascii="仿宋_GB2312" w:hAnsi="仿宋_GB2312" w:cs="仿宋_GB2312" w:eastAsia="仿宋_GB2312"/>
                      <w:sz w:val="21"/>
                    </w:rPr>
                    <w:t>功能。</w:t>
                  </w:r>
                </w:p>
              </w:tc>
            </w:tr>
            <w:tr>
              <w:tc>
                <w:tcPr>
                  <w:tcW w:type="dxa" w:w="22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5</w:t>
                  </w:r>
                </w:p>
              </w:tc>
              <w:tc>
                <w:tcPr>
                  <w:tcW w:type="dxa" w:w="6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9"/>
                    </w:rPr>
                    <w:t>▲</w:t>
                  </w:r>
                  <w:r>
                    <w:rPr>
                      <w:rFonts w:ascii="仿宋_GB2312" w:hAnsi="仿宋_GB2312" w:cs="仿宋_GB2312" w:eastAsia="仿宋_GB2312"/>
                      <w:sz w:val="21"/>
                    </w:rPr>
                    <w:t>自动收版架</w:t>
                  </w:r>
                </w:p>
              </w:tc>
              <w:tc>
                <w:tcPr>
                  <w:tcW w:type="dxa" w:w="16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与设备配套自动收版架</w:t>
                  </w:r>
                </w:p>
              </w:tc>
            </w:tr>
            <w:tr>
              <w:tc>
                <w:tcPr>
                  <w:tcW w:type="dxa" w:w="22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6</w:t>
                  </w:r>
                </w:p>
              </w:tc>
              <w:tc>
                <w:tcPr>
                  <w:tcW w:type="dxa" w:w="6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9"/>
                    </w:rPr>
                    <w:t>▲</w:t>
                  </w:r>
                  <w:r>
                    <w:rPr>
                      <w:rFonts w:ascii="仿宋_GB2312" w:hAnsi="仿宋_GB2312" w:cs="仿宋_GB2312" w:eastAsia="仿宋_GB2312"/>
                      <w:sz w:val="21"/>
                    </w:rPr>
                    <w:t>冲版机</w:t>
                  </w:r>
                </w:p>
              </w:tc>
              <w:tc>
                <w:tcPr>
                  <w:tcW w:type="dxa" w:w="16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与设备需配套冲版机</w:t>
                  </w:r>
                </w:p>
              </w:tc>
            </w:tr>
            <w:tr>
              <w:tc>
                <w:tcPr>
                  <w:tcW w:type="dxa" w:w="22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7</w:t>
                  </w:r>
                </w:p>
              </w:tc>
              <w:tc>
                <w:tcPr>
                  <w:tcW w:type="dxa" w:w="6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9"/>
                    </w:rPr>
                    <w:t>▲</w:t>
                  </w:r>
                  <w:r>
                    <w:rPr>
                      <w:rFonts w:ascii="仿宋_GB2312" w:hAnsi="仿宋_GB2312" w:cs="仿宋_GB2312" w:eastAsia="仿宋_GB2312"/>
                      <w:sz w:val="21"/>
                    </w:rPr>
                    <w:t>软件及端口</w:t>
                  </w:r>
                </w:p>
              </w:tc>
              <w:tc>
                <w:tcPr>
                  <w:tcW w:type="dxa" w:w="16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1"/>
                    </w:rPr>
                    <w:t>印前配套流程管理系统，输出端有多色高清预览功能，并配有标准通用</w:t>
                  </w:r>
                  <w:r>
                    <w:rPr>
                      <w:rFonts w:ascii="仿宋_GB2312" w:hAnsi="仿宋_GB2312" w:cs="仿宋_GB2312" w:eastAsia="仿宋_GB2312"/>
                      <w:sz w:val="21"/>
                    </w:rPr>
                    <w:t>1-Bit-Tiff 流程</w:t>
                  </w:r>
                </w:p>
              </w:tc>
            </w:tr>
            <w:tr>
              <w:tc>
                <w:tcPr>
                  <w:tcW w:type="dxa" w:w="22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8</w:t>
                  </w:r>
                </w:p>
              </w:tc>
              <w:tc>
                <w:tcPr>
                  <w:tcW w:type="dxa" w:w="6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19"/>
                    </w:rPr>
                    <w:t>▲</w:t>
                  </w:r>
                  <w:r>
                    <w:rPr>
                      <w:rFonts w:ascii="仿宋_GB2312" w:hAnsi="仿宋_GB2312" w:cs="仿宋_GB2312" w:eastAsia="仿宋_GB2312"/>
                      <w:sz w:val="21"/>
                    </w:rPr>
                    <w:t>CTP加网</w:t>
                  </w:r>
                </w:p>
              </w:tc>
              <w:tc>
                <w:tcPr>
                  <w:tcW w:type="dxa" w:w="16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1"/>
                    </w:rPr>
                    <w:t>1、调频加网方式：网点尺寸最小可达20微米，最大为90微米；</w:t>
                  </w:r>
                  <w:r>
                    <w:br/>
                  </w:r>
                  <w:r>
                    <w:rPr>
                      <w:rFonts w:ascii="仿宋_GB2312" w:hAnsi="仿宋_GB2312" w:cs="仿宋_GB2312" w:eastAsia="仿宋_GB2312"/>
                      <w:sz w:val="21"/>
                    </w:rPr>
                    <w:t>2、混合加网方式：加网线数可达160线/厘米（300lpi）；</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合同签订之日起10个工作日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招标人指定地点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进度款，付款条件说明： 本项目采用固定总价合同，付款方式:合同签订后设备进场到位后，支付合同总金额的，达到付款条件起10个工作日内，支付合同总金额的70.0%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进度款，设备安装调试完成并经甲方验收合格后支付合同总价的，达到付款条件起10个工作日内，支付合同总金额的27.0%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进度款，设备运行三个月后若无任何质量问题支付合同总价的，达到付款条件起10个工作日内，支付合同总金额的3.0%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标准：国家有关的验收标准及规范；招标文件；投标文件。2.验收方法：产品到货后由双方对产品数量、尺寸、包装规格、品牌等内容进行核对，确认无误后方可交货。若产品与合同要求不符，招标人将拒绝接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1.“质保期”为“终验合格证书”签署之日起，投标人负责为招标人提供的为期2年设备质量保证服务期。 2.投标人保证合同项下提供的全部设备包含设计、材料或工艺上的缺陷，同时保证消除因投标人行为的疏忽而产生的缺陷（这些缺陷是所供设备在中华人民共和国现行条件下正常使用可能产生的）。 3.投标人确保其技术建议以及所提供的设备的完整性和可用性，保证设备能够投入正常运行。若出现由于投标人提供设备不满足合同要求或其所提供的技术支持和服务不全面而导致设备功能无法实现或不能完全实现的情况，由投标人负全部责任。 4.在质保期内，投标人必须为招标人提供技术援助电话,用于招标人报告故障，技术援助电话支持是以中文提供。如电话支持无法解决,投标人应在接到通知之时起2小时内做出响应，采取行动排除故障，并在 24 小时内修复。如果投标人在接到通知之时起的 24 小时内未修复，乙方须在8小时内提供配置、质量一致的备机或出版服务，送达招标人指点地点，直至故障设备修复。 5.在质保期内，投标人应免费提供设备的升级和相关的技术支持、培训及资料，并应以中文提供。维修或更换有缺陷的设备或部件，或解决设备运行过程中出现的问题时所产生的一切费用由投标人承担。 6.产品涉及到进口部分，投标人应自行按国家政策法规严格办理进口手续，并承担相关税费，若出现任何问题由投标人自行负责。 7.投标人应负责产品的制造和指导安装，并承担连带责任。 8.投标人应按投标文件的易损件清单的部件价格向招标人供货，签订合同后三年内有效。 保修期：每批货物自验收合格之日起2年。质量保修范围：（1）质保期内招标人使用中标人所提供的产品若出现质量问题，中标人需无条件更换，由此产生的费用由中标人全部承担；（2）因质量缺陷原因造成的残损或运输过程中导致的设备损坏，一经发现中标人应无条件更换，不得影响印刷进度，如超期更换招标人有权追究中标人的责任并立刻终止供货合同；(3)投标人须承诺:投标报价须包含服务采购清单中所有费用，最高为55万元(费用包含人员工资、设备、耗材、布局设计、水电线路改造、各类开孔作业，施工辅材、垃圾清运、成品保护、调试及质保服务等全部费用)。(4)投标人须承诺:如遇现场需要更换配件的问题，原厂质保期内的由投标人负责联系厂家提供零配件，质保期外，由投标人进行配件更换或维修，满足科室使用。维护期间产生的所有费用由投标人承担。</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1.中标人未按合同约定的交货日期交货的，每逾期一日，向招标人支付逾期交付货物价款的1%的违约金，但不超过合同总金额的10%。中标人支付逾期交货违约金并不免除其交货的责任。2.如中标人在合同规定的交货日期后10天内仍未能交货，则视为中标人不能交货，招标人有权解除合同，中标人除退还已收取的货款外，还应向招标人偿付合同总金额10%的违约金。3.中标人所供产品2次出现质量问题，给予500元以内的现金处罚，3次以上招标人有权解除合同，并处以合同价10%的罚款。如因产品质量问题导致的所有责任由中标人承担，应全额赔偿，并将有关情况上报政府采购监管部门解除合同。 争议解决：凡与本项目有关的一切争议，双方应通过友好协商解决。如经协商后仍不能达成协议时，任何一方都有权向甲方所在地人民法院起诉。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采购包1： 1、为保障政府采购电子化交易平台项目实施，投标人需要在线提交所有通过电子化交易平台实施的政府采购项目的投标文件。中标人领取中标通知书时须线下提交投标文件正本壹套、副本贰套、电子版(U盘壹套）。纸质投标文件应与电子投标文件保持一致。递交文件地点：陕西省西安市经济技术开发区文景北路16号白桦林国际B座1602室。 2、采购标的对应的中小企业划分标准所属行业为工业，划分标准为：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6、需要落实的政府采购政策：6.1《国务院办公厅关于建立政府强制采购节能产品制度的通知》（国办发〔2007〕51号）；6.2《财政部 司法部关于政府采购支持监狱企业发展有关问题的通知》（财库〔2014〕68 号）；6.3《财政部、民政部、中国残疾人联合会关于促进残疾人就业政府采购政策的通知》（财库〔2017〕141号）；6.4《财政部 发展改革委 生态环境部 市场监管总局关于调整优化节能产品、环境标志产品政府采购执行机制的通知》（财库〔2019〕9号）；6.5《关于运用政府采购政策支持乡村产业振兴的通知》（财库〔2021〕19 号）； 6.6《政府采购促进中小企业发展管理办法》（财库〔2020〕46号）；6.7陕西省财政厅关于印发《陕西省中小企业政府采购信用融资办法》（陕财办采〔2018〕23号）；6.8《关于进一步加大政府采购支持中小企业力度的通知》（财库〔2022〕19号）；6.9《关于扩大政府采购支持绿色建材促进建筑品质提升政策实施范围的通知》（财库〔2022〕35号）。 采购包2：1.设备交付给招标人前的一切风险由投标人承担。 2.在设备交货前，投标人应对设备质量、性能等进行详细而全面的检验，并向招标人出具一份证明其符合合同规定的产品合格证，产品合格证是设备交货时投标人提交给招标人文件的一个组成部分，但不能作为有关设备质量、性能等指标的最终检验标准。 3.投标人负责所提供设备的软、硬件的现场安装、调试和与相关系统的连通，并协助招标人进行验货、测试等工作。招标人有权检验（包括抽检）和测试设备。投标人应承担提供必要的检测手段和检测设施，投标人承担相关费用并为招标人检测人员提供协助的费用。 4.设备到达项目现场指定的交货地点后，投标人与招标人代表按设备清单共同对设备进行开箱验货，包括但不限于验视设备数量是否齐全、外观是否完好等。 5.设备送达招标人指定的项目现场并安装完成之日起 30 日内，由招标人代表和投标人代表共同对设备进行安装验收，以确定设备满足上线运行条件。安装验收在项目现场或指定地点进行，测试手段和方案由投标人提出并经招标人确认。投标人应按照招标人的要求参加安装验收，其相关费用由投标人负担。如果设备通过安装验收测试，则招标人应给投标人签署“初验合格证书”（正本两份）；如果因投标人原因无法按合同要求的时间安装验收，则投标人应承担合同第十条规定的违约责任。 6.在安装验收合格后，将进入3个月的设备试运行阶段。如果由于投标人设备设计及开发失误所引起的质量和性能等问题造成招标人的软硬件系统瘫痪等重大故障，投标人应负全部责任并立即查明原因和尽快解决问题，由此产生的额外费用及给招标人造成的损失将由投标人负担。问题解决后，试运行期将重新开始计算；如果由于招标人指定系统软件原因导致设备不能正常工作，经双方确认不属于投标人设备问题，则时间顺延，投标人有责任继续履行其他合同义务。投标人应保障设备试运行的顺利进行，如果因投标人原因无法按合同要求的时间完成试运行，则投标人应承担合同第十条规定的责任。 7.若试运行期满，设备达到合同所规定的全部技术功能和性能要求，终验通过后，招标人给投标人签署“终验合格证书”（正本两份）。 8.不可抗力 8.1如因不可抗力（合同生效后出现的，完全或部分地妨碍任何一方履行本合同的法定免责事件，而且该等事件是本合同各方所不能预测、无法预防或即使预防也不能避免的）、政府禁令或行业政策（需提供政府或行业主管机构相关文件）导致任一方不能依约履行合同时，另一方有权选择顺延服务期间（延长的期限应相当于事故所影响的时间）或者终止合同，甲乙双方均不承担违约责任。 8.2受阻一方应在不可抗力事故发生后尽快用电报、传真或电传通知对方，并于事故发生后14日内将有关当局出具的证明文件用特快专递或挂号信寄给对方审阅确认。 8.3违约终止合同 发生下列严重违约情形之一的，在招标人针对投标人违约而采取的任何追究责任措施不受影响的情况下，招标人可向投标人发出书面通知，提出终止部分或全部合同：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本国产品说明 中小企业声明函 商务应答表 中国境内生产的组件成本核算基本规则 投标人应提交的相关资格证明材料 产品技术参数表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开标一览表 本国产品说明 中小企业声明函 商务应答表 中国境内生产的组件成本核算基本规则 投标人应提交的相关资格证明材料 产品技术参数表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技术方案.docx 本国产品说明 中小企业声明函 商务应答表 中国境内生产的组件成本核算基本规则 投标人需要提交的其他资料.docx 法定代表人资格证明及授权书.docx 投标人应提交的相关资格证明材料 开标一览表2及分项报价表.docx 产品技术参数表 投标人应提交的相关资格证明材料.docx 格式自拟.docx 投标函 残疾人福利性单位声明函 标的清单 关于符合本国产品标准的声明函 投标文件封面 监狱企业的证明文件</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法人或者其他组织须提供营业执照等证明文件 , 自然人须提供身份证明，投标人需在项目电子化交易系统中按要求上传相应证明文件并进行电子签章。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开标一览表 本国产品说明 中小企业声明函 商务应答表 中国境内生产的组件成本核算基本规则 投标人应提交的相关资格证明材料 产品技术参数表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参加本次政府采购活动前3年内在经营活动中没有重大违法记录的书面声明</w:t>
            </w:r>
          </w:p>
        </w:tc>
        <w:tc>
          <w:tcPr>
            <w:tcW w:type="dxa" w:w="3322"/>
          </w:tcPr>
          <w:p>
            <w:pPr>
              <w:pStyle w:val="null3"/>
            </w:pPr>
            <w:r>
              <w:rPr>
                <w:rFonts w:ascii="仿宋_GB2312" w:hAnsi="仿宋_GB2312" w:cs="仿宋_GB2312" w:eastAsia="仿宋_GB2312"/>
              </w:rPr>
              <w:t>参加本次政府采购活动前3年内在经营活动中没有重大违法记录的书面声明，投标人需在项目电子化交易系统中按要求上传相应证明文件并进行电子签章。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具有履行合同所必需的设备和专业技术能力的承诺函</w:t>
            </w:r>
          </w:p>
        </w:tc>
        <w:tc>
          <w:tcPr>
            <w:tcW w:type="dxa" w:w="3322"/>
          </w:tcPr>
          <w:p>
            <w:pPr>
              <w:pStyle w:val="null3"/>
            </w:pPr>
            <w:r>
              <w:rPr>
                <w:rFonts w:ascii="仿宋_GB2312" w:hAnsi="仿宋_GB2312" w:cs="仿宋_GB2312" w:eastAsia="仿宋_GB2312"/>
              </w:rPr>
              <w:t>具有履行合同所必需的设备和专业技术能力的承诺函，投标人需在项目电子化交易系统中按要求上传相应证明文件并进行电子签章。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中国境内生产的组件成本核算基本规则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社保缴纳凭证</w:t>
            </w:r>
          </w:p>
        </w:tc>
        <w:tc>
          <w:tcPr>
            <w:tcW w:type="dxa" w:w="3322"/>
          </w:tcPr>
          <w:p>
            <w:pPr>
              <w:pStyle w:val="null3"/>
            </w:pPr>
            <w:r>
              <w:rPr>
                <w:rFonts w:ascii="仿宋_GB2312" w:hAnsi="仿宋_GB2312" w:cs="仿宋_GB2312" w:eastAsia="仿宋_GB2312"/>
              </w:rPr>
              <w:t>自2025年10月1日以来已缴存的至少一个月的社会保障资金缴存单据或社保机构开具的社会保险参保缴费情况证明，单据或证明上应有社保机构或代收机构的公章或业务专用章；依法不需要缴纳社会保障资金的投标人应提供相关文件证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关于符合本国产品标准的声明函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税收缴纳凭证</w:t>
            </w:r>
          </w:p>
        </w:tc>
        <w:tc>
          <w:tcPr>
            <w:tcW w:type="dxa" w:w="3322"/>
          </w:tcPr>
          <w:p>
            <w:pPr>
              <w:pStyle w:val="null3"/>
            </w:pPr>
            <w:r>
              <w:rPr>
                <w:rFonts w:ascii="仿宋_GB2312" w:hAnsi="仿宋_GB2312" w:cs="仿宋_GB2312" w:eastAsia="仿宋_GB2312"/>
              </w:rPr>
              <w:t>自2025年10月1日以来已缴纳的至少一个月的纳税证明或完税证明，纳税证明或完税证明上应有代收机构或税务机关的公章或业务专用章；依法免税的投标人应提供相关文件证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本国产品说明</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报告，或其开标前三个月内基本存款账户开户银行出具的资信证明及基本存款账户开户许可证（或基本存款账户信息相关证明文件），或信用担保机构出具的投标担保函。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失信主体的投标人，不得为中国政府采购网（www.ccgp.gov.cn）政府采购严重违法失信行为记录名单中被财政部门禁止参加政府采购活动的投标人。招标人或采购代理机构在开标当日通过“信用中国”网(www.creditchina. gov.cn)、中国政府采购网(www.ccgp.gov.cn)查询相关主体信用记录网页截图保存。</w:t>
            </w:r>
          </w:p>
        </w:tc>
        <w:tc>
          <w:tcPr>
            <w:tcW w:type="dxa" w:w="1661"/>
          </w:tcPr>
          <w:p>
            <w:pPr>
              <w:pStyle w:val="null3"/>
            </w:pPr>
            <w:r>
              <w:rPr>
                <w:rFonts w:ascii="仿宋_GB2312" w:hAnsi="仿宋_GB2312" w:cs="仿宋_GB2312" w:eastAsia="仿宋_GB2312"/>
              </w:rPr>
              <w:t>产品技术参数表</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只能有一个有效报价，不得提交选择性报价，且投标单价不超过单价限价</w:t>
            </w:r>
          </w:p>
        </w:tc>
        <w:tc>
          <w:tcPr>
            <w:tcW w:type="dxa" w:w="1661"/>
          </w:tcPr>
          <w:p>
            <w:pPr>
              <w:pStyle w:val="null3"/>
            </w:pPr>
            <w:r>
              <w:rPr>
                <w:rFonts w:ascii="仿宋_GB2312" w:hAnsi="仿宋_GB2312" w:cs="仿宋_GB2312" w:eastAsia="仿宋_GB2312"/>
              </w:rPr>
              <w:t>开标一览表 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 商务应答表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开标一览表 产品技术参数表 投标函 标的清单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产品技术参数表 投标函 商务应答表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投标函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w:t>
            </w:r>
          </w:p>
        </w:tc>
        <w:tc>
          <w:tcPr>
            <w:tcW w:type="dxa" w:w="2492"/>
          </w:tcPr>
          <w:p>
            <w:pPr>
              <w:pStyle w:val="null3"/>
            </w:pPr>
            <w:r>
              <w:rPr>
                <w:rFonts w:ascii="仿宋_GB2312" w:hAnsi="仿宋_GB2312" w:cs="仿宋_GB2312" w:eastAsia="仿宋_GB2312"/>
              </w:rPr>
              <w:t>根据“产品技术参数表”响应情况进行评审，本项目共标记有“▲”号参数共7项，完全满足得28分，每有一项带“▲”号参数负偏离扣4分，扣完为止。 备注：如本项目技术参数与性能指标有要求提供具体证明材料的，需按要求提供, 不提供或提供资料不完整视为负偏离；如本项目技术参数与性能指标无明确要求提供证明材料，则提供包括但不限于产品彩页或第三方检测报告或产品说明书或官网截图等，未提供佐证资料或资料无法体现参数指标则该项不得分。</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法定代表人资格证明及授权书.docx</w:t>
            </w:r>
          </w:p>
          <w:p>
            <w:pPr>
              <w:pStyle w:val="null3"/>
            </w:pPr>
            <w:r>
              <w:rPr>
                <w:rFonts w:ascii="仿宋_GB2312" w:hAnsi="仿宋_GB2312" w:cs="仿宋_GB2312" w:eastAsia="仿宋_GB2312"/>
              </w:rPr>
              <w:t>格式自拟.docx</w:t>
            </w:r>
          </w:p>
          <w:p>
            <w:pPr>
              <w:pStyle w:val="null3"/>
            </w:pPr>
            <w:r>
              <w:rPr>
                <w:rFonts w:ascii="仿宋_GB2312" w:hAnsi="仿宋_GB2312" w:cs="仿宋_GB2312" w:eastAsia="仿宋_GB2312"/>
              </w:rPr>
              <w:t>投标人需要提交的其他资料.docx</w:t>
            </w:r>
          </w:p>
          <w:p>
            <w:pPr>
              <w:pStyle w:val="null3"/>
            </w:pPr>
            <w:r>
              <w:rPr>
                <w:rFonts w:ascii="仿宋_GB2312" w:hAnsi="仿宋_GB2312" w:cs="仿宋_GB2312" w:eastAsia="仿宋_GB2312"/>
              </w:rPr>
              <w:t>投标人应提交的相关资格证明材料.docx</w:t>
            </w:r>
          </w:p>
          <w:p>
            <w:pPr>
              <w:pStyle w:val="null3"/>
            </w:pPr>
            <w:r>
              <w:rPr>
                <w:rFonts w:ascii="仿宋_GB2312" w:hAnsi="仿宋_GB2312" w:cs="仿宋_GB2312" w:eastAsia="仿宋_GB2312"/>
              </w:rPr>
              <w:t>开标一览表2及分项报价表.docx</w:t>
            </w:r>
          </w:p>
        </w:tc>
      </w:tr>
      <w:tr>
        <w:tc>
          <w:tcPr>
            <w:tcW w:type="dxa" w:w="831"/>
            <w:vMerge/>
          </w:tcPr>
          <w:p/>
        </w:tc>
        <w:tc>
          <w:tcPr>
            <w:tcW w:type="dxa" w:w="1661"/>
          </w:tcPr>
          <w:p>
            <w:pPr>
              <w:pStyle w:val="null3"/>
            </w:pPr>
            <w:r>
              <w:rPr>
                <w:rFonts w:ascii="仿宋_GB2312" w:hAnsi="仿宋_GB2312" w:cs="仿宋_GB2312" w:eastAsia="仿宋_GB2312"/>
              </w:rPr>
              <w:t>CTP自动上版功能</w:t>
            </w:r>
          </w:p>
        </w:tc>
        <w:tc>
          <w:tcPr>
            <w:tcW w:type="dxa" w:w="2492"/>
          </w:tcPr>
          <w:p>
            <w:pPr>
              <w:pStyle w:val="null3"/>
            </w:pPr>
            <w:r>
              <w:rPr>
                <w:rFonts w:ascii="仿宋_GB2312" w:hAnsi="仿宋_GB2312" w:cs="仿宋_GB2312" w:eastAsia="仿宋_GB2312"/>
              </w:rPr>
              <w:t>一次可装版50件（含）-100件（不含）得3分，100件（含）以上得6分。 注：投标人需提供技术说明书等相关证明资料，否则不得分。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来源渠道证明</w:t>
            </w:r>
          </w:p>
        </w:tc>
        <w:tc>
          <w:tcPr>
            <w:tcW w:type="dxa" w:w="2492"/>
          </w:tcPr>
          <w:p>
            <w:pPr>
              <w:pStyle w:val="null3"/>
            </w:pPr>
            <w:r>
              <w:rPr>
                <w:rFonts w:ascii="仿宋_GB2312" w:hAnsi="仿宋_GB2312" w:cs="仿宋_GB2312" w:eastAsia="仿宋_GB2312"/>
              </w:rPr>
              <w:t>提供所投核心产品合法来源渠道证明文件（包括但不限于销售协议或代理协议或原厂授权等），提供计5分，未提供不计分。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投标人针对本项目实际需求及特点制定实施方案，实施方案包含①供货组织安排、②供货进度计划、③管理制度和协调方案、④派送及验收方案、⑤项目团队安排。 二、评审标准： 1.完整性：内容须全面，对评审内容中的各项要求有详细描述； 2.可实施性：切合本项目实际情况，实施步骤清晰、合理； 3.针对性：方案能够紧扣项目实际情况，内容科学合理。 三、赋分标准：（满分15分） ①供货组织安排：每完全满足一项评审标准得1分，满分3分； ②供货进度计划：每完全满足一项评审标准得1分，满分3分； ③管理制度和协调方案：每完全满足一项评审标准得1分，满分3分； ④派送及验收方案：每完全满足一项评审标准得1分，满分3分； ⑤项目团队安排：每完全满足一项评审标准得1分，满分3分。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 保证</w:t>
            </w:r>
          </w:p>
        </w:tc>
        <w:tc>
          <w:tcPr>
            <w:tcW w:type="dxa" w:w="2492"/>
          </w:tcPr>
          <w:p>
            <w:pPr>
              <w:pStyle w:val="null3"/>
            </w:pPr>
            <w:r>
              <w:rPr>
                <w:rFonts w:ascii="仿宋_GB2312" w:hAnsi="仿宋_GB2312" w:cs="仿宋_GB2312" w:eastAsia="仿宋_GB2312"/>
              </w:rPr>
              <w:t>一、评审内容： 投标人针对本项目提供质量保证方案，包含①质量保证计划、②供货质量保障措施、③质量保障制度及承诺。 二、评审标准： 1.完整性及针对性：内容须全面，对评审内容中的各项要求有详细描述，方案能够紧扣项目实际情况，内容科学合理。 2.可实施性：切合本项目实际情况，提出步骤清晰、合理的方案。 三、赋分标准：（满分3分） ①质量保证计划：每完全满足一项评审标准得0.5分，满分1分； ②供货质量保障措施：每完全满足一项评审标准得0.5分，满分1分； ③质量保障制度及承诺：每完全满足一项评审标准得0.5分，满分1分。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 服务</w:t>
            </w:r>
          </w:p>
        </w:tc>
        <w:tc>
          <w:tcPr>
            <w:tcW w:type="dxa" w:w="2492"/>
          </w:tcPr>
          <w:p>
            <w:pPr>
              <w:pStyle w:val="null3"/>
            </w:pPr>
            <w:r>
              <w:rPr>
                <w:rFonts w:ascii="仿宋_GB2312" w:hAnsi="仿宋_GB2312" w:cs="仿宋_GB2312" w:eastAsia="仿宋_GB2312"/>
              </w:rPr>
              <w:t>一、评审内容： 投标人针对本项目提供售后服务，售后服务包含：①售后服务内容及保障②服务响应时间及承诺 二、评审标准： 1.完整性及针对性：内容须全面，对评审内容中的各项要求有详细描述，方案能够紧扣项目实际情况，内容科学合理。 2.可实施性：切合本项目实际情况，提出步骤清晰、合理的方案。 三、赋分标准：（满分2分） ①售后服务内容及保障：每完全满足一项评审标准得0.5分，满分1分； ②服务响应时间及承诺：每完全满足一项评审标准得0.5分，满分1分；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销售 业绩</w:t>
            </w:r>
          </w:p>
        </w:tc>
        <w:tc>
          <w:tcPr>
            <w:tcW w:type="dxa" w:w="2492"/>
          </w:tcPr>
          <w:p>
            <w:pPr>
              <w:pStyle w:val="null3"/>
            </w:pPr>
            <w:r>
              <w:rPr>
                <w:rFonts w:ascii="仿宋_GB2312" w:hAnsi="仿宋_GB2312" w:cs="仿宋_GB2312" w:eastAsia="仿宋_GB2312"/>
              </w:rPr>
              <w:t>2020年1月1日至投标截止日前，按设备制造厂商销售情况进行评价：销售10台（含）以上得5分，9台以内得2分，没有得0分。（需提供合同关键页复印件加盖公章或其他足以支撑判断同类项目的证明文件，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承诺</w:t>
            </w:r>
          </w:p>
        </w:tc>
        <w:tc>
          <w:tcPr>
            <w:tcW w:type="dxa" w:w="2492"/>
          </w:tcPr>
          <w:p>
            <w:pPr>
              <w:pStyle w:val="null3"/>
            </w:pPr>
            <w:r>
              <w:rPr>
                <w:rFonts w:ascii="仿宋_GB2312" w:hAnsi="仿宋_GB2312" w:cs="仿宋_GB2312" w:eastAsia="仿宋_GB2312"/>
              </w:rPr>
              <w:t>供应商针对本项目提供有利于本项目开展的其他承诺（如：增值服务、超量备用备货等），每提供一项承诺，得1分，满分3分，未提供不计分。中标后承诺将内容纳入采购合同，未履约将按合同约定追责。</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 保证</w:t>
            </w:r>
          </w:p>
        </w:tc>
        <w:tc>
          <w:tcPr>
            <w:tcW w:type="dxa" w:w="2492"/>
          </w:tcPr>
          <w:p>
            <w:pPr>
              <w:pStyle w:val="null3"/>
            </w:pPr>
            <w:r>
              <w:rPr>
                <w:rFonts w:ascii="仿宋_GB2312" w:hAnsi="仿宋_GB2312" w:cs="仿宋_GB2312" w:eastAsia="仿宋_GB2312"/>
              </w:rPr>
              <w:t>1.所投核心产品生产制造商持有有效期内、国家认监委可查询的ISO9001质量管理体系认证证书，认证范围包含本项目产品生产制造内容，得1分； 2.所投核心产品生产制造商持有有效期内、国家认监委可查询的ISO14001环境管理体系认证证书，认证范围包含本项目产品生产制造内容，得1分； 3.所投核心产品生产制造商持有有效期内、国家认监委可查询的ISO45001职业健康安全管理体系认证证书，认证范围包含本项目产品生产制造内容，得1分。本项最高3分。 注：如所投核心产品生产制造商为中小微企业，暂未取得上述认证，则提供加盖生产厂家公章的承诺书即可得满分，（承诺书内容包含产品生产全过程严格遵循质量、环保、职业健康安全管理标准，严格执行出厂检验，确保产品质量符合招标文件及国家现行标准），格式自拟。</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法定代表人资格证明及授权书.docx</w:t>
            </w:r>
          </w:p>
          <w:p>
            <w:pPr>
              <w:pStyle w:val="null3"/>
            </w:pPr>
            <w:r>
              <w:rPr>
                <w:rFonts w:ascii="仿宋_GB2312" w:hAnsi="仿宋_GB2312" w:cs="仿宋_GB2312" w:eastAsia="仿宋_GB2312"/>
              </w:rPr>
              <w:t>格式自拟.docx</w:t>
            </w:r>
          </w:p>
          <w:p>
            <w:pPr>
              <w:pStyle w:val="null3"/>
            </w:pPr>
            <w:r>
              <w:rPr>
                <w:rFonts w:ascii="仿宋_GB2312" w:hAnsi="仿宋_GB2312" w:cs="仿宋_GB2312" w:eastAsia="仿宋_GB2312"/>
              </w:rPr>
              <w:t>投标人需要提交的其他资料.docx</w:t>
            </w:r>
          </w:p>
          <w:p>
            <w:pPr>
              <w:pStyle w:val="null3"/>
            </w:pPr>
            <w:r>
              <w:rPr>
                <w:rFonts w:ascii="仿宋_GB2312" w:hAnsi="仿宋_GB2312" w:cs="仿宋_GB2312" w:eastAsia="仿宋_GB2312"/>
              </w:rPr>
              <w:t>投标人应提交的相关资格证明材料.docx</w:t>
            </w:r>
          </w:p>
          <w:p>
            <w:pPr>
              <w:pStyle w:val="null3"/>
            </w:pPr>
            <w:r>
              <w:rPr>
                <w:rFonts w:ascii="仿宋_GB2312" w:hAnsi="仿宋_GB2312" w:cs="仿宋_GB2312" w:eastAsia="仿宋_GB2312"/>
              </w:rPr>
              <w:t>开标一览表2及分项报价表.docx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 xml:space="preserve"> 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法定代表人资格证明及授权书.docx</w:t>
            </w:r>
          </w:p>
          <w:p>
            <w:pPr>
              <w:pStyle w:val="null3"/>
            </w:pPr>
            <w:r>
              <w:rPr>
                <w:rFonts w:ascii="仿宋_GB2312" w:hAnsi="仿宋_GB2312" w:cs="仿宋_GB2312" w:eastAsia="仿宋_GB2312"/>
              </w:rPr>
              <w:t>格式自拟.docx</w:t>
            </w:r>
          </w:p>
          <w:p>
            <w:pPr>
              <w:pStyle w:val="null3"/>
            </w:pPr>
            <w:r>
              <w:rPr>
                <w:rFonts w:ascii="仿宋_GB2312" w:hAnsi="仿宋_GB2312" w:cs="仿宋_GB2312" w:eastAsia="仿宋_GB2312"/>
              </w:rPr>
              <w:t>投标人需要提交的其他资料.docx</w:t>
            </w:r>
          </w:p>
          <w:p>
            <w:pPr>
              <w:pStyle w:val="null3"/>
            </w:pPr>
            <w:r>
              <w:rPr>
                <w:rFonts w:ascii="仿宋_GB2312" w:hAnsi="仿宋_GB2312" w:cs="仿宋_GB2312" w:eastAsia="仿宋_GB2312"/>
              </w:rPr>
              <w:t>投标人应提交的相关资格证明材料.docx</w:t>
            </w:r>
          </w:p>
          <w:p>
            <w:pPr>
              <w:pStyle w:val="null3"/>
            </w:pPr>
            <w:r>
              <w:rPr>
                <w:rFonts w:ascii="仿宋_GB2312" w:hAnsi="仿宋_GB2312" w:cs="仿宋_GB2312" w:eastAsia="仿宋_GB2312"/>
              </w:rPr>
              <w:t>开标一览表2及分项报价表.docx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法定代表人资格证明及授权书.docx</w:t>
            </w:r>
          </w:p>
          <w:p>
            <w:pPr>
              <w:pStyle w:val="null3"/>
            </w:pPr>
            <w:r>
              <w:rPr>
                <w:rFonts w:ascii="仿宋_GB2312" w:hAnsi="仿宋_GB2312" w:cs="仿宋_GB2312" w:eastAsia="仿宋_GB2312"/>
              </w:rPr>
              <w:t>格式自拟.docx</w:t>
            </w:r>
          </w:p>
          <w:p>
            <w:pPr>
              <w:pStyle w:val="null3"/>
            </w:pPr>
            <w:r>
              <w:rPr>
                <w:rFonts w:ascii="仿宋_GB2312" w:hAnsi="仿宋_GB2312" w:cs="仿宋_GB2312" w:eastAsia="仿宋_GB2312"/>
              </w:rPr>
              <w:t>投标人需要提交的其他资料.docx</w:t>
            </w:r>
          </w:p>
          <w:p>
            <w:pPr>
              <w:pStyle w:val="null3"/>
            </w:pPr>
            <w:r>
              <w:rPr>
                <w:rFonts w:ascii="仿宋_GB2312" w:hAnsi="仿宋_GB2312" w:cs="仿宋_GB2312" w:eastAsia="仿宋_GB2312"/>
              </w:rPr>
              <w:t>投标人应提交的相关资格证明材料.docx</w:t>
            </w:r>
          </w:p>
          <w:p>
            <w:pPr>
              <w:pStyle w:val="null3"/>
            </w:pPr>
            <w:r>
              <w:rPr>
                <w:rFonts w:ascii="仿宋_GB2312" w:hAnsi="仿宋_GB2312" w:cs="仿宋_GB2312" w:eastAsia="仿宋_GB2312"/>
              </w:rPr>
              <w:t>开标一览表2及分项报价表.docx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法定代表人资格证明及授权书.docx</w:t>
            </w:r>
          </w:p>
          <w:p>
            <w:pPr>
              <w:pStyle w:val="null3"/>
            </w:pPr>
            <w:r>
              <w:rPr>
                <w:rFonts w:ascii="仿宋_GB2312" w:hAnsi="仿宋_GB2312" w:cs="仿宋_GB2312" w:eastAsia="仿宋_GB2312"/>
              </w:rPr>
              <w:t>格式自拟.docx</w:t>
            </w:r>
          </w:p>
          <w:p>
            <w:pPr>
              <w:pStyle w:val="null3"/>
            </w:pPr>
            <w:r>
              <w:rPr>
                <w:rFonts w:ascii="仿宋_GB2312" w:hAnsi="仿宋_GB2312" w:cs="仿宋_GB2312" w:eastAsia="仿宋_GB2312"/>
              </w:rPr>
              <w:t>投标人需要提交的其他资料.docx</w:t>
            </w:r>
          </w:p>
          <w:p>
            <w:pPr>
              <w:pStyle w:val="null3"/>
            </w:pPr>
            <w:r>
              <w:rPr>
                <w:rFonts w:ascii="仿宋_GB2312" w:hAnsi="仿宋_GB2312" w:cs="仿宋_GB2312" w:eastAsia="仿宋_GB2312"/>
              </w:rPr>
              <w:t>投标人应提交的相关资格证明材料.docx</w:t>
            </w:r>
          </w:p>
          <w:p>
            <w:pPr>
              <w:pStyle w:val="null3"/>
            </w:pPr>
            <w:r>
              <w:rPr>
                <w:rFonts w:ascii="仿宋_GB2312" w:hAnsi="仿宋_GB2312" w:cs="仿宋_GB2312" w:eastAsia="仿宋_GB2312"/>
              </w:rPr>
              <w:t>开标一览表2及分项报价表.docx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详见附件：法定代表人资格证明及授权书.docx</w:t>
      </w:r>
    </w:p>
    <w:p>
      <w:pPr>
        <w:pStyle w:val="null3"/>
        <w:ind w:firstLine="960"/>
      </w:pPr>
      <w:r>
        <w:rPr>
          <w:rFonts w:ascii="仿宋_GB2312" w:hAnsi="仿宋_GB2312" w:cs="仿宋_GB2312" w:eastAsia="仿宋_GB2312"/>
        </w:rPr>
        <w:t>详见附件：格式自拟.docx</w:t>
      </w:r>
    </w:p>
    <w:p>
      <w:pPr>
        <w:pStyle w:val="null3"/>
        <w:ind w:firstLine="960"/>
      </w:pPr>
      <w:r>
        <w:rPr>
          <w:rFonts w:ascii="仿宋_GB2312" w:hAnsi="仿宋_GB2312" w:cs="仿宋_GB2312" w:eastAsia="仿宋_GB2312"/>
        </w:rPr>
        <w:t>详见附件：投标人需要提交的其他资料.docx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详见附件：开标一览表2及分项报价表.docx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