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版本号：HWHZ-202602120260517002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佛坪县大河坝坝下旅游基础设施建设水毁修复工程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HWHZ-2026021</w:t>
      </w:r>
      <w:r>
        <w:br/>
      </w:r>
      <w:r>
        <w:br/>
      </w:r>
      <w:r>
        <w:br/>
      </w:r>
    </w:p>
    <w:p>
      <w:pPr>
        <w:pStyle w:val="null3"/>
        <w:jc w:val="center"/>
        <w:outlineLvl w:val="2"/>
      </w:pPr>
      <w:r>
        <w:rPr>
          <w:rFonts w:ascii="仿宋_GB2312" w:hAnsi="仿宋_GB2312" w:cs="仿宋_GB2312" w:eastAsia="仿宋_GB2312"/>
          <w:sz w:val="28"/>
          <w:b/>
        </w:rPr>
        <w:t>佛坪县大河坝镇人民政府</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佛坪县大河坝镇人民政府</w:t>
      </w:r>
      <w:r>
        <w:rPr>
          <w:rFonts w:ascii="仿宋_GB2312" w:hAnsi="仿宋_GB2312" w:cs="仿宋_GB2312" w:eastAsia="仿宋_GB2312"/>
        </w:rPr>
        <w:t>委托，拟对</w:t>
      </w:r>
      <w:r>
        <w:rPr>
          <w:rFonts w:ascii="仿宋_GB2312" w:hAnsi="仿宋_GB2312" w:cs="仿宋_GB2312" w:eastAsia="仿宋_GB2312"/>
        </w:rPr>
        <w:t>佛坪县大河坝坝下旅游基础设施建设水毁修复工程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佛坪县大河坝坝下旅游基础设施建设水毁修复工程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佛坪县大河坝镇坝下旅游基础设施建设水毁修复工程主要建设内容为：M7.5 浆砌片石、钢筋混凝土圆管涵预制与安装（具体详见工程量清单所有内容）。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采购包1（佛坪县大河坝镇坝下旅游基础设施建设水毁修复工程）：属于专门面向中小企业采购。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p>
      <w:pPr>
        <w:pStyle w:val="null3"/>
      </w:pPr>
      <w:r>
        <w:rPr>
          <w:rFonts w:ascii="仿宋_GB2312" w:hAnsi="仿宋_GB2312" w:cs="仿宋_GB2312" w:eastAsia="仿宋_GB2312"/>
        </w:rPr>
        <w:t>3、企业资质要求：供应商须具备建设行政主管部门核发的公路工程施工总承包三级及以上资质，并具有建设行政主管部门颁发的安全生产许可证；</w:t>
      </w:r>
    </w:p>
    <w:p>
      <w:pPr>
        <w:pStyle w:val="null3"/>
      </w:pPr>
      <w:r>
        <w:rPr>
          <w:rFonts w:ascii="仿宋_GB2312" w:hAnsi="仿宋_GB2312" w:cs="仿宋_GB2312" w:eastAsia="仿宋_GB2312"/>
        </w:rPr>
        <w:t>4、项目经理资质要求：拟派项目经理需具备合法有效的公路工程专业二级及以上注册建造师资格，并持有行政主管部门颁发的安全生产考核合格 B 证，且无在建工程（提供无在建承诺书）；</w:t>
      </w:r>
    </w:p>
    <w:p>
      <w:pPr>
        <w:pStyle w:val="null3"/>
      </w:pPr>
      <w:r>
        <w:rPr>
          <w:rFonts w:ascii="仿宋_GB2312" w:hAnsi="仿宋_GB2312" w:cs="仿宋_GB2312" w:eastAsia="仿宋_GB2312"/>
        </w:rPr>
        <w:t>5、供应商资格承诺函：供应商须按照汉财办采管[2024]20 号文件通知要求，提供《汉中市政府采购供应商资格承诺函》；</w:t>
      </w:r>
    </w:p>
    <w:p>
      <w:pPr>
        <w:pStyle w:val="null3"/>
      </w:pPr>
      <w:r>
        <w:rPr>
          <w:rFonts w:ascii="仿宋_GB2312" w:hAnsi="仿宋_GB2312" w:cs="仿宋_GB2312" w:eastAsia="仿宋_GB2312"/>
        </w:rPr>
        <w:t>6、非联合体声明：本项目不接受联合体投标，供应商需提供非联合体书面声明。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佛坪县大河坝镇人民政府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佛坪县大河坝镇五四村新街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佛坪县大河坝镇人民政府经办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18729612225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采购包1：1,196,992.00元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佛坪县大河坝镇人民政府</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佛坪县大河坝镇人民政府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佛坪县大河坝镇人民政府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按签订合同内容执行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1,196,992.00</w:t>
      </w:r>
    </w:p>
    <w:p>
      <w:pPr>
        <w:pStyle w:val="null3"/>
      </w:pPr>
      <w:r>
        <w:rPr>
          <w:rFonts w:ascii="仿宋_GB2312" w:hAnsi="仿宋_GB2312" w:cs="仿宋_GB2312" w:eastAsia="仿宋_GB2312"/>
        </w:rPr>
        <w:t>采购包最高限价（元）: 1,196,992.00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佛坪县大河坝坝下旅游基础设施建设水毁修复工程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1,196,992.00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标的名称：佛坪县大河坝坝下旅游基础设施建设水毁修复工程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工期：60日历天。</w:t>
            </w:r>
          </w:p>
          <w:p>
            <w:pPr>
              <w:pStyle w:val="null3"/>
            </w:pPr>
            <w:r>
              <w:rPr>
                <w:rFonts w:ascii="仿宋_GB2312" w:hAnsi="仿宋_GB2312" w:cs="仿宋_GB2312" w:eastAsia="仿宋_GB2312"/>
              </w:rPr>
              <w:t>工程质量：合格。</w:t>
            </w:r>
          </w:p>
          <w:p>
            <w:pPr>
              <w:pStyle w:val="null3"/>
            </w:pPr>
            <w:r>
              <w:rPr>
                <w:rFonts w:ascii="仿宋_GB2312" w:hAnsi="仿宋_GB2312" w:cs="仿宋_GB2312" w:eastAsia="仿宋_GB2312"/>
              </w:rPr>
              <w:t>验收标准：达到国家工程质量验收合格标准。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磋商须提供《法定代表人身份证明》(附法定代表人身份证复印件)；法定代表人授权他人参加磋商，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供应商须具备建设行政主管部门核发的公路工程施工总承包三级及以上资质，并具有建设行政主管部门颁发的安全生产许可证；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拟派项目经理需具备合法有效的公路工程专业二级及以上注册建造师资格，并持有行政主管部门颁发的安全生产考核合格 B 证，且无在建工程（提供无在建承诺书）；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汉中市政府采购供应商资格承诺函.docx 强制优先采购产品承诺函 响应文件封面 非联合体声明.docx 项目管理机构组成表 残疾人福利性单位声明函 报价函 标的清单 供应商类似项目业绩一览表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供应商提供2023年1月1日起至今已完成的类似业绩证明材料，每提供1项得2.5分，最多得5分。 评审依据：业绩以合同或（中标）成交通知书加盖公章的复印件为依据（时间以合同签订时间为准），未提供或提供不全的不得分。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投标人针对本项目编制完善的施工方案，内容包含但不限于：①具体施工内容、施工次序，②施工方法（工艺），③成品（分部分项工程）保护措施。 二、赋分标准： （1）完整性：方案内容完整全面，对上述各项内容均有描述及说明，得6.0分；缺1项，得4.0分；缺2项，得2.0分；缺3项，得0分； （2）针对性：针对性强，得6.0分；针对性一般，得4.0分；缺乏针对性，得2.0分；未按要求进行响应的，得0分； （3）可实施性：可实施性强，得3.0分；可实施性一般，得2.0分；缺乏可实施性，得1.0分。未按要求进行响应的，得0分； 说明：1、针对性：（1）针对性强：方案能够完全切合本项目实际情况。（2）针对性一般：方案中多数内容能够切合本项目实际情况，但存在至少一处不适用本项目实际的内容。（3）缺乏针对性：方案描述不符合本项目采购情况，存在明显套用其他项目方案的内容。2、可实施性：（1）可实施性强：方案工作流程完善，实施步骤清晰，科学合理，可操作性强。（2）可实施性一般：方案中存在至少一处表述模糊、难以执行或不够科学合理的内容。（3）缺乏可实施性：方案内容空洞，工作流程不完善，实施标准、实施质量不利于采购需求的实现，存在逻辑漏洞、常识错误或合理性差。以下评审内容的针对性和可实施性皆以此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工程质量保障措施</w:t>
            </w:r>
          </w:p>
        </w:tc>
        <w:tc>
          <w:tcPr>
            <w:tcW w:type="dxa" w:w="2492"/>
          </w:tcPr>
          <w:p>
            <w:pPr>
              <w:pStyle w:val="null3"/>
            </w:pPr>
            <w:r>
              <w:rPr>
                <w:rFonts w:ascii="仿宋_GB2312" w:hAnsi="仿宋_GB2312" w:cs="仿宋_GB2312" w:eastAsia="仿宋_GB2312"/>
              </w:rPr>
              <w:t>一、评审内容：投标人针对本项目编制完善的工程质量技术组织措施，内容包含但不限于：①质量目标管理体系，②施工质量的检验制度，③确保质量的技术组织措施。 二、赋分标准：（1）完整性：方案内容完整全面，对上述各项内容均有描述及说明，得3.0分；缺1项，得2.0分；缺2项，得1分；缺3项，得0分；（2）针对性：针对性强，得4.0分；针对性一般，得2.0分；缺乏针对性，得1.0分。未按要求进行响应的，得0分；（3）可实施性：可实施性强，得3.0分；可实施性一般，得2.0分；缺乏可实施性，得1.0分。未按要求进行响应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工程进度保障措施</w:t>
            </w:r>
          </w:p>
        </w:tc>
        <w:tc>
          <w:tcPr>
            <w:tcW w:type="dxa" w:w="2492"/>
          </w:tcPr>
          <w:p>
            <w:pPr>
              <w:pStyle w:val="null3"/>
            </w:pPr>
            <w:r>
              <w:rPr>
                <w:rFonts w:ascii="仿宋_GB2312" w:hAnsi="仿宋_GB2312" w:cs="仿宋_GB2312" w:eastAsia="仿宋_GB2312"/>
              </w:rPr>
              <w:t>一、评审内容：投标人针对本项目编制完善的工程进度保障措施，内容包含但不限于：①劳动力安排计划，②施工机械及材料投入计划，③施工进度网络图或施工进度表。 二、赋分标准：（1）完整性：方案内容完整全面，对上述各项内容均有描述及说明，得3.0分；缺1项，得2.0分；缺2项，得1分；缺3项，得0分；（2）针对性：针对性强，得4.0分；针对性一般，得2.0分；缺乏针对性，得1.0分。未按要求进行响应的，得0分；（3）可实施性：可实施性强，得3.0分；可实施性一般，得2.0分；缺乏可实施性，得1.0分。未按要求进行响应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安全文明施工保障措施</w:t>
            </w:r>
          </w:p>
        </w:tc>
        <w:tc>
          <w:tcPr>
            <w:tcW w:type="dxa" w:w="2492"/>
          </w:tcPr>
          <w:p>
            <w:pPr>
              <w:pStyle w:val="null3"/>
            </w:pPr>
            <w:r>
              <w:rPr>
                <w:rFonts w:ascii="仿宋_GB2312" w:hAnsi="仿宋_GB2312" w:cs="仿宋_GB2312" w:eastAsia="仿宋_GB2312"/>
              </w:rPr>
              <w:t>一、评审内容：投标人针对本项目编制完善的安全文明施工保障措施，内容包含但不限于：①安全施工目标及施工现场的临时管理措施，②文明施工保障措施，③环保控制措施：污染物及废弃物处理的排放、噪音控制、防尘及扬尘的控制措施。 二、赋分标准：（1）完整性：方案内容完整全面，对上述各项内容均有描述及说明，得3.0分；缺1项，得2.0分；缺2项，得1分；缺3项，得0分；（2）针对性：针对性强，得4.0分；针对性一般，得2.0分；缺乏针对性，得1.0分。未按要求进行响应的，得0分；（3）可实施性：可实施性强，得3.0分；可实施性一般，得2.0分；缺乏可实施性，得1.0分。未按要求进行响应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施工保修方案</w:t>
            </w:r>
          </w:p>
        </w:tc>
        <w:tc>
          <w:tcPr>
            <w:tcW w:type="dxa" w:w="2492"/>
          </w:tcPr>
          <w:p>
            <w:pPr>
              <w:pStyle w:val="null3"/>
            </w:pPr>
            <w:r>
              <w:rPr>
                <w:rFonts w:ascii="仿宋_GB2312" w:hAnsi="仿宋_GB2312" w:cs="仿宋_GB2312" w:eastAsia="仿宋_GB2312"/>
              </w:rPr>
              <w:t>一、评审内容：投标人针对本项目编制详细的保修方案，内容包含但不限于：①质量保证期内的保障工作计划；②具体保修内容、标准及明确响应时限的承诺；③有巡查或复查计划及质量保障措施； 二、赋分标准：（1）完整性：方案内容完整全面，对上述各项内容均有描述及说明，得3.0分；缺1项，得2.0分；缺2项，得1分；缺3项，得0分；（2）针对性：针对性强，得4.0分；针对性一般，得2.0分；缺乏针对性，得1.0分。未按要求进行响应的，得0分；（3）可实施性：可实施性强，得3.0分；可实施性一般，得2.0分；缺乏可实施性，得1.0分。未按要求进行响应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项目拟派人员部署</w:t>
            </w:r>
          </w:p>
        </w:tc>
        <w:tc>
          <w:tcPr>
            <w:tcW w:type="dxa" w:w="2492"/>
          </w:tcPr>
          <w:p>
            <w:pPr>
              <w:pStyle w:val="null3"/>
            </w:pPr>
            <w:r>
              <w:rPr>
                <w:rFonts w:ascii="仿宋_GB2312" w:hAnsi="仿宋_GB2312" w:cs="仿宋_GB2312" w:eastAsia="仿宋_GB2312"/>
              </w:rPr>
              <w:t>一、评审内容：投标人详细说明本项目拟派人员部署情况，内容包含但不限于：①管理机构配备计划②组织机构岗位职责； 二、赋分标准：（1）完整性：方案内容完整全面，对上述各项内容均有描述及说明，得3.0分；缺1项，得1.5分；缺2项，得0分；（2）针对性：针对性强，得4.0分；针对性一般，得2.0分；缺乏针对性，得1分。未按要求进行响应的，得0分；（3）可实施性：可实施性强，得3.0分；可实施性一般，得2.0分；缺乏可实施性，得1.0分。未按要求进行响应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经资格审查、符合性审查合格的磋商文件，其投标报价为有效投标报价。1、上限为采购预算价，即报价大于上限价视为无效标；2、以满足本次磋商文件要求的最低报价为评审基准价，其价格为满分；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 5.为保证项目质量，投标人报价若低于招标采购预算的 80%，须对报价合理性及成本构成做书面说明（如报价成本分析），如未能提供有效证明，将被视为低于成本报价而报价无效。（投标报价评审只评投标总价）。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详见附件：响应文件签署人身份证明.docx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