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版本号：ZXGJ-ZFCG-2026.0331.1B120260811002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陕西省质量强县创新发展能力提升(二次)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ZXGJ-ZFCG-2026.0331.1B1</w:t>
      </w:r>
      <w:r>
        <w:br/>
      </w:r>
      <w:r>
        <w:br/>
      </w:r>
      <w:r>
        <w:br/>
      </w:r>
    </w:p>
    <w:p>
      <w:pPr>
        <w:pStyle w:val="null3"/>
        <w:jc w:val="center"/>
        <w:outlineLvl w:val="2"/>
      </w:pPr>
      <w:r>
        <w:rPr>
          <w:rFonts w:ascii="仿宋_GB2312" w:hAnsi="仿宋_GB2312" w:cs="仿宋_GB2312" w:eastAsia="仿宋_GB2312"/>
          <w:sz w:val="28"/>
          <w:b/>
        </w:rPr>
        <w:t>陕西省市场监督管理局</w:t>
      </w:r>
    </w:p>
    <w:p>
      <w:pPr>
        <w:pStyle w:val="null3"/>
        <w:jc w:val="center"/>
        <w:outlineLvl w:val="2"/>
      </w:pPr>
      <w:r>
        <w:rPr>
          <w:rFonts w:ascii="仿宋_GB2312" w:hAnsi="仿宋_GB2312" w:cs="仿宋_GB2312" w:eastAsia="仿宋_GB2312"/>
          <w:sz w:val="28"/>
          <w:b/>
        </w:rPr>
        <w:t>中昕国际项目管理有限公司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中昕国际项目管理有限公司</w:t>
      </w:r>
      <w:r>
        <w:rPr>
          <w:rFonts w:ascii="仿宋_GB2312" w:hAnsi="仿宋_GB2312" w:cs="仿宋_GB2312" w:eastAsia="仿宋_GB2312"/>
        </w:rPr>
        <w:t>（以下简称“代理机构”）受</w:t>
      </w:r>
      <w:r>
        <w:rPr>
          <w:rFonts w:ascii="仿宋_GB2312" w:hAnsi="仿宋_GB2312" w:cs="仿宋_GB2312" w:eastAsia="仿宋_GB2312"/>
        </w:rPr>
        <w:t>陕西省市场监督管理局</w:t>
      </w:r>
      <w:r>
        <w:rPr>
          <w:rFonts w:ascii="仿宋_GB2312" w:hAnsi="仿宋_GB2312" w:cs="仿宋_GB2312" w:eastAsia="仿宋_GB2312"/>
        </w:rPr>
        <w:t>委托，拟对</w:t>
      </w:r>
      <w:r>
        <w:rPr>
          <w:rFonts w:ascii="仿宋_GB2312" w:hAnsi="仿宋_GB2312" w:cs="仿宋_GB2312" w:eastAsia="仿宋_GB2312"/>
        </w:rPr>
        <w:t>陕西省质量强县创新发展能力提升(二次)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ZXGJ-ZFCG-2026.0331.1B1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陕西省质量强县创新发展能力提升(二次)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计划委托第三方机构开展陕西省质量强县创新发展能力提升，立足陕西省质量强县工作布局，开展区域质量提升的创新路径探索，打造区域质量竞争新优势，促进全省质量强县深度发展。1.实施区域质量协调发展创新路径调研，形成《陕西省区域质量创新发展指导方案》一份；2.依托全国质量强县培育库数据分析系统和质量强县参考指标体系，开展区域质量水平创新研究，形成陕西省区域质量状况及质量发展建议书一份；3.开展质量强县培育建设培训不少于1场/次，涉及县域不少于5个；4.总结陕西省质量强县培育建设的创新路径和典型经验，形成汇编案例材料。</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2、法定代表人授权委托书：供应商应授权合法的人员参加磋商，其中法定代表人直接参加的，须附法定代表人身份证；被授权代表参加的，须附法定代表人授权书及被授权人身份证；</w:t>
      </w:r>
    </w:p>
    <w:p>
      <w:pPr>
        <w:pStyle w:val="null3"/>
      </w:pPr>
      <w:r>
        <w:rPr>
          <w:rFonts w:ascii="仿宋_GB2312" w:hAnsi="仿宋_GB2312" w:cs="仿宋_GB2312" w:eastAsia="仿宋_GB2312"/>
        </w:rPr>
        <w:t>3、税收缴纳证明：提供2025年7月至今已缴纳的至少一个月的纳税证明，依法免税的单位应提供相关证明材料；</w:t>
      </w:r>
    </w:p>
    <w:p>
      <w:pPr>
        <w:pStyle w:val="null3"/>
      </w:pPr>
      <w:r>
        <w:rPr>
          <w:rFonts w:ascii="仿宋_GB2312" w:hAnsi="仿宋_GB2312" w:cs="仿宋_GB2312" w:eastAsia="仿宋_GB2312"/>
        </w:rPr>
        <w:t>4、社会保障资金缴纳证明：提供2025年7月至今已缴存的至少一个月的社会保障资金缴存单据或社保机构开具的社会保险参保缴费情况证明，依法不需要缴纳社会保障资金的单位应提供相关证明材料；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健全的财务会计制度：须提供2024年至今任意一年经审计的财务报告，审计报告应当经过注册会计师行业统一监管平台备案赋码（成立时间至提交磋商响应文件截止时间不足一年的可提供成立后任意时段的资产负债表），或其基本存款账户开户银行出具的资信证明及基本存款账户开户许可证；</w:t>
      </w:r>
    </w:p>
    <w:p>
      <w:pPr>
        <w:pStyle w:val="null3"/>
      </w:pPr>
      <w:r>
        <w:rPr>
          <w:rFonts w:ascii="仿宋_GB2312" w:hAnsi="仿宋_GB2312" w:cs="仿宋_GB2312" w:eastAsia="仿宋_GB2312"/>
        </w:rPr>
        <w:t>6、书面声明：参加政府采购活动前三年内，在经营活动中没有重大违法记录，以及未被列入信用中国网站(www.creditchina.gov.cn)“失信被执行人、重大税收违法失信主体”；不处于中国政府采购网(www.ccgp.gov.cn)“政府采购严重违法失信行为信息记录”中的禁止参加政府采购活动期间的书面声明；</w:t>
      </w:r>
    </w:p>
    <w:p>
      <w:pPr>
        <w:pStyle w:val="null3"/>
      </w:pPr>
      <w:r>
        <w:rPr>
          <w:rFonts w:ascii="仿宋_GB2312" w:hAnsi="仿宋_GB2312" w:cs="仿宋_GB2312" w:eastAsia="仿宋_GB2312"/>
        </w:rPr>
        <w:t>7、信用记录截图：供应商未被列入信用中国网站(www.creditchina.gov.cn)“失信被执行人、重大税收违法失信主体”；不处于中国政府采购网(www.ccgp.gov.cn)“政府采购严重违法失信行为信息记录”中的禁止参加政府采购活动期间；</w:t>
      </w:r>
    </w:p>
    <w:p>
      <w:pPr>
        <w:pStyle w:val="null3"/>
      </w:pPr>
      <w:r>
        <w:rPr>
          <w:rFonts w:ascii="仿宋_GB2312" w:hAnsi="仿宋_GB2312" w:cs="仿宋_GB2312" w:eastAsia="仿宋_GB2312"/>
        </w:rPr>
        <w:t>8、承诺函：具备履行合同所必须的设备和专业技术能力的承诺函；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西安市二环北路东段739号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029-86138332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中昕国际项目管理有限公司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陕西省西安市未央区西安经济技术开发区凤城十二路首创禧悦里25幢A座16层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房雪姣、秦瑶、王超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19992553727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采购包1：482,761.00元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开户名称：中昕国际项目管理有限公司</w:t>
            </w:r>
          </w:p>
          <w:p>
            <w:pPr>
              <w:pStyle w:val="null3"/>
            </w:pPr>
            <w:r>
              <w:rPr>
                <w:rFonts w:ascii="仿宋_GB2312" w:hAnsi="仿宋_GB2312" w:cs="仿宋_GB2312" w:eastAsia="仿宋_GB2312"/>
              </w:rPr>
              <w:t>开户银行：平安银行股份有限公司西安经济技术开发区支行</w:t>
            </w:r>
          </w:p>
          <w:p>
            <w:pPr>
              <w:pStyle w:val="null3"/>
            </w:pPr>
            <w:r>
              <w:rPr>
                <w:rFonts w:ascii="仿宋_GB2312" w:hAnsi="仿宋_GB2312" w:cs="仿宋_GB2312" w:eastAsia="仿宋_GB2312"/>
              </w:rPr>
              <w:t>银行账号：30201687008555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以成交金额为基础，参照《国家计委关于印发招标代理服务收费管理暂行办法的通知》（计价格〔2002〕1980号）和国家发改委办公厅颁发的《关于招标代理服务收费有关问题的通知》（发改办价格〔2003〕857号）文件规定标准计算收取。具体收费金额将在成交公告中公布。请将采购代理服务费汇至下列指定账户：开户名称：中昕国际项目管理有限公司；开户行：中国建设银行股份有限公司西安文景路支行；账号：61050178150000000278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陕西省市场监督管理局</w:t>
      </w:r>
      <w:r>
        <w:rPr>
          <w:rFonts w:ascii="仿宋_GB2312" w:hAnsi="仿宋_GB2312" w:cs="仿宋_GB2312" w:eastAsia="仿宋_GB2312"/>
        </w:rPr>
        <w:t>和</w:t>
      </w:r>
      <w:r>
        <w:rPr>
          <w:rFonts w:ascii="仿宋_GB2312" w:hAnsi="仿宋_GB2312" w:cs="仿宋_GB2312" w:eastAsia="仿宋_GB2312"/>
        </w:rPr>
        <w:t>中昕国际项目管理有限公司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中昕国际项目管理有限公司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中昕国际项目管理有限公司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以磋商文件及合同约定为准。验收依据：合同文本，磋商文件，磋商响应文件，供应商满足国家或行业规范执行标准。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联系人：房雪姣、秦瑶、王超</w:t>
      </w:r>
    </w:p>
    <w:p>
      <w:pPr>
        <w:pStyle w:val="null3"/>
      </w:pPr>
      <w:r>
        <w:rPr>
          <w:rFonts w:ascii="仿宋_GB2312" w:hAnsi="仿宋_GB2312" w:cs="仿宋_GB2312" w:eastAsia="仿宋_GB2312"/>
        </w:rPr>
        <w:t>联系电话：19992553727</w:t>
      </w:r>
    </w:p>
    <w:p>
      <w:pPr>
        <w:pStyle w:val="null3"/>
      </w:pPr>
      <w:r>
        <w:rPr>
          <w:rFonts w:ascii="仿宋_GB2312" w:hAnsi="仿宋_GB2312" w:cs="仿宋_GB2312" w:eastAsia="仿宋_GB2312"/>
        </w:rPr>
        <w:t>地址：西安市未央区西安经济技术开发区凤城十二路首创禧悦里25幢A座16层</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计划委托第三方机构开展陕西省质量强县创新发展能力提升，立足陕西省质量强县工作布局，开展区域质量提升的创新路径探索，打造区域质量竞争新优势，促进全省质量强县深度发展。1.实施区域质量协调发展创新路径调研，形成《陕西省区域质量创新发展指导方案》一份；2.依托全国质量强县培育库数据分析系统和质量强县参考指标体系，开展区域质量水平创新研究，形成陕西省区域质量状况及质量发展建议书一份；3.开展质量强县培育建设培训不少于1场/次，涉及县域不少于5个；4.总结陕西省质量强县培育建设的创新路径和典型经验，形成汇编案例材料。</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482,761.00</w:t>
      </w:r>
    </w:p>
    <w:p>
      <w:pPr>
        <w:pStyle w:val="null3"/>
      </w:pPr>
      <w:r>
        <w:rPr>
          <w:rFonts w:ascii="仿宋_GB2312" w:hAnsi="仿宋_GB2312" w:cs="仿宋_GB2312" w:eastAsia="仿宋_GB2312"/>
        </w:rPr>
        <w:t>采购包最高限价（元）: 482,761.00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陕西省质量强县创新发展能力提升（二次）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482,761.00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标的名称：陕西省质量强县创新发展能力提升（二次）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560"/>
                    <w:jc w:val="both"/>
                  </w:pPr>
                  <w:r>
                    <w:rPr>
                      <w:rFonts w:ascii="仿宋_GB2312" w:hAnsi="仿宋_GB2312" w:cs="仿宋_GB2312" w:eastAsia="仿宋_GB2312"/>
                      <w:sz w:val="28"/>
                    </w:rPr>
                    <w:t>本次磋商的服务内容及要求等</w:t>
                  </w:r>
                </w:p>
                <w:p>
                  <w:pPr>
                    <w:pStyle w:val="null3"/>
                    <w:ind w:firstLine="482"/>
                    <w:jc w:val="both"/>
                  </w:pPr>
                  <w:r>
                    <w:rPr>
                      <w:rFonts w:ascii="仿宋_GB2312" w:hAnsi="仿宋_GB2312" w:cs="仿宋_GB2312" w:eastAsia="仿宋_GB2312"/>
                      <w:sz w:val="24"/>
                      <w:b/>
                    </w:rPr>
                    <w:t>（一）服务内容</w:t>
                  </w:r>
                </w:p>
                <w:p>
                  <w:pPr>
                    <w:pStyle w:val="null3"/>
                    <w:ind w:firstLine="560"/>
                    <w:jc w:val="both"/>
                  </w:pPr>
                  <w:r>
                    <w:rPr>
                      <w:rFonts w:ascii="仿宋_GB2312" w:hAnsi="仿宋_GB2312" w:cs="仿宋_GB2312" w:eastAsia="仿宋_GB2312"/>
                      <w:sz w:val="28"/>
                    </w:rPr>
                    <w:t>依据市场监管总局质量强县（区、镇）培育建设整体工作部署和陕西省质量强县工作计划，因地制宜开展质量强县创新发展能力提升建设，聚焦区域质量提升创新路径的探索，打造区域质量竞争新优势，促进全省质量强县深度发展，具体内容包括如下：</w:t>
                  </w:r>
                </w:p>
                <w:p>
                  <w:pPr>
                    <w:pStyle w:val="null3"/>
                    <w:ind w:firstLine="560"/>
                    <w:jc w:val="both"/>
                  </w:pPr>
                  <w:r>
                    <w:rPr>
                      <w:rFonts w:ascii="仿宋_GB2312" w:hAnsi="仿宋_GB2312" w:cs="仿宋_GB2312" w:eastAsia="仿宋_GB2312"/>
                      <w:sz w:val="28"/>
                    </w:rPr>
                    <w:t>1.开展省级质量强县专家行活动，实施区域质量协调发展创新路径实地调研，形成《陕西省区域质量创新发展指导方案》。2.开展关于质量强县（区、镇）培育建设创新试点、质量强县培育建设数字化服务平台应用实践、百城质量提升与“一县一品”等专家培训。3.开展陕西省试点县域城市质量水平评估分析研究，形成质量状况分析报告。4.总结陕西省县域质量创新路径和经验，提炼创新做法，形成汇编案例。</w:t>
                  </w:r>
                </w:p>
                <w:p>
                  <w:pPr>
                    <w:pStyle w:val="null3"/>
                    <w:ind w:firstLine="482"/>
                    <w:jc w:val="both"/>
                  </w:pPr>
                  <w:r>
                    <w:rPr>
                      <w:rFonts w:ascii="仿宋_GB2312" w:hAnsi="仿宋_GB2312" w:cs="仿宋_GB2312" w:eastAsia="仿宋_GB2312"/>
                      <w:sz w:val="24"/>
                      <w:b/>
                    </w:rPr>
                    <w:t>（二）技术要求</w:t>
                  </w:r>
                </w:p>
                <w:p>
                  <w:pPr>
                    <w:pStyle w:val="null3"/>
                    <w:ind w:firstLine="560"/>
                    <w:jc w:val="both"/>
                  </w:pPr>
                  <w:r>
                    <w:rPr>
                      <w:rFonts w:ascii="仿宋_GB2312" w:hAnsi="仿宋_GB2312" w:cs="仿宋_GB2312" w:eastAsia="仿宋_GB2312"/>
                      <w:sz w:val="28"/>
                    </w:rPr>
                    <w:t>1.项目实施要以市场监管总局质量强县（区、镇）培育建设和陕西省质量强省工作为依据，聚焦因地制宜开展区域质量提升的创新路径探索和水平评估，满足陕西省市场监管局对于质量强县创新发展能力建设的需求。</w:t>
                  </w:r>
                </w:p>
                <w:p>
                  <w:pPr>
                    <w:pStyle w:val="null3"/>
                    <w:ind w:firstLine="560"/>
                    <w:jc w:val="both"/>
                  </w:pPr>
                  <w:r>
                    <w:rPr>
                      <w:rFonts w:ascii="仿宋_GB2312" w:hAnsi="仿宋_GB2312" w:cs="仿宋_GB2312" w:eastAsia="仿宋_GB2312"/>
                      <w:sz w:val="28"/>
                    </w:rPr>
                    <w:t>2.应依据质量强县（区、镇）培育建设参考指标体系开展县域城市质量水平评估，应参照全国质量强县（区、镇）数字化服务平台系统开展指标数据的综合处理与分析。</w:t>
                  </w:r>
                </w:p>
                <w:p>
                  <w:pPr>
                    <w:pStyle w:val="null3"/>
                    <w:ind w:firstLine="560"/>
                    <w:jc w:val="both"/>
                  </w:pPr>
                  <w:r>
                    <w:rPr>
                      <w:rFonts w:ascii="仿宋_GB2312" w:hAnsi="仿宋_GB2312" w:cs="仿宋_GB2312" w:eastAsia="仿宋_GB2312"/>
                      <w:sz w:val="28"/>
                    </w:rPr>
                    <w:t>3.省级专家行活动要参照市场监管总局质量强县专家行活动方案开</w:t>
                  </w:r>
                  <w:r>
                    <w:rPr>
                      <w:rFonts w:ascii="仿宋_GB2312" w:hAnsi="仿宋_GB2312" w:cs="仿宋_GB2312" w:eastAsia="仿宋_GB2312"/>
                      <w:sz w:val="28"/>
                    </w:rPr>
                    <w:t>展实施，开展不少于</w:t>
                  </w:r>
                  <w:r>
                    <w:rPr>
                      <w:rFonts w:ascii="仿宋_GB2312" w:hAnsi="仿宋_GB2312" w:cs="仿宋_GB2312" w:eastAsia="仿宋_GB2312"/>
                      <w:sz w:val="28"/>
                    </w:rPr>
                    <w:t>6个县级城市的专家行活动。</w:t>
                  </w:r>
                </w:p>
                <w:p>
                  <w:pPr>
                    <w:pStyle w:val="null3"/>
                    <w:ind w:firstLine="560"/>
                    <w:jc w:val="both"/>
                  </w:pPr>
                  <w:r>
                    <w:rPr>
                      <w:rFonts w:ascii="仿宋_GB2312" w:hAnsi="仿宋_GB2312" w:cs="仿宋_GB2312" w:eastAsia="仿宋_GB2312"/>
                      <w:sz w:val="28"/>
                    </w:rPr>
                    <w:t>4.专家培训应依据2026年市场监管总局质量强县（区、镇）培育建设重点工作要求，结合陕西省质量发展工作实际情况，制定培训计划。</w:t>
                  </w:r>
                </w:p>
                <w:p>
                  <w:pPr>
                    <w:pStyle w:val="null3"/>
                    <w:ind w:firstLine="560"/>
                    <w:jc w:val="both"/>
                  </w:pPr>
                  <w:r>
                    <w:rPr>
                      <w:rFonts w:ascii="仿宋_GB2312" w:hAnsi="仿宋_GB2312" w:cs="仿宋_GB2312" w:eastAsia="仿宋_GB2312"/>
                      <w:sz w:val="28"/>
                    </w:rPr>
                    <w:t>5.梳理典型案例符合陕西省县域城市特色情况和创新模式，典型案例需要立足不同功能禀赋县（区），着眼县域未来发展方向，分类明确、数据精准、亮点突出。</w:t>
                  </w:r>
                </w:p>
                <w:p>
                  <w:pPr>
                    <w:pStyle w:val="null3"/>
                    <w:ind w:firstLine="482"/>
                    <w:jc w:val="both"/>
                  </w:pPr>
                  <w:r>
                    <w:rPr>
                      <w:rFonts w:ascii="仿宋_GB2312" w:hAnsi="仿宋_GB2312" w:cs="仿宋_GB2312" w:eastAsia="仿宋_GB2312"/>
                      <w:sz w:val="24"/>
                      <w:b/>
                    </w:rPr>
                    <w:t>（三）项目目标</w:t>
                  </w:r>
                </w:p>
                <w:p>
                  <w:pPr>
                    <w:pStyle w:val="null3"/>
                    <w:ind w:firstLine="560"/>
                    <w:jc w:val="both"/>
                  </w:pPr>
                  <w:r>
                    <w:rPr>
                      <w:rFonts w:ascii="仿宋_GB2312" w:hAnsi="仿宋_GB2312" w:cs="仿宋_GB2312" w:eastAsia="仿宋_GB2312"/>
                      <w:sz w:val="28"/>
                    </w:rPr>
                    <w:t>1.开展一系列质量强县（区、镇）培育建设有关内容的专家培训和专家行活动，精准帮扶陕西省县域城市开展质量优化提升。</w:t>
                  </w:r>
                </w:p>
                <w:p>
                  <w:pPr>
                    <w:pStyle w:val="null3"/>
                    <w:ind w:firstLine="560"/>
                    <w:jc w:val="both"/>
                  </w:pPr>
                  <w:r>
                    <w:rPr>
                      <w:rFonts w:ascii="仿宋_GB2312" w:hAnsi="仿宋_GB2312" w:cs="仿宋_GB2312" w:eastAsia="仿宋_GB2312"/>
                      <w:sz w:val="28"/>
                    </w:rPr>
                    <w:t>2.通过对陕西省质量强县典型代表性试点城市开展质量水平创新研究，综合分析县域城市质量发展现状与趋势。</w:t>
                  </w:r>
                </w:p>
                <w:p>
                  <w:pPr>
                    <w:pStyle w:val="null3"/>
                    <w:ind w:firstLine="560"/>
                    <w:jc w:val="both"/>
                  </w:pPr>
                  <w:r>
                    <w:rPr>
                      <w:rFonts w:ascii="仿宋_GB2312" w:hAnsi="仿宋_GB2312" w:cs="仿宋_GB2312" w:eastAsia="仿宋_GB2312"/>
                      <w:sz w:val="28"/>
                    </w:rPr>
                    <w:t>3.指导县域城市开展区域质量水平评估，指导编写县域质量状况蓝皮书，为政府决策提供支撑解决方案。</w:t>
                  </w:r>
                </w:p>
                <w:p>
                  <w:pPr>
                    <w:pStyle w:val="null3"/>
                    <w:ind w:firstLine="560"/>
                    <w:jc w:val="both"/>
                  </w:pPr>
                  <w:r>
                    <w:rPr>
                      <w:rFonts w:ascii="仿宋_GB2312" w:hAnsi="仿宋_GB2312" w:cs="仿宋_GB2312" w:eastAsia="仿宋_GB2312"/>
                      <w:sz w:val="28"/>
                    </w:rPr>
                    <w:t>4.总结提炼陕西省县域城市质量强县培育建设典型经验与实践模式，汇编总结可推广、可借鉴的质量强县培育模式或案例。</w:t>
                  </w:r>
                </w:p>
                <w:p>
                  <w:pPr>
                    <w:pStyle w:val="null3"/>
                    <w:ind w:firstLine="482"/>
                    <w:jc w:val="both"/>
                  </w:pPr>
                  <w:r>
                    <w:rPr>
                      <w:rFonts w:ascii="仿宋_GB2312" w:hAnsi="仿宋_GB2312" w:cs="仿宋_GB2312" w:eastAsia="仿宋_GB2312"/>
                      <w:sz w:val="24"/>
                      <w:b/>
                    </w:rPr>
                    <w:t>（四）人员要求</w:t>
                  </w:r>
                </w:p>
                <w:p>
                  <w:pPr>
                    <w:pStyle w:val="null3"/>
                  </w:pPr>
                  <w:r>
                    <w:rPr>
                      <w:rFonts w:ascii="仿宋_GB2312" w:hAnsi="仿宋_GB2312" w:cs="仿宋_GB2312" w:eastAsia="仿宋_GB2312"/>
                      <w:sz w:val="28"/>
                    </w:rPr>
                    <w:t>供应商应为本项目组建项目服务团队，团队成员须熟悉质量强县培育建设、区域质量提升、质量状况分析、政策研究与报告编制等相关业务，具备履行合同所必需的专业技术能力与服务保障能力。</w:t>
                  </w:r>
                </w:p>
                <w:p>
                  <w:pPr>
                    <w:pStyle w:val="null3"/>
                    <w:jc w:val="left"/>
                  </w:pP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满足磋商文件及采购人要求。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满足磋商文件及采购人要求。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根据采购人、磋商文件要求及合同约定执行。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截止2026年12月31日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提交项目所有的成果报告后,由采购人和成交供应商共同对项目进行整体验收。其内容包括是否按照采购人要求进行服务、是否在规定时间内服务完毕、项目成果是否符合采购合同规定。其他事项:1、验收合格后,填写政府采购项目验收单作为对本服务的最终认可。2、服务商向采购人提供服务过程中的所有资料，以便采购人日后管理。3、验收依据：3.1磋商文件、磋商响应文件、澄清表(函)；3.2项目合同及附件文本；3.3陕西省市场监督管理局关于印发《持续加强预算资金收支管理的若干规定》的通知（陕市监办发〔2025〕68号）。</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进度款，合同签订后，达到付款条件起30个工作日内，支付合同总金额的90.0%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进度款，项目实施完成后，达到付款条件起30个工作日内，支付合同总金额的10.0%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1．甲乙双方必须遵守本合同并执行合同中的各项规定，保证本合同的正常履行。 2．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1.采购人需追加与合同标的相同的货物、工程或者服务的，在不改变合同其他条款的前提下，可以与供应商协商签订补充合同，但所有补充合同的采购金额不得超过原合同采购金额的百分之 2.未尽事宜，双方协商解决。在本合同履行过程中将双方达成的书面补充协议是本合同不可分割的组成部分，与本合同具有同等效力。 3.知识产权归属和处理方式：3.1乙方在为甲方提供服务时所获得或形成成果的知识产权归甲方所有，未经甲方许可，乙方不得以任何方式使用，亦不得出于任何目的向第三方披露或许可第三方使用。3.2若乙方在为甲方提供服务时侵犯了第三人的权利，致使甲方受到索赔或起诉，由此给甲方造成的一切损失由乙方承担，同时甲方有权解除合同，同时乙方及时消除不良影响。3.3若未经甲方许可，乙方擅自使用或向第三方披露或许可第三方使用在为甲方提供服务时所获得的成果，甲方有权要求乙方或第三方停止侵权，并承担以此带来的所有损失，同时消除不良影响。4、本项目服务范围：响应磋商文件服务内容；服务要求：符合磋商文件有关技术、商务要求；服务标准：符合国家和省、市有关行业标准及采购人的有关规定。（也可根据供应商具体服务内容填写服务范围、服务要求、服务标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非专门面向中小企业采购</w:t>
            </w:r>
          </w:p>
        </w:tc>
        <w:tc>
          <w:tcPr>
            <w:tcW w:type="dxa" w:w="3322"/>
          </w:tcPr>
          <w:p>
            <w:pPr>
              <w:pStyle w:val="null3"/>
            </w:pPr>
            <w:r>
              <w:rPr>
                <w:rFonts w:ascii="仿宋_GB2312" w:hAnsi="仿宋_GB2312" w:cs="仿宋_GB2312" w:eastAsia="仿宋_GB2312"/>
              </w:rPr>
              <w:t>非专门面向中小企业采购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资格要求.pdf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供应商应授权合法的人员参加磋商，其中法定代表人直接参加的，须附法定代表人身份证；被授权代表参加的，须附法定代表人授权书及被授权人身份证；</w:t>
            </w:r>
          </w:p>
        </w:tc>
        <w:tc>
          <w:tcPr>
            <w:tcW w:type="dxa" w:w="1661"/>
          </w:tcPr>
          <w:p>
            <w:pPr>
              <w:pStyle w:val="null3"/>
            </w:pPr>
            <w:r>
              <w:rPr>
                <w:rFonts w:ascii="仿宋_GB2312" w:hAnsi="仿宋_GB2312" w:cs="仿宋_GB2312" w:eastAsia="仿宋_GB2312"/>
              </w:rPr>
              <w:t>资格要求.pdf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提供2025年7月至今已缴纳的至少一个月的纳税证明，依法免税的单位应提供相关证明材料；</w:t>
            </w:r>
          </w:p>
        </w:tc>
        <w:tc>
          <w:tcPr>
            <w:tcW w:type="dxa" w:w="1661"/>
          </w:tcPr>
          <w:p>
            <w:pPr>
              <w:pStyle w:val="null3"/>
            </w:pPr>
            <w:r>
              <w:rPr>
                <w:rFonts w:ascii="仿宋_GB2312" w:hAnsi="仿宋_GB2312" w:cs="仿宋_GB2312" w:eastAsia="仿宋_GB2312"/>
              </w:rPr>
              <w:t>资格要求.pdf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提供2025年7月至今已缴存的至少一个月的社会保障资金缴存单据或社保机构开具的社会保险参保缴费情况证明，依法不需要缴纳社会保障资金的单位应提供相关证明材料；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资格要求.pdf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健全的财务会计制度</w:t>
            </w:r>
          </w:p>
        </w:tc>
        <w:tc>
          <w:tcPr>
            <w:tcW w:type="dxa" w:w="3322"/>
          </w:tcPr>
          <w:p>
            <w:pPr>
              <w:pStyle w:val="null3"/>
            </w:pPr>
            <w:r>
              <w:rPr>
                <w:rFonts w:ascii="仿宋_GB2312" w:hAnsi="仿宋_GB2312" w:cs="仿宋_GB2312" w:eastAsia="仿宋_GB2312"/>
              </w:rPr>
              <w:t>须提供2024年至今任意一年经审计的财务报告，审计报告应当经过注册会计师行业统一监管平台备案赋码（成立时间至提交磋商响应文件截止时间不足一年的可提供成立后任意时段的资产负债表），或其基本存款账户开户银行出具的资信证明及基本存款账户开户许可证；</w:t>
            </w:r>
          </w:p>
        </w:tc>
        <w:tc>
          <w:tcPr>
            <w:tcW w:type="dxa" w:w="1661"/>
          </w:tcPr>
          <w:p>
            <w:pPr>
              <w:pStyle w:val="null3"/>
            </w:pPr>
            <w:r>
              <w:rPr>
                <w:rFonts w:ascii="仿宋_GB2312" w:hAnsi="仿宋_GB2312" w:cs="仿宋_GB2312" w:eastAsia="仿宋_GB2312"/>
              </w:rPr>
              <w:t>资格要求.pdf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三年内，在经营活动中没有重大违法记录，以及未被列入信用中国网站(www.creditchina.gov.cn)“失信被执行人、重大税收违法失信主体”；不处于中国政府采购网(www.ccgp.gov.cn)“政府采购严重违法失信行为信息记录”中的禁止参加政府采购活动期间的书面声明；</w:t>
            </w:r>
          </w:p>
        </w:tc>
        <w:tc>
          <w:tcPr>
            <w:tcW w:type="dxa" w:w="1661"/>
          </w:tcPr>
          <w:p>
            <w:pPr>
              <w:pStyle w:val="null3"/>
            </w:pPr>
            <w:r>
              <w:rPr>
                <w:rFonts w:ascii="仿宋_GB2312" w:hAnsi="仿宋_GB2312" w:cs="仿宋_GB2312" w:eastAsia="仿宋_GB2312"/>
              </w:rPr>
              <w:t>资格要求.pdf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信用记录截图</w:t>
            </w:r>
          </w:p>
        </w:tc>
        <w:tc>
          <w:tcPr>
            <w:tcW w:type="dxa" w:w="3322"/>
          </w:tcPr>
          <w:p>
            <w:pPr>
              <w:pStyle w:val="null3"/>
            </w:pPr>
            <w:r>
              <w:rPr>
                <w:rFonts w:ascii="仿宋_GB2312" w:hAnsi="仿宋_GB2312" w:cs="仿宋_GB2312" w:eastAsia="仿宋_GB2312"/>
              </w:rPr>
              <w:t>供应商未被列入信用中国网站(www.creditchina.gov.cn)“失信被执行人、重大税收违法失信主体”；不处于中国政府采购网(www.ccgp.gov.cn)“政府采购严重违法失信行为信息记录”中的禁止参加政府采购活动期间；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资格要求.pdf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具备履行合同所必须的设备和专业技术能力的承诺函；</w:t>
            </w:r>
          </w:p>
        </w:tc>
        <w:tc>
          <w:tcPr>
            <w:tcW w:type="dxa" w:w="1661"/>
          </w:tcPr>
          <w:p>
            <w:pPr>
              <w:pStyle w:val="null3"/>
            </w:pPr>
            <w:r>
              <w:rPr>
                <w:rFonts w:ascii="仿宋_GB2312" w:hAnsi="仿宋_GB2312" w:cs="仿宋_GB2312" w:eastAsia="仿宋_GB2312"/>
              </w:rPr>
              <w:t>资格要求.pdf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磋商响应文件完整性</w:t>
            </w:r>
          </w:p>
        </w:tc>
        <w:tc>
          <w:tcPr>
            <w:tcW w:type="dxa" w:w="3322"/>
          </w:tcPr>
          <w:p>
            <w:pPr>
              <w:pStyle w:val="null3"/>
            </w:pPr>
            <w:r>
              <w:rPr>
                <w:rFonts w:ascii="仿宋_GB2312" w:hAnsi="仿宋_GB2312" w:cs="仿宋_GB2312" w:eastAsia="仿宋_GB2312"/>
              </w:rPr>
              <w:t>磋商响应文件构成无重大缺项（详细评审除外），按照磋商文件要求的格式编写磋商响应文件</w:t>
            </w:r>
          </w:p>
        </w:tc>
        <w:tc>
          <w:tcPr>
            <w:tcW w:type="dxa" w:w="1661"/>
          </w:tcPr>
          <w:p>
            <w:pPr>
              <w:pStyle w:val="null3"/>
            </w:pPr>
            <w:r>
              <w:rPr>
                <w:rFonts w:ascii="仿宋_GB2312" w:hAnsi="仿宋_GB2312" w:cs="仿宋_GB2312" w:eastAsia="仿宋_GB2312"/>
              </w:rPr>
              <w:t>技术部分.pdf 陕西省政府采购供应商拒绝政府采购领域商业贿赂承诺书.pdf 中小企业声明函 供应商业绩情况.pdf 商务应答表 服务内容及服务要求应答表 报价表 响应文件封面 残疾人福利性单位声明函 其他附件.pdf 标的清单 响应函 资格要求.pdf 监狱企业的证明文件 分项报价表.pdf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磋商响应文件报价</w:t>
            </w:r>
          </w:p>
        </w:tc>
        <w:tc>
          <w:tcPr>
            <w:tcW w:type="dxa" w:w="3322"/>
          </w:tcPr>
          <w:p>
            <w:pPr>
              <w:pStyle w:val="null3"/>
            </w:pPr>
            <w:r>
              <w:rPr>
                <w:rFonts w:ascii="仿宋_GB2312" w:hAnsi="仿宋_GB2312" w:cs="仿宋_GB2312" w:eastAsia="仿宋_GB2312"/>
              </w:rPr>
              <w:t>报价唯一，且没有低于成本价或高于采购预算的</w:t>
            </w:r>
          </w:p>
        </w:tc>
        <w:tc>
          <w:tcPr>
            <w:tcW w:type="dxa" w:w="1661"/>
          </w:tcPr>
          <w:p>
            <w:pPr>
              <w:pStyle w:val="null3"/>
            </w:pPr>
            <w:r>
              <w:rPr>
                <w:rFonts w:ascii="仿宋_GB2312" w:hAnsi="仿宋_GB2312" w:cs="仿宋_GB2312" w:eastAsia="仿宋_GB2312"/>
              </w:rPr>
              <w:t>标的清单 报价表 分项报价表.pdf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磋商响应文件有效性</w:t>
            </w:r>
          </w:p>
        </w:tc>
        <w:tc>
          <w:tcPr>
            <w:tcW w:type="dxa" w:w="3322"/>
          </w:tcPr>
          <w:p>
            <w:pPr>
              <w:pStyle w:val="null3"/>
            </w:pPr>
            <w:r>
              <w:rPr>
                <w:rFonts w:ascii="仿宋_GB2312" w:hAnsi="仿宋_GB2312" w:cs="仿宋_GB2312" w:eastAsia="仿宋_GB2312"/>
              </w:rPr>
              <w:t>磋商响应文件的签署、盖章符合磋商文件要求，供应商递交的磋商响应文件与本项目名称一致</w:t>
            </w:r>
          </w:p>
        </w:tc>
        <w:tc>
          <w:tcPr>
            <w:tcW w:type="dxa" w:w="1661"/>
          </w:tcPr>
          <w:p>
            <w:pPr>
              <w:pStyle w:val="null3"/>
            </w:pPr>
            <w:r>
              <w:rPr>
                <w:rFonts w:ascii="仿宋_GB2312" w:hAnsi="仿宋_GB2312" w:cs="仿宋_GB2312" w:eastAsia="仿宋_GB2312"/>
              </w:rPr>
              <w:t>技术部分.pdf 陕西省政府采购供应商拒绝政府采购领域商业贿赂承诺书.pdf 中小企业声明函 供应商业绩情况.pdf 商务应答表 服务内容及服务要求应答表 报价表 响应文件封面 残疾人福利性单位声明函 其他附件.pdf 标的清单 响应函 资格要求.pdf 监狱企业的证明文件 分项报价表.pdf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磋商有效期、授权有效期</w:t>
            </w:r>
          </w:p>
        </w:tc>
        <w:tc>
          <w:tcPr>
            <w:tcW w:type="dxa" w:w="3322"/>
          </w:tcPr>
          <w:p>
            <w:pPr>
              <w:pStyle w:val="null3"/>
            </w:pPr>
            <w:r>
              <w:rPr>
                <w:rFonts w:ascii="仿宋_GB2312" w:hAnsi="仿宋_GB2312" w:cs="仿宋_GB2312" w:eastAsia="仿宋_GB2312"/>
              </w:rPr>
              <w:t>首次响应文件的截止之日起不少于90天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磋商响应文件响应性</w:t>
            </w:r>
          </w:p>
        </w:tc>
        <w:tc>
          <w:tcPr>
            <w:tcW w:type="dxa" w:w="3322"/>
          </w:tcPr>
          <w:p>
            <w:pPr>
              <w:pStyle w:val="null3"/>
            </w:pPr>
            <w:r>
              <w:rPr>
                <w:rFonts w:ascii="仿宋_GB2312" w:hAnsi="仿宋_GB2312" w:cs="仿宋_GB2312" w:eastAsia="仿宋_GB2312"/>
              </w:rPr>
              <w:t>服务期限响应磋商文件要求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按磋商文件要求缴纳磋商保证金</w:t>
            </w:r>
          </w:p>
        </w:tc>
        <w:tc>
          <w:tcPr>
            <w:tcW w:type="dxa" w:w="1661"/>
          </w:tcPr>
          <w:p>
            <w:pPr>
              <w:pStyle w:val="null3"/>
            </w:pPr>
            <w:r>
              <w:rPr>
                <w:rFonts w:ascii="仿宋_GB2312" w:hAnsi="仿宋_GB2312" w:cs="仿宋_GB2312" w:eastAsia="仿宋_GB2312"/>
              </w:rPr>
              <w:t>其他附件.pdf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技术部分.pdf 陕西省政府采购供应商拒绝政府采购领域商业贿赂承诺书.pdf 中小企业声明函 供应商业绩情况.pdf 商务应答表 服务内容及服务要求应答表 报价表 响应文件封面 残疾人福利性单位声明函 其他附件.pdf 标的清单 响应函 资格要求.pdf 监狱企业的证明文件 分项报价表.pdf</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针对本项目提供实施方案包含：①质量强县实地调研方法；②县级城市质量水平评估；③质量强县培育建设专家培训计划；④典型经验总结与案例汇编。四项模块完整无缺，调研明确6个县域走访安排、标准化访谈及数据采集口径，评估匹配国家质量强县指标体系并制定数字化分级流程，培训列明覆盖县域、场次及完整课程大纲，案例区分县域禀赋配套真实数据与可复制推广模式，贴合2026年国家及省级工作要求可直接落地，得10分；每缺失一项核心内容扣2.5分；内容简略、脱离项目实际、存在漏洞偏差的，每存在一处扣0.5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技术部分.pdf</w:t>
            </w:r>
          </w:p>
        </w:tc>
      </w:tr>
      <w:tr>
        <w:tc>
          <w:tcPr>
            <w:tcW w:type="dxa" w:w="831"/>
            <w:vMerge/>
          </w:tcPr>
          <w:p/>
        </w:tc>
        <w:tc>
          <w:tcPr>
            <w:tcW w:type="dxa" w:w="1661"/>
          </w:tcPr>
          <w:p>
            <w:pPr>
              <w:pStyle w:val="null3"/>
            </w:pPr>
            <w:r>
              <w:rPr>
                <w:rFonts w:ascii="仿宋_GB2312" w:hAnsi="仿宋_GB2312" w:cs="仿宋_GB2312" w:eastAsia="仿宋_GB2312"/>
              </w:rPr>
              <w:t>服务响应程度</w:t>
            </w:r>
          </w:p>
        </w:tc>
        <w:tc>
          <w:tcPr>
            <w:tcW w:type="dxa" w:w="2492"/>
          </w:tcPr>
          <w:p>
            <w:pPr>
              <w:pStyle w:val="null3"/>
            </w:pPr>
            <w:r>
              <w:rPr>
                <w:rFonts w:ascii="仿宋_GB2312" w:hAnsi="仿宋_GB2312" w:cs="仿宋_GB2312" w:eastAsia="仿宋_GB2312"/>
              </w:rPr>
              <w:t>根据磋商响应文件对采购文件的响应情况进行评价：①对全部服务内容响应完整、无负偏离；②成果文件规范、可直接验收；③服务内容可落地、可实施。无任何负偏离，成果完全匹配验收标准且落地流程完整，得9分；每缺失一项核心响应要求扣3分；内容简略、成果不规范、存在轻微偏离且无整改方案的，每存在一处扣0.2分，扣完为止；存在重大偏离或未提供专项响应的，本项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技术部分.pdf</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一、高端人才及项目经验（7 分） 1.团队配备高级职称人员 1 名及以上，该人员作为项目负责人主导过 1 项国家级或 2 项省级质量强县、区域质量评估类同类项目，提供职称证书、学历证明、合同首页及验收材料佐证，得 7 分； 2.团队配备高级职称 人员 1 名及以上，该人员仅作为参与人员承担省级同类项目，提供佐证材料，得 4 分； 3.项目团队不具备高级职称人员，但团队成员具有省级同类项目实施经验，提供有效佐证材料得2分；或项目团队具备高级职称人员，但团队成员无省级同类项目实施经验，提供有效佐证材料得2分； 4.无高级职称人员，且无省级同类项目实施经验，得 0 分。 二、人员规模与服务保障（8分） 1.项目专职服务团队总人数≥8 人，响应文件附完整人员清单、岗位职责，同时提供驻场对接、突发事项应急处置、人员轮岗替代全套管理制度，材料齐全得 8 分； 2.项目专职服务团队 6-7 人，附人员清单及基础对接保障机制，得 5 分； 3.项目专职服务团队共 5 人，仅列明基础人员配置，无配套保障制度，得 2 分； 4.项目专职服务团队不足 5 人，未提供人员管理、应急保障相关措施，得 1 分； 5.未提供项目团队人员相关材料，得 0 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技术部分.pdf</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提供自2023年1月1日至今（以合同签订/委托/任务下达时间为准）承担或参与过类似项目业绩，主要包括质量强县、区域质量评估、质量政策研究和政府咨询等方面的项目，每提供一个符合要求的证明材料得2.5分，满分15分。 注：提供项目完成证明材料（验收报告或者成果鉴定证明），需体现项目承担单位信息，如没有单位名称的请出示证明文件。</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供应商业绩情况.pdf</w:t>
            </w:r>
          </w:p>
        </w:tc>
      </w:tr>
      <w:tr>
        <w:tc>
          <w:tcPr>
            <w:tcW w:type="dxa" w:w="831"/>
            <w:vMerge/>
          </w:tcPr>
          <w:p/>
        </w:tc>
        <w:tc>
          <w:tcPr>
            <w:tcW w:type="dxa" w:w="1661"/>
          </w:tcPr>
          <w:p>
            <w:pPr>
              <w:pStyle w:val="null3"/>
            </w:pPr>
            <w:r>
              <w:rPr>
                <w:rFonts w:ascii="仿宋_GB2312" w:hAnsi="仿宋_GB2312" w:cs="仿宋_GB2312" w:eastAsia="仿宋_GB2312"/>
              </w:rPr>
              <w:t>服务保障方案</w:t>
            </w:r>
          </w:p>
        </w:tc>
        <w:tc>
          <w:tcPr>
            <w:tcW w:type="dxa" w:w="2492"/>
          </w:tcPr>
          <w:p>
            <w:pPr>
              <w:pStyle w:val="null3"/>
            </w:pPr>
            <w:r>
              <w:rPr>
                <w:rFonts w:ascii="仿宋_GB2312" w:hAnsi="仿宋_GB2312" w:cs="仿宋_GB2312" w:eastAsia="仿宋_GB2312"/>
              </w:rPr>
              <w:t>针对本项目提供服务保障：①成果交付计划清晰、质量保障完善；②进度保障措施完善；③售后服务与修改响应及时；④验收配合到位；⑤项目资料、调研信息等保密管理措施健全。五项内容完整齐全，明确分阶段交付节点、多级内审机制、24 小时修改响应、专属验收对接人、全过程保密管控全套落地细则，得 5 分；每缺失一项核心内容扣 1 分；内容简略、保障措施空洞、存在漏洞偏差的，每存在一处扣 0.2 分，扣完为止；未提供服务保障方案或内容与本项目无关的，本项得 0 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技术部分.pdf</w:t>
            </w:r>
          </w:p>
        </w:tc>
      </w:tr>
      <w:tr>
        <w:tc>
          <w:tcPr>
            <w:tcW w:type="dxa" w:w="831"/>
            <w:vMerge/>
          </w:tcPr>
          <w:p/>
        </w:tc>
        <w:tc>
          <w:tcPr>
            <w:tcW w:type="dxa" w:w="1661"/>
          </w:tcPr>
          <w:p>
            <w:pPr>
              <w:pStyle w:val="null3"/>
            </w:pPr>
            <w:r>
              <w:rPr>
                <w:rFonts w:ascii="仿宋_GB2312" w:hAnsi="仿宋_GB2312" w:cs="仿宋_GB2312" w:eastAsia="仿宋_GB2312"/>
              </w:rPr>
              <w:t>质量强县政策分析与成果编制</w:t>
            </w:r>
          </w:p>
        </w:tc>
        <w:tc>
          <w:tcPr>
            <w:tcW w:type="dxa" w:w="2492"/>
          </w:tcPr>
          <w:p>
            <w:pPr>
              <w:pStyle w:val="null3"/>
            </w:pPr>
            <w:r>
              <w:rPr>
                <w:rFonts w:ascii="仿宋_GB2312" w:hAnsi="仿宋_GB2312" w:cs="仿宋_GB2312" w:eastAsia="仿宋_GB2312"/>
              </w:rPr>
              <w:t>依据对质量强县相关政策理解与成果编制能力评价：①熟悉国家、陕西省质量强县相关政策体系，深刻理解质量强县政策体系；②精准分析国家质量强县（区、镇）培育建设政策和陕西省质量强县政策要求；③方案、报告、案例编制规范严谨，符合项目有关要求；④贴合县域质量发展趋势、具备可操作性和指引性。四项条件全部达标，政策解读匹配 2026 年度工作任务，成果配套县域差异化落地路径，得 10 分；每缺失一项核心内容扣 2.5 分；内容简略、政策理解存在偏差、脱离县域实际、存在漏洞缺陷的，每存在一处扣 0.5 分，扣完为止；未提供相关分析材料或政策解读存在明显重大偏差的，本项直接得 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技术部分.pdf</w:t>
            </w:r>
          </w:p>
        </w:tc>
      </w:tr>
      <w:tr>
        <w:tc>
          <w:tcPr>
            <w:tcW w:type="dxa" w:w="831"/>
            <w:vMerge/>
          </w:tcPr>
          <w:p/>
        </w:tc>
        <w:tc>
          <w:tcPr>
            <w:tcW w:type="dxa" w:w="1661"/>
          </w:tcPr>
          <w:p>
            <w:pPr>
              <w:pStyle w:val="null3"/>
            </w:pPr>
            <w:r>
              <w:rPr>
                <w:rFonts w:ascii="仿宋_GB2312" w:hAnsi="仿宋_GB2312" w:cs="仿宋_GB2312" w:eastAsia="仿宋_GB2312"/>
              </w:rPr>
              <w:t>进度计划与履约保障</w:t>
            </w:r>
          </w:p>
        </w:tc>
        <w:tc>
          <w:tcPr>
            <w:tcW w:type="dxa" w:w="2492"/>
          </w:tcPr>
          <w:p>
            <w:pPr>
              <w:pStyle w:val="null3"/>
            </w:pPr>
            <w:r>
              <w:rPr>
                <w:rFonts w:ascii="仿宋_GB2312" w:hAnsi="仿宋_GB2312" w:cs="仿宋_GB2312" w:eastAsia="仿宋_GB2312"/>
              </w:rPr>
              <w:t>依据项目进度安排与履约保障评价：①进度计划科学合理、节点明确；②时间节点符合 2026 年度任务要求；③履约保障与风险防控措施完善。三点全部满足，按月拆分全流程细分节点、配套完整风险处置方案，得 6 分；每缺失一项核心内容扣 2分；内容简略、节点模糊、风险防控措施空洞、存在漏洞偏差的，每存在一处扣 0.2 分，扣完为止；未提供进度计划或工期安排无法保障按期交付的，本项直接得 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采用低价优先法计算，即满足磋商文件要求且最后报价最低的供应商的价格为评标基准价，其价格分为满分。 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详见附件：分项报价表.pdf</w:t>
      </w:r>
    </w:p>
    <w:p>
      <w:pPr>
        <w:pStyle w:val="null3"/>
        <w:ind w:firstLine="960"/>
      </w:pPr>
      <w:r>
        <w:rPr>
          <w:rFonts w:ascii="仿宋_GB2312" w:hAnsi="仿宋_GB2312" w:cs="仿宋_GB2312" w:eastAsia="仿宋_GB2312"/>
        </w:rPr>
        <w:t>详见附件：供应商业绩情况.pdf</w:t>
      </w:r>
    </w:p>
    <w:p>
      <w:pPr>
        <w:pStyle w:val="null3"/>
        <w:ind w:firstLine="960"/>
      </w:pPr>
      <w:r>
        <w:rPr>
          <w:rFonts w:ascii="仿宋_GB2312" w:hAnsi="仿宋_GB2312" w:cs="仿宋_GB2312" w:eastAsia="仿宋_GB2312"/>
        </w:rPr>
        <w:t>详见附件：陕西省政府采购供应商拒绝政府采购领域商业贿赂承诺书.pdf</w:t>
      </w:r>
    </w:p>
    <w:p>
      <w:pPr>
        <w:pStyle w:val="null3"/>
        <w:ind w:firstLine="960"/>
      </w:pPr>
      <w:r>
        <w:rPr>
          <w:rFonts w:ascii="仿宋_GB2312" w:hAnsi="仿宋_GB2312" w:cs="仿宋_GB2312" w:eastAsia="仿宋_GB2312"/>
        </w:rPr>
        <w:t>详见附件：技术部分.pdf</w:t>
      </w:r>
    </w:p>
    <w:p>
      <w:pPr>
        <w:pStyle w:val="null3"/>
        <w:ind w:firstLine="960"/>
      </w:pPr>
      <w:r>
        <w:rPr>
          <w:rFonts w:ascii="仿宋_GB2312" w:hAnsi="仿宋_GB2312" w:cs="仿宋_GB2312" w:eastAsia="仿宋_GB2312"/>
        </w:rPr>
        <w:t>详见附件：其他附件.pdf</w:t>
      </w:r>
    </w:p>
    <w:p>
      <w:pPr>
        <w:pStyle w:val="null3"/>
        <w:ind w:firstLine="960"/>
      </w:pPr>
      <w:r>
        <w:rPr>
          <w:rFonts w:ascii="仿宋_GB2312" w:hAnsi="仿宋_GB2312" w:cs="仿宋_GB2312" w:eastAsia="仿宋_GB2312"/>
        </w:rPr>
        <w:t>详见附件：资格要求.pdf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