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8B746">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44"/>
          <w:szCs w:val="44"/>
          <w:shd w:val="clear" w:fill="FFFFFF"/>
          <w:lang w:eastAsia="zh-CN"/>
          <w14:textFill>
            <w14:solidFill>
              <w14:schemeClr w14:val="tx1"/>
            </w14:solidFill>
          </w14:textFill>
        </w:rPr>
      </w:pPr>
    </w:p>
    <w:p w14:paraId="14B74DE1">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44"/>
          <w:szCs w:val="44"/>
          <w:shd w:val="clear" w:fill="FFFFFF"/>
          <w:lang w:eastAsia="zh-CN"/>
          <w14:textFill>
            <w14:solidFill>
              <w14:schemeClr w14:val="tx1"/>
            </w14:solidFill>
          </w14:textFill>
        </w:rPr>
      </w:pPr>
    </w:p>
    <w:p w14:paraId="77DF4F3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pPr>
      <w:r>
        <w:rPr>
          <w:rFonts w:hint="eastAsia" w:ascii="宋体" w:hAnsi="宋体" w:cs="宋体"/>
          <w:b/>
          <w:bCs/>
          <w:i w:val="0"/>
          <w:iCs w:val="0"/>
          <w:caps w:val="0"/>
          <w:color w:val="000000" w:themeColor="text1"/>
          <w:spacing w:val="0"/>
          <w:sz w:val="56"/>
          <w:szCs w:val="56"/>
          <w:shd w:val="clear" w:fill="FFFFFF"/>
          <w:lang w:eastAsia="zh-CN"/>
          <w14:textFill>
            <w14:solidFill>
              <w14:schemeClr w14:val="tx1"/>
            </w14:solidFill>
          </w14:textFill>
        </w:rPr>
        <w:t>神河镇台子村食用菌产业发展项目</w:t>
      </w:r>
    </w:p>
    <w:p w14:paraId="56CCD3B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56"/>
          <w:szCs w:val="56"/>
          <w:shd w:val="clear" w:fill="FFFFFF"/>
          <w:lang w:eastAsia="zh-CN"/>
          <w14:textFill>
            <w14:solidFill>
              <w14:schemeClr w14:val="tx1"/>
            </w14:solidFill>
          </w14:textFill>
        </w:rPr>
      </w:pPr>
    </w:p>
    <w:p w14:paraId="6B9D62BF">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cs="宋体"/>
          <w:i w:val="0"/>
          <w:iCs w:val="0"/>
          <w:caps w:val="0"/>
          <w:color w:val="000000" w:themeColor="text1"/>
          <w:spacing w:val="0"/>
          <w:sz w:val="56"/>
          <w:szCs w:val="56"/>
          <w:shd w:val="clear" w:fill="FFFFFF"/>
          <w:lang w:eastAsia="zh-CN"/>
          <w14:textFill>
            <w14:solidFill>
              <w14:schemeClr w14:val="tx1"/>
            </w14:solidFill>
          </w14:textFill>
        </w:rPr>
      </w:pPr>
    </w:p>
    <w:p w14:paraId="5ABC0DD5">
      <w:pPr>
        <w:keepNext w:val="0"/>
        <w:keepLines w:val="0"/>
        <w:pageBreakBefore w:val="0"/>
        <w:widowControl/>
        <w:kinsoku/>
        <w:wordWrap/>
        <w:overflowPunct/>
        <w:topLinePunct w:val="0"/>
        <w:autoSpaceDE/>
        <w:autoSpaceDN/>
        <w:bidi w:val="0"/>
        <w:adjustRightInd/>
        <w:snapToGrid w:val="0"/>
        <w:spacing w:before="100" w:beforeAutospacing="1" w:after="100" w:afterAutospacing="1"/>
        <w:jc w:val="center"/>
        <w:textAlignment w:val="auto"/>
        <w:rPr>
          <w:rFonts w:hint="eastAsia" w:ascii="宋体" w:hAnsi="宋体" w:eastAsia="宋体" w:cs="宋体"/>
          <w:b/>
          <w:color w:val="000000"/>
          <w:kern w:val="0"/>
          <w:sz w:val="56"/>
          <w:szCs w:val="56"/>
        </w:rPr>
      </w:pPr>
      <w:r>
        <w:rPr>
          <w:rFonts w:hint="eastAsia" w:ascii="宋体" w:hAnsi="宋体" w:eastAsia="宋体" w:cs="宋体"/>
          <w:b/>
          <w:color w:val="000000"/>
          <w:kern w:val="0"/>
          <w:sz w:val="56"/>
          <w:szCs w:val="56"/>
          <w:lang w:eastAsia="zh-CN"/>
        </w:rPr>
        <w:t>竞争性磋商</w:t>
      </w:r>
      <w:r>
        <w:rPr>
          <w:rFonts w:hint="eastAsia" w:ascii="宋体" w:hAnsi="宋体" w:eastAsia="宋体" w:cs="宋体"/>
          <w:b/>
          <w:color w:val="000000"/>
          <w:kern w:val="0"/>
          <w:sz w:val="56"/>
          <w:szCs w:val="56"/>
        </w:rPr>
        <w:t>文件</w:t>
      </w:r>
    </w:p>
    <w:p w14:paraId="28D91B40">
      <w:pPr>
        <w:pStyle w:val="7"/>
        <w:jc w:val="center"/>
        <w:rPr>
          <w:rFonts w:hint="eastAsia" w:ascii="宋体" w:hAnsi="宋体" w:eastAsia="宋体" w:cs="宋体"/>
          <w:sz w:val="96"/>
          <w:szCs w:val="20"/>
          <w:lang w:eastAsia="zh-CN"/>
        </w:rPr>
      </w:pPr>
      <w:r>
        <w:rPr>
          <w:rFonts w:hint="eastAsia" w:ascii="宋体" w:hAnsi="宋体" w:eastAsia="宋体" w:cs="宋体"/>
          <w:b/>
          <w:bCs/>
          <w:color w:val="auto"/>
          <w:sz w:val="32"/>
          <w:szCs w:val="32"/>
        </w:rPr>
        <w:t>项目编号：</w:t>
      </w:r>
      <w:r>
        <w:rPr>
          <w:rFonts w:hint="eastAsia" w:ascii="宋体" w:hAnsi="宋体" w:cs="宋体"/>
          <w:b/>
          <w:bCs/>
          <w:color w:val="auto"/>
          <w:sz w:val="32"/>
          <w:szCs w:val="32"/>
          <w:lang w:eastAsia="zh-CN"/>
        </w:rPr>
        <w:t>SXFD20260615005</w:t>
      </w:r>
    </w:p>
    <w:p w14:paraId="72A815DB">
      <w:pPr>
        <w:widowControl/>
        <w:spacing w:before="100" w:beforeAutospacing="1" w:after="100" w:afterAutospacing="1"/>
        <w:jc w:val="left"/>
        <w:rPr>
          <w:rFonts w:hint="eastAsia" w:ascii="宋体" w:hAnsi="宋体" w:eastAsia="宋体" w:cs="宋体"/>
          <w:color w:val="000000"/>
          <w:kern w:val="0"/>
          <w:sz w:val="27"/>
          <w:szCs w:val="27"/>
        </w:rPr>
      </w:pPr>
    </w:p>
    <w:p w14:paraId="6E864092">
      <w:pPr>
        <w:spacing w:line="600" w:lineRule="auto"/>
        <w:ind w:firstLine="1506" w:firstLineChars="500"/>
        <w:jc w:val="both"/>
        <w:rPr>
          <w:rFonts w:hint="eastAsia" w:ascii="宋体" w:hAnsi="宋体" w:eastAsia="宋体" w:cs="宋体"/>
          <w:b/>
          <w:bCs/>
          <w:color w:val="auto"/>
          <w:sz w:val="30"/>
          <w:szCs w:val="30"/>
        </w:rPr>
      </w:pPr>
    </w:p>
    <w:p w14:paraId="3608F259">
      <w:pPr>
        <w:pStyle w:val="4"/>
        <w:rPr>
          <w:rFonts w:hint="eastAsia" w:ascii="宋体" w:hAnsi="宋体" w:eastAsia="宋体" w:cs="宋体"/>
        </w:rPr>
      </w:pPr>
    </w:p>
    <w:p w14:paraId="777236EB">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273B1B3">
      <w:pPr>
        <w:keepNext w:val="0"/>
        <w:keepLines w:val="0"/>
        <w:pageBreakBefore w:val="0"/>
        <w:widowControl/>
        <w:kinsoku w:val="0"/>
        <w:wordWrap/>
        <w:overflowPunct/>
        <w:topLinePunct w:val="0"/>
        <w:autoSpaceDE w:val="0"/>
        <w:autoSpaceDN w:val="0"/>
        <w:bidi w:val="0"/>
        <w:adjustRightInd w:val="0"/>
        <w:snapToGrid w:val="0"/>
        <w:spacing w:line="480" w:lineRule="auto"/>
        <w:ind w:right="0"/>
        <w:textAlignment w:val="baseline"/>
        <w:rPr>
          <w:rFonts w:hint="eastAsia" w:ascii="宋体" w:hAnsi="宋体" w:eastAsia="宋体" w:cs="宋体"/>
          <w:b/>
          <w:bCs/>
          <w:spacing w:val="-3"/>
          <w:sz w:val="36"/>
          <w:szCs w:val="36"/>
        </w:rPr>
      </w:pPr>
    </w:p>
    <w:p w14:paraId="2A9118A3">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6" w:firstLineChars="300"/>
        <w:textAlignment w:val="baseline"/>
        <w:rPr>
          <w:rFonts w:hint="default" w:ascii="宋体" w:hAnsi="宋体" w:eastAsia="宋体" w:cs="宋体"/>
          <w:b/>
          <w:bCs/>
          <w:spacing w:val="-4"/>
          <w:sz w:val="36"/>
          <w:szCs w:val="36"/>
          <w:u w:val="single" w:color="auto"/>
          <w:lang w:val="en-US" w:eastAsia="zh-CN"/>
        </w:rPr>
      </w:pPr>
      <w:r>
        <w:rPr>
          <w:rFonts w:hint="eastAsia" w:ascii="宋体" w:hAnsi="宋体" w:eastAsia="宋体" w:cs="宋体"/>
          <w:b/>
          <w:bCs/>
          <w:spacing w:val="-3"/>
          <w:sz w:val="36"/>
          <w:szCs w:val="36"/>
        </w:rPr>
        <w:t>采</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购</w:t>
      </w:r>
      <w:r>
        <w:rPr>
          <w:rFonts w:hint="eastAsia" w:ascii="宋体" w:hAnsi="宋体" w:eastAsia="宋体" w:cs="宋体"/>
          <w:spacing w:val="-3"/>
          <w:sz w:val="36"/>
          <w:szCs w:val="36"/>
        </w:rPr>
        <w:t xml:space="preserve"> </w:t>
      </w:r>
      <w:r>
        <w:rPr>
          <w:rFonts w:hint="eastAsia" w:ascii="宋体" w:hAnsi="宋体" w:eastAsia="宋体" w:cs="宋体"/>
          <w:b/>
          <w:bCs/>
          <w:spacing w:val="-3"/>
          <w:sz w:val="36"/>
          <w:szCs w:val="36"/>
        </w:rPr>
        <w:t>人：</w:t>
      </w:r>
      <w:r>
        <w:rPr>
          <w:rFonts w:hint="eastAsia" w:ascii="宋体" w:hAnsi="宋体" w:cs="宋体"/>
          <w:b/>
          <w:bCs/>
          <w:spacing w:val="-3"/>
          <w:sz w:val="36"/>
          <w:szCs w:val="36"/>
          <w:u w:val="single" w:color="auto"/>
          <w:lang w:val="en-US" w:eastAsia="zh-CN"/>
        </w:rPr>
        <w:t xml:space="preserve">   旬阳市神河镇人民政府   </w:t>
      </w:r>
    </w:p>
    <w:p w14:paraId="38FC9310">
      <w:pPr>
        <w:keepNext w:val="0"/>
        <w:keepLines w:val="0"/>
        <w:pageBreakBefore w:val="0"/>
        <w:widowControl/>
        <w:kinsoku w:val="0"/>
        <w:wordWrap/>
        <w:overflowPunct/>
        <w:topLinePunct w:val="0"/>
        <w:autoSpaceDE w:val="0"/>
        <w:autoSpaceDN w:val="0"/>
        <w:bidi w:val="0"/>
        <w:adjustRightInd w:val="0"/>
        <w:snapToGrid w:val="0"/>
        <w:spacing w:line="480" w:lineRule="auto"/>
        <w:ind w:right="0" w:firstLine="1060" w:firstLineChars="300"/>
        <w:textAlignment w:val="baseline"/>
        <w:rPr>
          <w:rFonts w:hint="default" w:ascii="宋体" w:hAnsi="宋体" w:eastAsia="宋体" w:cs="宋体"/>
          <w:sz w:val="36"/>
          <w:szCs w:val="36"/>
          <w:lang w:val="en-US" w:eastAsia="zh-CN"/>
        </w:rPr>
      </w:pPr>
      <w:r>
        <w:rPr>
          <w:rFonts w:hint="eastAsia" w:ascii="宋体" w:hAnsi="宋体" w:eastAsia="宋体" w:cs="宋体"/>
          <w:b/>
          <w:bCs/>
          <w:spacing w:val="-4"/>
          <w:sz w:val="36"/>
          <w:szCs w:val="36"/>
        </w:rPr>
        <w:t>代理机构：</w:t>
      </w:r>
      <w:r>
        <w:rPr>
          <w:rFonts w:hint="eastAsia" w:ascii="宋体" w:hAnsi="宋体" w:eastAsia="宋体" w:cs="宋体"/>
          <w:b/>
          <w:bCs/>
          <w:spacing w:val="-4"/>
          <w:sz w:val="36"/>
          <w:szCs w:val="36"/>
          <w:u w:val="single" w:color="auto"/>
          <w:lang w:val="en-US" w:eastAsia="zh-CN"/>
        </w:rPr>
        <w:t xml:space="preserve"> </w:t>
      </w:r>
      <w:r>
        <w:rPr>
          <w:rFonts w:hint="eastAsia" w:ascii="宋体" w:hAnsi="宋体" w:eastAsia="宋体" w:cs="宋体"/>
          <w:b/>
          <w:bCs/>
          <w:spacing w:val="-4"/>
          <w:sz w:val="36"/>
          <w:szCs w:val="36"/>
          <w:u w:val="single" w:color="auto"/>
        </w:rPr>
        <w:t>陕西方得项目咨询有限公司</w:t>
      </w:r>
      <w:r>
        <w:rPr>
          <w:rFonts w:hint="eastAsia" w:ascii="宋体" w:hAnsi="宋体" w:eastAsia="宋体" w:cs="宋体"/>
          <w:b/>
          <w:bCs/>
          <w:spacing w:val="-4"/>
          <w:sz w:val="36"/>
          <w:szCs w:val="36"/>
          <w:u w:val="single" w:color="auto"/>
          <w:lang w:val="en-US" w:eastAsia="zh-CN"/>
        </w:rPr>
        <w:t xml:space="preserve"> </w:t>
      </w:r>
      <w:r>
        <w:rPr>
          <w:rFonts w:hint="eastAsia" w:ascii="宋体" w:hAnsi="宋体" w:cs="宋体"/>
          <w:b/>
          <w:bCs/>
          <w:spacing w:val="-4"/>
          <w:sz w:val="36"/>
          <w:szCs w:val="36"/>
          <w:u w:val="single" w:color="auto"/>
          <w:lang w:val="en-US" w:eastAsia="zh-CN"/>
        </w:rPr>
        <w:t xml:space="preserve"> </w:t>
      </w:r>
    </w:p>
    <w:p w14:paraId="4E790939">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r>
        <w:rPr>
          <w:rFonts w:hint="eastAsia" w:ascii="宋体" w:hAnsi="宋体" w:eastAsia="宋体" w:cs="宋体"/>
          <w:b/>
          <w:bCs/>
          <w:spacing w:val="5"/>
          <w:sz w:val="36"/>
          <w:szCs w:val="36"/>
        </w:rPr>
        <w:t>二〇二</w:t>
      </w:r>
      <w:r>
        <w:rPr>
          <w:rFonts w:hint="eastAsia" w:ascii="宋体" w:hAnsi="宋体" w:eastAsia="宋体" w:cs="宋体"/>
          <w:b/>
          <w:bCs/>
          <w:spacing w:val="5"/>
          <w:sz w:val="36"/>
          <w:szCs w:val="36"/>
          <w:lang w:val="en-US" w:eastAsia="zh-CN"/>
        </w:rPr>
        <w:t>六</w:t>
      </w:r>
      <w:r>
        <w:rPr>
          <w:rFonts w:hint="eastAsia" w:ascii="宋体" w:hAnsi="宋体" w:eastAsia="宋体" w:cs="宋体"/>
          <w:b/>
          <w:bCs/>
          <w:spacing w:val="5"/>
          <w:sz w:val="36"/>
          <w:szCs w:val="36"/>
        </w:rPr>
        <w:t>年</w:t>
      </w:r>
      <w:r>
        <w:rPr>
          <w:rFonts w:hint="eastAsia" w:ascii="宋体" w:hAnsi="宋体" w:cs="宋体"/>
          <w:b/>
          <w:bCs/>
          <w:spacing w:val="5"/>
          <w:sz w:val="36"/>
          <w:szCs w:val="36"/>
          <w:lang w:val="en-US" w:eastAsia="zh-CN"/>
        </w:rPr>
        <w:t>六</w:t>
      </w:r>
      <w:r>
        <w:rPr>
          <w:rFonts w:hint="eastAsia" w:ascii="宋体" w:hAnsi="宋体" w:eastAsia="宋体" w:cs="宋体"/>
          <w:b/>
          <w:bCs/>
          <w:spacing w:val="5"/>
          <w:sz w:val="36"/>
          <w:szCs w:val="36"/>
        </w:rPr>
        <w:t>月</w:t>
      </w:r>
    </w:p>
    <w:p w14:paraId="7BF85972">
      <w:pPr>
        <w:rPr>
          <w:rFonts w:hint="eastAsia" w:ascii="宋体" w:hAnsi="宋体" w:eastAsia="宋体" w:cs="宋体"/>
          <w:b/>
          <w:bCs/>
          <w:spacing w:val="5"/>
          <w:sz w:val="36"/>
          <w:szCs w:val="36"/>
        </w:rPr>
      </w:pPr>
      <w:r>
        <w:rPr>
          <w:rFonts w:hint="eastAsia" w:ascii="宋体" w:hAnsi="宋体" w:eastAsia="宋体" w:cs="宋体"/>
          <w:b/>
          <w:bCs/>
          <w:spacing w:val="5"/>
          <w:sz w:val="36"/>
          <w:szCs w:val="36"/>
        </w:rPr>
        <w:br w:type="page"/>
      </w:r>
    </w:p>
    <w:p w14:paraId="7D6255C7">
      <w:pPr>
        <w:keepNext w:val="0"/>
        <w:keepLines w:val="0"/>
        <w:pageBreakBefore w:val="0"/>
        <w:widowControl/>
        <w:kinsoku w:val="0"/>
        <w:wordWrap/>
        <w:overflowPunct/>
        <w:topLinePunct w:val="0"/>
        <w:autoSpaceDE w:val="0"/>
        <w:autoSpaceDN w:val="0"/>
        <w:bidi w:val="0"/>
        <w:adjustRightInd w:val="0"/>
        <w:snapToGrid w:val="0"/>
        <w:spacing w:before="36" w:line="480" w:lineRule="auto"/>
        <w:ind w:left="3372"/>
        <w:textAlignment w:val="baseline"/>
        <w:rPr>
          <w:rFonts w:hint="eastAsia" w:ascii="宋体" w:hAnsi="宋体" w:eastAsia="宋体" w:cs="宋体"/>
          <w:b/>
          <w:bCs/>
          <w:spacing w:val="5"/>
          <w:sz w:val="36"/>
          <w:szCs w:val="36"/>
        </w:rPr>
      </w:pPr>
    </w:p>
    <w:p w14:paraId="20C69FC2">
      <w:pPr>
        <w:adjustRightInd w:val="0"/>
        <w:snapToGrid w:val="0"/>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2656F5F8">
      <w:pPr>
        <w:tabs>
          <w:tab w:val="left" w:pos="7920"/>
        </w:tabs>
        <w:spacing w:line="36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30A87B2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第一章  磋商公告</w:t>
      </w:r>
    </w:p>
    <w:p w14:paraId="2268D108">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第二章  竞争性磋商须知前附表</w:t>
      </w:r>
    </w:p>
    <w:p w14:paraId="79725913">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第三章  磋商须知</w:t>
      </w:r>
    </w:p>
    <w:p w14:paraId="4FC4986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0DE636BE">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768708B1">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第六章  合同条款及格式</w:t>
      </w:r>
    </w:p>
    <w:p w14:paraId="450CCD3B">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第七章  磋商响应文件格式</w:t>
      </w:r>
    </w:p>
    <w:p w14:paraId="596E2E0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sectPr>
          <w:pgSz w:w="11906" w:h="16838"/>
          <w:pgMar w:top="1418" w:right="1555" w:bottom="1418" w:left="1531" w:header="851" w:footer="992" w:gutter="0"/>
          <w:pgNumType w:start="1"/>
          <w:cols w:space="720" w:num="1"/>
          <w:titlePg/>
          <w:docGrid w:type="lines" w:linePitch="312" w:charSpace="0"/>
        </w:sectPr>
      </w:pPr>
    </w:p>
    <w:p w14:paraId="7FB4E0F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磋商公告</w:t>
      </w:r>
    </w:p>
    <w:p w14:paraId="20DDEF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项目概况</w:t>
      </w:r>
    </w:p>
    <w:p w14:paraId="014329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神河镇台子村食用菌产业发展项目采购项目的潜在供应商应在安康市高新区秦岭大道长兴集团办公楼9层906室获取采购文件，并于2026年07月03日 15时00分（北京时间）前提交响应文件。</w:t>
      </w:r>
    </w:p>
    <w:p w14:paraId="45BD89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一、项目基本情况</w:t>
      </w:r>
    </w:p>
    <w:p w14:paraId="32CC96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项目编号：SXFD20260615005</w:t>
      </w:r>
    </w:p>
    <w:p w14:paraId="04FE5AC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项目名称：神河镇台子村食用菌产业发展项目</w:t>
      </w:r>
    </w:p>
    <w:p w14:paraId="0D14C0E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采购方式：竞争性磋商</w:t>
      </w:r>
    </w:p>
    <w:p w14:paraId="6B9D7E5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预算金额：150000.00元</w:t>
      </w:r>
    </w:p>
    <w:p w14:paraId="1C51FDB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采购需求：</w:t>
      </w:r>
    </w:p>
    <w:p w14:paraId="2D1B081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合同包1(神河镇台子村食用菌产业发展项目):</w:t>
      </w:r>
    </w:p>
    <w:p w14:paraId="43ADB0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合同包预算金额：150000.00元</w:t>
      </w:r>
    </w:p>
    <w:p w14:paraId="64B114A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合同包最高限价：150000.00元</w:t>
      </w:r>
    </w:p>
    <w:tbl>
      <w:tblPr>
        <w:tblStyle w:val="16"/>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06"/>
        <w:gridCol w:w="2100"/>
        <w:gridCol w:w="2651"/>
        <w:gridCol w:w="836"/>
        <w:gridCol w:w="1745"/>
        <w:gridCol w:w="1440"/>
      </w:tblGrid>
      <w:tr w14:paraId="34BB0E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33C33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品目号</w:t>
            </w:r>
          </w:p>
        </w:tc>
        <w:tc>
          <w:tcPr>
            <w:tcW w:w="10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8CF8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品目名称</w:t>
            </w:r>
          </w:p>
        </w:tc>
        <w:tc>
          <w:tcPr>
            <w:tcW w:w="13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9E6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采购标的</w:t>
            </w:r>
          </w:p>
        </w:tc>
        <w:tc>
          <w:tcPr>
            <w:tcW w:w="4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96983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数量（单位）</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8D702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技术规格、参数及要求</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E2BED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品目预算(元)</w:t>
            </w:r>
          </w:p>
        </w:tc>
      </w:tr>
      <w:tr w14:paraId="1F9F48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6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27138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1-1</w:t>
            </w:r>
          </w:p>
        </w:tc>
        <w:tc>
          <w:tcPr>
            <w:tcW w:w="105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F67D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其他专业施工</w:t>
            </w:r>
          </w:p>
        </w:tc>
        <w:tc>
          <w:tcPr>
            <w:tcW w:w="13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40EDA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神河镇台子村食用菌产业发展项目</w:t>
            </w:r>
          </w:p>
        </w:tc>
        <w:tc>
          <w:tcPr>
            <w:tcW w:w="4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ABFB8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w:t>
            </w:r>
          </w:p>
        </w:tc>
        <w:tc>
          <w:tcPr>
            <w:tcW w:w="8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B7D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tLeas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详见采购文件</w:t>
            </w:r>
          </w:p>
        </w:tc>
        <w:tc>
          <w:tcPr>
            <w:tcW w:w="7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7E63B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tLeas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150000.00</w:t>
            </w:r>
          </w:p>
        </w:tc>
      </w:tr>
    </w:tbl>
    <w:p w14:paraId="44409C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本合同包不接受联合体投标</w:t>
      </w:r>
    </w:p>
    <w:p w14:paraId="349AE5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合同履行期限：30个日历日</w:t>
      </w:r>
    </w:p>
    <w:p w14:paraId="4290E2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二、申请人的资格要求：</w:t>
      </w:r>
    </w:p>
    <w:p w14:paraId="105CC6C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1.满足《中华人民共和国政府采购法》第二十二条规定;</w:t>
      </w:r>
    </w:p>
    <w:p w14:paraId="6C254B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2.落实政府采购政策需满足的资格要求：</w:t>
      </w:r>
    </w:p>
    <w:p w14:paraId="4BF0EA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合同包1(神河镇台子村食用菌产业发展项目)落实政府采购政策需满足的资格要求如下:</w:t>
      </w:r>
    </w:p>
    <w:p w14:paraId="6C341F7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(1)《政府采购促进中小企业发展管理办法》（财库【2020】46号）；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(2)《财政部司法部关于政府采购支持监狱企业发展有关问题的通知》（财库【2014】68号）；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(3)《国务院办公厅关于建立政府强制采购节能产品制度的通知》（国发办【2007】51号）；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(4)《节能产品政府采购实施意见》（财库[2004]185号）；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(5)《环境标志产品政府采购实施的意见》（财库[2006]90号）；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(6)《三部门联合发布关于促进残疾人就业政府采购政策的通知》（财库【2017】141号）；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(8)《关于印发环境标志产品政府采购品目清单的通知》(财库〔2019〕18号)；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(9)《关于印发节能产品政府采购品目清单的通知》(财库〔2019〕19号)；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(10)《财政部农业农村部国家乡村振兴局关于运用政府采购政策支持乡村产业振兴的通知》财库〔2021〕19号；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(11)陕西省财政厅关于印发《陕西省中小企业政府采购信用融资办法》（陕财办采【2018】23号）；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(12)《陕西省财政厅关于加快推进我省中小企业政府采购信用融资工作的通知》(陕财办采〔2020〕15号)；</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(13)其他需要落实的政府采购政策。</w:t>
      </w:r>
    </w:p>
    <w:p w14:paraId="757F99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3.本项目的特定资格要求：</w:t>
      </w:r>
    </w:p>
    <w:p w14:paraId="1E78DA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合同包1(神河镇台子村食用菌产业发展项目)特定资格要求如下:</w:t>
      </w:r>
    </w:p>
    <w:p w14:paraId="44E594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5D9DEB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三、获取采购文件</w:t>
      </w:r>
    </w:p>
    <w:p w14:paraId="3120E46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时间：2026年06月16日至2026年06月23日，每天上午08:00:00至12:00:00，下午12:00:00至18:00:00（北京时间）</w:t>
      </w:r>
    </w:p>
    <w:p w14:paraId="63FF65D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途径：安康市高新区秦岭大道长兴集团办公楼9层906室</w:t>
      </w:r>
    </w:p>
    <w:p w14:paraId="17C12D3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方式：现场获取</w:t>
      </w:r>
    </w:p>
    <w:p w14:paraId="3B30CC8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售价： 0元</w:t>
      </w:r>
    </w:p>
    <w:p w14:paraId="008F65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四、响应文件提交</w:t>
      </w:r>
    </w:p>
    <w:p w14:paraId="3E567C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截止时间：2026年07月03日 15时00分00秒（北京时间）</w:t>
      </w:r>
    </w:p>
    <w:p w14:paraId="2467F6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725C03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6951DE2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时间：2026年07月03日 15时00分00秒（北京时间）</w:t>
      </w:r>
    </w:p>
    <w:p w14:paraId="7E4B1E4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地点：安康市高新区秦岭大道长兴集团办公楼9层906室</w:t>
      </w:r>
    </w:p>
    <w:p w14:paraId="71ED84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六、公告期限</w:t>
      </w:r>
    </w:p>
    <w:p w14:paraId="6360D2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自本公告发布之日起3个工作日。</w:t>
      </w:r>
    </w:p>
    <w:p w14:paraId="286D2F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七、其他补充事宜</w:t>
      </w:r>
    </w:p>
    <w:p w14:paraId="149E836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投标人须在采购文件获取时间内携带法人授权书及营业执照（复印件加盖公章）在安康市高新区秦岭大道长兴集团办公楼9层906室获取采购文件。</w:t>
      </w:r>
    </w:p>
    <w:p w14:paraId="6AE468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75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1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八、对本次招标提出询问，请按以下方式联系。</w:t>
      </w:r>
    </w:p>
    <w:p w14:paraId="5CD1E80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1.采购人信息</w:t>
      </w:r>
    </w:p>
    <w:p w14:paraId="3A94429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名称：旬阳市财政局神河财政所</w:t>
      </w:r>
    </w:p>
    <w:p w14:paraId="511266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地址：旬阳县神河镇神河社区二组</w:t>
      </w:r>
    </w:p>
    <w:p w14:paraId="1C2667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联系方式：15319860816</w:t>
      </w:r>
    </w:p>
    <w:p w14:paraId="3DB53B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2.采购代理机构信息</w:t>
      </w:r>
    </w:p>
    <w:p w14:paraId="0DB353C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名称：陕西方得项目咨询有限公司</w:t>
      </w:r>
    </w:p>
    <w:p w14:paraId="1758C4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地址：陕西省安康市旬阳市城关镇党家坝社区289号</w:t>
      </w:r>
    </w:p>
    <w:p w14:paraId="4596098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联系方式：15991443310</w:t>
      </w:r>
    </w:p>
    <w:p w14:paraId="27991D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shd w:val="clear" w:fill="FFFFFF"/>
          <w14:textFill>
            <w14:solidFill>
              <w14:schemeClr w14:val="tx1"/>
            </w14:solidFill>
          </w14:textFill>
        </w:rPr>
        <w:t>3.项目联系方式</w:t>
      </w:r>
    </w:p>
    <w:p w14:paraId="4D12489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项目联系人：袁女士</w:t>
      </w:r>
    </w:p>
    <w:p w14:paraId="450E9D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电话：15991443310</w:t>
      </w:r>
    </w:p>
    <w:p w14:paraId="271D63B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陕西方得项目咨询有限公司</w:t>
      </w:r>
    </w:p>
    <w:p w14:paraId="0485969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2026年6月15日</w:t>
      </w:r>
    </w:p>
    <w:p w14:paraId="5ABF7E47">
      <w:pPr>
        <w:keepNext w:val="0"/>
        <w:keepLines w:val="0"/>
        <w:pageBreakBefore w:val="0"/>
        <w:kinsoku/>
        <w:overflowPunct/>
        <w:topLinePunct w:val="0"/>
        <w:autoSpaceDE/>
        <w:autoSpaceDN/>
        <w:bidi w:val="0"/>
        <w:adjustRightInd/>
        <w:snapToGrid/>
        <w:ind w:left="0"/>
        <w:textAlignment w:val="auto"/>
        <w:rPr>
          <w:rFonts w:hint="eastAsia" w:ascii="宋体" w:hAnsi="宋体" w:eastAsia="宋体" w:cs="宋体"/>
          <w:color w:val="000000" w:themeColor="text1"/>
          <w:sz w:val="24"/>
          <w:szCs w:val="24"/>
          <w14:textFill>
            <w14:solidFill>
              <w14:schemeClr w14:val="tx1"/>
            </w14:solidFill>
          </w14:textFill>
        </w:rPr>
      </w:pPr>
    </w:p>
    <w:p w14:paraId="6306DC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0548B4EC"/>
    <w:p w14:paraId="6D7B7E4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p>
    <w:p w14:paraId="2E646DB8"/>
    <w:p w14:paraId="45BE699A">
      <w:pPr>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7C455DC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2D6A18F8">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5A8E58DE">
      <w:pPr>
        <w:numPr>
          <w:ilvl w:val="0"/>
          <w:numId w:val="1"/>
        </w:numPr>
        <w:tabs>
          <w:tab w:val="left" w:pos="7920"/>
        </w:tabs>
        <w:spacing w:line="600" w:lineRule="auto"/>
        <w:ind w:left="0" w:leftChars="0" w:firstLine="0" w:firstLineChars="0"/>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 xml:space="preserve"> 竞争性磋商须知前附表</w:t>
      </w:r>
    </w:p>
    <w:tbl>
      <w:tblPr>
        <w:tblStyle w:val="16"/>
        <w:tblW w:w="9750"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2169"/>
        <w:gridCol w:w="6463"/>
      </w:tblGrid>
      <w:tr w14:paraId="29BC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18" w:type="dxa"/>
            <w:vAlign w:val="center"/>
          </w:tcPr>
          <w:p w14:paraId="1EECCC8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2169" w:type="dxa"/>
            <w:vAlign w:val="center"/>
          </w:tcPr>
          <w:p w14:paraId="7849ABE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内容</w:t>
            </w:r>
          </w:p>
        </w:tc>
        <w:tc>
          <w:tcPr>
            <w:tcW w:w="6463" w:type="dxa"/>
            <w:vAlign w:val="center"/>
          </w:tcPr>
          <w:p w14:paraId="61473F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val="0"/>
                <w:kern w:val="0"/>
                <w:sz w:val="24"/>
                <w:szCs w:val="24"/>
              </w:rPr>
            </w:pPr>
            <w:r>
              <w:rPr>
                <w:rFonts w:hint="eastAsia" w:ascii="宋体" w:hAnsi="宋体" w:eastAsia="宋体" w:cs="宋体"/>
                <w:b/>
                <w:bCs w:val="0"/>
                <w:kern w:val="0"/>
                <w:sz w:val="24"/>
                <w:szCs w:val="24"/>
              </w:rPr>
              <w:t>说明与要求</w:t>
            </w:r>
          </w:p>
        </w:tc>
      </w:tr>
      <w:tr w14:paraId="4AD7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118" w:type="dxa"/>
            <w:vAlign w:val="center"/>
          </w:tcPr>
          <w:p w14:paraId="544E6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w:t>
            </w:r>
          </w:p>
        </w:tc>
        <w:tc>
          <w:tcPr>
            <w:tcW w:w="2169" w:type="dxa"/>
            <w:vAlign w:val="center"/>
          </w:tcPr>
          <w:p w14:paraId="454C19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工程名称</w:t>
            </w:r>
          </w:p>
        </w:tc>
        <w:tc>
          <w:tcPr>
            <w:tcW w:w="6463" w:type="dxa"/>
            <w:vAlign w:val="center"/>
          </w:tcPr>
          <w:p w14:paraId="202D14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神河镇台子村食用菌产业发展项目</w:t>
            </w:r>
          </w:p>
        </w:tc>
      </w:tr>
      <w:tr w14:paraId="11EA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bottom w:val="single" w:color="auto" w:sz="4" w:space="0"/>
            </w:tcBorders>
            <w:vAlign w:val="center"/>
          </w:tcPr>
          <w:p w14:paraId="606AA3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2</w:t>
            </w:r>
          </w:p>
        </w:tc>
        <w:tc>
          <w:tcPr>
            <w:tcW w:w="2169" w:type="dxa"/>
            <w:tcBorders>
              <w:bottom w:val="single" w:color="auto" w:sz="4" w:space="0"/>
            </w:tcBorders>
            <w:vAlign w:val="center"/>
          </w:tcPr>
          <w:p w14:paraId="66FFA6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采购人</w:t>
            </w:r>
          </w:p>
        </w:tc>
        <w:tc>
          <w:tcPr>
            <w:tcW w:w="6463" w:type="dxa"/>
            <w:tcBorders>
              <w:bottom w:val="single" w:color="auto" w:sz="4" w:space="0"/>
            </w:tcBorders>
            <w:vAlign w:val="center"/>
          </w:tcPr>
          <w:p w14:paraId="62F572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eastAsia="zh-CN"/>
              </w:rPr>
            </w:pPr>
            <w:r>
              <w:rPr>
                <w:rFonts w:hint="eastAsia" w:ascii="宋体" w:hAnsi="宋体" w:cs="宋体"/>
                <w:b w:val="0"/>
                <w:bCs/>
                <w:kern w:val="0"/>
                <w:sz w:val="24"/>
                <w:szCs w:val="24"/>
                <w:lang w:eastAsia="zh-CN"/>
              </w:rPr>
              <w:t>旬阳市神河镇人民政府</w:t>
            </w:r>
          </w:p>
        </w:tc>
      </w:tr>
      <w:tr w14:paraId="262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8" w:type="dxa"/>
            <w:tcBorders>
              <w:top w:val="single" w:color="auto" w:sz="4" w:space="0"/>
              <w:left w:val="single" w:color="auto" w:sz="4" w:space="0"/>
              <w:bottom w:val="single" w:color="auto" w:sz="4" w:space="0"/>
              <w:right w:val="single" w:color="auto" w:sz="4" w:space="0"/>
            </w:tcBorders>
            <w:vAlign w:val="center"/>
          </w:tcPr>
          <w:p w14:paraId="349909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3</w:t>
            </w:r>
          </w:p>
        </w:tc>
        <w:tc>
          <w:tcPr>
            <w:tcW w:w="2169" w:type="dxa"/>
            <w:tcBorders>
              <w:top w:val="single" w:color="auto" w:sz="4" w:space="0"/>
              <w:left w:val="single" w:color="auto" w:sz="4" w:space="0"/>
              <w:bottom w:val="single" w:color="auto" w:sz="4" w:space="0"/>
              <w:right w:val="single" w:color="auto" w:sz="4" w:space="0"/>
            </w:tcBorders>
            <w:vAlign w:val="center"/>
          </w:tcPr>
          <w:p w14:paraId="6C28B7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采购内容</w:t>
            </w:r>
          </w:p>
        </w:tc>
        <w:tc>
          <w:tcPr>
            <w:tcW w:w="6463" w:type="dxa"/>
            <w:tcBorders>
              <w:top w:val="single" w:color="auto" w:sz="4" w:space="0"/>
              <w:left w:val="single" w:color="auto" w:sz="4" w:space="0"/>
              <w:bottom w:val="single" w:color="auto" w:sz="4" w:space="0"/>
              <w:right w:val="single" w:color="auto" w:sz="4" w:space="0"/>
            </w:tcBorders>
            <w:vAlign w:val="center"/>
          </w:tcPr>
          <w:p w14:paraId="46F630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eastAsia="zh-CN"/>
                <w14:textFill>
                  <w14:solidFill>
                    <w14:schemeClr w14:val="tx1"/>
                  </w14:solidFill>
                </w14:textFill>
              </w:rPr>
              <w:t>神河镇台子村食用菌产业发展项目</w:t>
            </w:r>
            <w:r>
              <w:rPr>
                <w:rFonts w:hint="eastAsia" w:ascii="宋体" w:hAnsi="宋体" w:eastAsia="宋体" w:cs="宋体"/>
                <w:b w:val="0"/>
                <w:bCs/>
                <w:color w:val="000000" w:themeColor="text1"/>
                <w:kern w:val="0"/>
                <w:sz w:val="24"/>
                <w:szCs w:val="24"/>
                <w14:textFill>
                  <w14:solidFill>
                    <w14:schemeClr w14:val="tx1"/>
                  </w14:solidFill>
                </w14:textFill>
              </w:rPr>
              <w:t>具体参数内容详见第四部分“</w:t>
            </w:r>
            <w:r>
              <w:rPr>
                <w:rFonts w:hint="eastAsia" w:ascii="宋体" w:hAnsi="宋体" w:eastAsia="宋体" w:cs="宋体"/>
                <w:b w:val="0"/>
                <w:bCs/>
                <w:color w:val="000000" w:themeColor="text1"/>
                <w:kern w:val="0"/>
                <w:sz w:val="24"/>
                <w:szCs w:val="24"/>
                <w:lang w:eastAsia="zh-CN"/>
                <w14:textFill>
                  <w14:solidFill>
                    <w14:schemeClr w14:val="tx1"/>
                  </w14:solidFill>
                </w14:textFill>
              </w:rPr>
              <w:t>施工内容及要求</w:t>
            </w:r>
            <w:r>
              <w:rPr>
                <w:rFonts w:hint="eastAsia" w:ascii="宋体" w:hAnsi="宋体" w:eastAsia="宋体" w:cs="宋体"/>
                <w:b w:val="0"/>
                <w:bCs/>
                <w:color w:val="000000" w:themeColor="text1"/>
                <w:kern w:val="0"/>
                <w:sz w:val="24"/>
                <w:szCs w:val="24"/>
                <w14:textFill>
                  <w14:solidFill>
                    <w14:schemeClr w14:val="tx1"/>
                  </w14:solidFill>
                </w14:textFill>
              </w:rPr>
              <w:t>”。</w:t>
            </w:r>
          </w:p>
        </w:tc>
      </w:tr>
      <w:tr w14:paraId="18B1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60D046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4</w:t>
            </w:r>
          </w:p>
        </w:tc>
        <w:tc>
          <w:tcPr>
            <w:tcW w:w="2169" w:type="dxa"/>
            <w:tcBorders>
              <w:top w:val="single" w:color="auto" w:sz="4" w:space="0"/>
            </w:tcBorders>
            <w:vAlign w:val="center"/>
          </w:tcPr>
          <w:p w14:paraId="05C8370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eastAsia="宋体" w:cs="宋体"/>
                <w:b w:val="0"/>
                <w:bCs/>
                <w:color w:val="000000" w:themeColor="text1"/>
                <w:kern w:val="0"/>
                <w:sz w:val="24"/>
                <w:szCs w:val="24"/>
                <w14:textFill>
                  <w14:solidFill>
                    <w14:schemeClr w14:val="tx1"/>
                  </w14:solidFill>
                </w14:textFill>
              </w:rPr>
              <w:t>预算金额</w:t>
            </w:r>
          </w:p>
        </w:tc>
        <w:tc>
          <w:tcPr>
            <w:tcW w:w="6463" w:type="dxa"/>
            <w:tcBorders>
              <w:top w:val="single" w:color="auto" w:sz="4" w:space="0"/>
            </w:tcBorders>
            <w:vAlign w:val="center"/>
          </w:tcPr>
          <w:p w14:paraId="614C5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150000.00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322C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tcBorders>
              <w:top w:val="single" w:color="auto" w:sz="4" w:space="0"/>
            </w:tcBorders>
            <w:vAlign w:val="center"/>
          </w:tcPr>
          <w:p w14:paraId="7EBC6F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w:t>
            </w:r>
          </w:p>
        </w:tc>
        <w:tc>
          <w:tcPr>
            <w:tcW w:w="2169" w:type="dxa"/>
            <w:tcBorders>
              <w:top w:val="single" w:color="auto" w:sz="4" w:space="0"/>
            </w:tcBorders>
            <w:vAlign w:val="center"/>
          </w:tcPr>
          <w:p w14:paraId="08AF51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color w:val="000000" w:themeColor="text1"/>
                <w:kern w:val="0"/>
                <w:sz w:val="24"/>
                <w:szCs w:val="24"/>
                <w:lang w:eastAsia="zh-CN"/>
                <w14:textFill>
                  <w14:solidFill>
                    <w14:schemeClr w14:val="tx1"/>
                  </w14:solidFill>
                </w14:textFill>
              </w:rPr>
            </w:pPr>
            <w:r>
              <w:rPr>
                <w:rFonts w:hint="eastAsia" w:ascii="宋体" w:hAnsi="宋体" w:eastAsia="宋体" w:cs="宋体"/>
                <w:b w:val="0"/>
                <w:bCs/>
                <w:color w:val="000000" w:themeColor="text1"/>
                <w:kern w:val="0"/>
                <w:sz w:val="24"/>
                <w:szCs w:val="24"/>
                <w:lang w:eastAsia="zh-CN"/>
                <w14:textFill>
                  <w14:solidFill>
                    <w14:schemeClr w14:val="tx1"/>
                  </w14:solidFill>
                </w14:textFill>
              </w:rPr>
              <w:t>最高限价</w:t>
            </w:r>
          </w:p>
        </w:tc>
        <w:tc>
          <w:tcPr>
            <w:tcW w:w="6463" w:type="dxa"/>
            <w:tcBorders>
              <w:top w:val="single" w:color="auto" w:sz="4" w:space="0"/>
            </w:tcBorders>
            <w:vAlign w:val="center"/>
          </w:tcPr>
          <w:p w14:paraId="0F807D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color w:val="000000" w:themeColor="text1"/>
                <w:kern w:val="0"/>
                <w:sz w:val="24"/>
                <w:szCs w:val="24"/>
                <w:lang w:val="en-US" w:eastAsia="zh-CN"/>
                <w14:textFill>
                  <w14:solidFill>
                    <w14:schemeClr w14:val="tx1"/>
                  </w14:solidFill>
                </w14:textFill>
              </w:rPr>
            </w:pPr>
            <w:r>
              <w:rPr>
                <w:rFonts w:hint="eastAsia" w:ascii="宋体" w:hAnsi="宋体" w:cs="宋体"/>
                <w:b w:val="0"/>
                <w:bCs/>
                <w:color w:val="000000" w:themeColor="text1"/>
                <w:kern w:val="0"/>
                <w:sz w:val="24"/>
                <w:szCs w:val="24"/>
                <w:lang w:val="en-US" w:eastAsia="zh-CN"/>
                <w14:textFill>
                  <w14:solidFill>
                    <w14:schemeClr w14:val="tx1"/>
                  </w14:solidFill>
                </w14:textFill>
              </w:rPr>
              <w:t>150000.00</w:t>
            </w:r>
            <w:r>
              <w:rPr>
                <w:rFonts w:hint="eastAsia" w:ascii="宋体" w:hAnsi="宋体" w:eastAsia="宋体" w:cs="宋体"/>
                <w:b w:val="0"/>
                <w:bCs/>
                <w:color w:val="000000" w:themeColor="text1"/>
                <w:kern w:val="0"/>
                <w:sz w:val="24"/>
                <w:szCs w:val="24"/>
                <w:lang w:eastAsia="zh-CN"/>
                <w14:textFill>
                  <w14:solidFill>
                    <w14:schemeClr w14:val="tx1"/>
                  </w14:solidFill>
                </w14:textFill>
              </w:rPr>
              <w:t>元</w:t>
            </w:r>
          </w:p>
        </w:tc>
      </w:tr>
      <w:tr w14:paraId="76D7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F8CB3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6</w:t>
            </w:r>
          </w:p>
        </w:tc>
        <w:tc>
          <w:tcPr>
            <w:tcW w:w="2169" w:type="dxa"/>
            <w:vAlign w:val="center"/>
          </w:tcPr>
          <w:p w14:paraId="518515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项目完成期限</w:t>
            </w:r>
          </w:p>
        </w:tc>
        <w:tc>
          <w:tcPr>
            <w:tcW w:w="6463" w:type="dxa"/>
            <w:vAlign w:val="center"/>
          </w:tcPr>
          <w:p w14:paraId="28B915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自合同签订之日起</w:t>
            </w:r>
            <w:r>
              <w:rPr>
                <w:rFonts w:hint="eastAsia" w:ascii="宋体" w:hAnsi="宋体" w:cs="宋体"/>
                <w:b w:val="0"/>
                <w:bCs/>
                <w:kern w:val="0"/>
                <w:sz w:val="24"/>
                <w:szCs w:val="24"/>
                <w:lang w:val="en-US" w:eastAsia="zh-CN"/>
              </w:rPr>
              <w:t>30</w:t>
            </w:r>
            <w:r>
              <w:rPr>
                <w:rFonts w:hint="eastAsia" w:ascii="宋体" w:hAnsi="宋体" w:eastAsia="宋体" w:cs="宋体"/>
                <w:b w:val="0"/>
                <w:bCs/>
                <w:kern w:val="0"/>
                <w:sz w:val="24"/>
                <w:szCs w:val="24"/>
              </w:rPr>
              <w:t>个日历日。</w:t>
            </w:r>
          </w:p>
        </w:tc>
      </w:tr>
      <w:tr w14:paraId="3A0A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002FF0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lang w:val="en-US" w:eastAsia="zh-CN"/>
              </w:rPr>
              <w:t>7</w:t>
            </w:r>
          </w:p>
        </w:tc>
        <w:tc>
          <w:tcPr>
            <w:tcW w:w="2169" w:type="dxa"/>
            <w:vAlign w:val="center"/>
          </w:tcPr>
          <w:p w14:paraId="1BF0A5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质保期</w:t>
            </w:r>
          </w:p>
        </w:tc>
        <w:tc>
          <w:tcPr>
            <w:tcW w:w="6463" w:type="dxa"/>
            <w:vAlign w:val="center"/>
          </w:tcPr>
          <w:p w14:paraId="1B3049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一年</w:t>
            </w:r>
          </w:p>
        </w:tc>
      </w:tr>
      <w:tr w14:paraId="6193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74A8C41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8</w:t>
            </w:r>
          </w:p>
        </w:tc>
        <w:tc>
          <w:tcPr>
            <w:tcW w:w="2169" w:type="dxa"/>
            <w:vAlign w:val="center"/>
          </w:tcPr>
          <w:p w14:paraId="77D295F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质量标准</w:t>
            </w:r>
          </w:p>
        </w:tc>
        <w:tc>
          <w:tcPr>
            <w:tcW w:w="6463" w:type="dxa"/>
            <w:vAlign w:val="center"/>
          </w:tcPr>
          <w:p w14:paraId="5D9C95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合格，须符合国家相关政策执行标准。</w:t>
            </w:r>
          </w:p>
        </w:tc>
      </w:tr>
      <w:tr w14:paraId="41685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407EA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9</w:t>
            </w:r>
          </w:p>
        </w:tc>
        <w:tc>
          <w:tcPr>
            <w:tcW w:w="2169" w:type="dxa"/>
            <w:vAlign w:val="center"/>
          </w:tcPr>
          <w:p w14:paraId="1BC0F7E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实施地点</w:t>
            </w:r>
          </w:p>
        </w:tc>
        <w:tc>
          <w:tcPr>
            <w:tcW w:w="6463" w:type="dxa"/>
            <w:vAlign w:val="center"/>
          </w:tcPr>
          <w:p w14:paraId="41C6D9F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cs="宋体"/>
                <w:b w:val="0"/>
                <w:bCs/>
                <w:kern w:val="0"/>
                <w:sz w:val="24"/>
                <w:szCs w:val="24"/>
                <w:lang w:eastAsia="zh-CN"/>
              </w:rPr>
              <w:t>神河镇</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lang w:val="en-US" w:eastAsia="zh-CN"/>
              </w:rPr>
              <w:t>采购人指定地点）</w:t>
            </w:r>
          </w:p>
        </w:tc>
      </w:tr>
      <w:tr w14:paraId="444D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118" w:type="dxa"/>
            <w:vAlign w:val="center"/>
          </w:tcPr>
          <w:p w14:paraId="346306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2169" w:type="dxa"/>
            <w:vAlign w:val="center"/>
          </w:tcPr>
          <w:p w14:paraId="62DC83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资格审查方式</w:t>
            </w:r>
          </w:p>
        </w:tc>
        <w:tc>
          <w:tcPr>
            <w:tcW w:w="6463" w:type="dxa"/>
            <w:vAlign w:val="center"/>
          </w:tcPr>
          <w:p w14:paraId="0B1B7B4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资格后审</w:t>
            </w:r>
          </w:p>
        </w:tc>
      </w:tr>
      <w:tr w14:paraId="746E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1118" w:type="dxa"/>
            <w:vAlign w:val="center"/>
          </w:tcPr>
          <w:p w14:paraId="124BA6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11</w:t>
            </w:r>
          </w:p>
        </w:tc>
        <w:tc>
          <w:tcPr>
            <w:tcW w:w="2169" w:type="dxa"/>
            <w:vAlign w:val="center"/>
          </w:tcPr>
          <w:p w14:paraId="7BB21A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投标人</w:t>
            </w:r>
          </w:p>
          <w:p w14:paraId="17D15B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资质要求</w:t>
            </w:r>
          </w:p>
        </w:tc>
        <w:tc>
          <w:tcPr>
            <w:tcW w:w="6463" w:type="dxa"/>
            <w:vAlign w:val="top"/>
          </w:tcPr>
          <w:p w14:paraId="2465D4E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w:t>
            </w:r>
            <w:r>
              <w:rPr>
                <w:rFonts w:hint="eastAsia" w:ascii="宋体" w:hAnsi="宋体" w:eastAsia="宋体" w:cs="宋体"/>
                <w:b w:val="0"/>
                <w:bCs/>
                <w:kern w:val="0"/>
                <w:sz w:val="24"/>
                <w:szCs w:val="24"/>
                <w:lang w:eastAsia="zh-CN"/>
              </w:rPr>
              <w:t>人必须符合《中</w:t>
            </w:r>
            <w:r>
              <w:rPr>
                <w:rFonts w:hint="eastAsia" w:ascii="宋体" w:hAnsi="宋体" w:eastAsia="宋体" w:cs="宋体"/>
                <w:b w:val="0"/>
                <w:bCs/>
                <w:kern w:val="0"/>
                <w:sz w:val="24"/>
                <w:szCs w:val="24"/>
              </w:rPr>
              <w:t>华人民共和国政府采购法》第二十二条之规定并具备以下条件：</w:t>
            </w:r>
          </w:p>
          <w:p w14:paraId="1AA36A4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b w:val="0"/>
                <w:bCs/>
                <w:kern w:val="0"/>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r w14:paraId="3C7B4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67768D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12</w:t>
            </w:r>
          </w:p>
        </w:tc>
        <w:tc>
          <w:tcPr>
            <w:tcW w:w="2169" w:type="dxa"/>
            <w:vAlign w:val="center"/>
          </w:tcPr>
          <w:p w14:paraId="6A1763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是否接受联合体投标</w:t>
            </w:r>
          </w:p>
        </w:tc>
        <w:tc>
          <w:tcPr>
            <w:tcW w:w="6463" w:type="dxa"/>
            <w:vAlign w:val="center"/>
          </w:tcPr>
          <w:p w14:paraId="32206B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否</w:t>
            </w:r>
          </w:p>
        </w:tc>
      </w:tr>
      <w:tr w14:paraId="7548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118" w:type="dxa"/>
            <w:vAlign w:val="center"/>
          </w:tcPr>
          <w:p w14:paraId="76A7632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13</w:t>
            </w:r>
          </w:p>
        </w:tc>
        <w:tc>
          <w:tcPr>
            <w:tcW w:w="2169" w:type="dxa"/>
            <w:vAlign w:val="center"/>
          </w:tcPr>
          <w:p w14:paraId="59B5A1F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现场踏勘</w:t>
            </w:r>
          </w:p>
        </w:tc>
        <w:tc>
          <w:tcPr>
            <w:tcW w:w="6463" w:type="dxa"/>
            <w:vAlign w:val="center"/>
          </w:tcPr>
          <w:p w14:paraId="0DCBEF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自行踏勘，未踏勘现场造成的一切后果由投标人自行承担（一切费用自理）。</w:t>
            </w:r>
          </w:p>
        </w:tc>
      </w:tr>
      <w:tr w14:paraId="6904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1118" w:type="dxa"/>
            <w:vAlign w:val="center"/>
          </w:tcPr>
          <w:p w14:paraId="00F60F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14</w:t>
            </w:r>
          </w:p>
        </w:tc>
        <w:tc>
          <w:tcPr>
            <w:tcW w:w="2169" w:type="dxa"/>
            <w:vAlign w:val="center"/>
          </w:tcPr>
          <w:p w14:paraId="3A49CEFF">
            <w:pPr>
              <w:pStyle w:val="6"/>
              <w:spacing w:before="120" w:beforeLines="50" w:line="360" w:lineRule="auto"/>
              <w:ind w:left="0" w:leftChars="0" w:firstLine="0" w:firstLine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磋商时间和地点</w:t>
            </w:r>
          </w:p>
        </w:tc>
        <w:tc>
          <w:tcPr>
            <w:tcW w:w="6463" w:type="dxa"/>
            <w:vAlign w:val="center"/>
          </w:tcPr>
          <w:p w14:paraId="160ADFA7">
            <w:pPr>
              <w:spacing w:line="25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磋商时间：2026年</w:t>
            </w:r>
            <w:r>
              <w:rPr>
                <w:rFonts w:hint="eastAsia" w:ascii="宋体" w:hAnsi="宋体" w:cs="宋体"/>
                <w:color w:val="000000" w:themeColor="text1"/>
                <w:sz w:val="24"/>
                <w:szCs w:val="24"/>
                <w:lang w:val="en-US" w:eastAsia="zh-CN"/>
                <w14:textFill>
                  <w14:solidFill>
                    <w14:schemeClr w14:val="tx1"/>
                  </w14:solidFill>
                </w14:textFill>
              </w:rPr>
              <w:t>07</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cs="宋体"/>
                <w:color w:val="000000" w:themeColor="text1"/>
                <w:sz w:val="24"/>
                <w:szCs w:val="24"/>
                <w:lang w:val="en-US" w:eastAsia="zh-CN"/>
                <w14:textFill>
                  <w14:solidFill>
                    <w14:schemeClr w14:val="tx1"/>
                  </w14:solidFill>
                </w14:textFill>
              </w:rPr>
              <w:t>03</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 xml:space="preserve">时00分00秒  </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91AF7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kern w:val="0"/>
                <w:sz w:val="24"/>
                <w:szCs w:val="24"/>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磋商地点：</w:t>
            </w:r>
            <w:r>
              <w:rPr>
                <w:rFonts w:hint="eastAsia" w:ascii="宋体" w:hAnsi="宋体" w:cs="宋体"/>
                <w:b w:val="0"/>
                <w:bCs/>
                <w:color w:val="000000" w:themeColor="text1"/>
                <w:kern w:val="0"/>
                <w:sz w:val="24"/>
                <w:szCs w:val="24"/>
                <w:lang w:val="en-US" w:eastAsia="zh-CN" w:bidi="ar-SA"/>
                <w14:textFill>
                  <w14:solidFill>
                    <w14:schemeClr w14:val="tx1"/>
                  </w14:solidFill>
                </w14:textFill>
              </w:rPr>
              <w:t>安康市高新区秦岭大道长兴集团办公楼9层906室</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（如有变动，另行通知）。</w:t>
            </w:r>
          </w:p>
        </w:tc>
      </w:tr>
      <w:tr w14:paraId="21F9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118" w:type="dxa"/>
            <w:vAlign w:val="center"/>
          </w:tcPr>
          <w:p w14:paraId="3FB294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2169" w:type="dxa"/>
            <w:vAlign w:val="center"/>
          </w:tcPr>
          <w:p w14:paraId="0D254E3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响应文件有效期</w:t>
            </w:r>
          </w:p>
        </w:tc>
        <w:tc>
          <w:tcPr>
            <w:tcW w:w="6463" w:type="dxa"/>
            <w:vAlign w:val="center"/>
          </w:tcPr>
          <w:p w14:paraId="7D7DF5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90日历天（从提交响应文件日起计算）</w:t>
            </w:r>
          </w:p>
        </w:tc>
      </w:tr>
      <w:tr w14:paraId="54DD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118" w:type="dxa"/>
            <w:vAlign w:val="center"/>
          </w:tcPr>
          <w:p w14:paraId="4C9F24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16</w:t>
            </w:r>
          </w:p>
        </w:tc>
        <w:tc>
          <w:tcPr>
            <w:tcW w:w="2169" w:type="dxa"/>
            <w:vAlign w:val="center"/>
          </w:tcPr>
          <w:p w14:paraId="35C598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投标响应文件的</w:t>
            </w:r>
          </w:p>
          <w:p w14:paraId="2BF35D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制作和签署</w:t>
            </w:r>
          </w:p>
        </w:tc>
        <w:tc>
          <w:tcPr>
            <w:tcW w:w="6463" w:type="dxa"/>
            <w:vAlign w:val="center"/>
          </w:tcPr>
          <w:p w14:paraId="28EC761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1.供应商应提交投标文件正本 1 份、副本 1 份、电子版U盘一份。每套投标文件须清楚地标明“正本”、“副本”、电子版（装正本中），一旦正本和副本不符，以正本为准。</w:t>
            </w:r>
          </w:p>
          <w:p w14:paraId="36BFFA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2.投标文件按要求均应加盖供应商印章，并经法定代表人或其委托代理人签字或盖章。由委托代理人签字或盖章的，在投标文件中须同时提交法定代表人授权委托书。 </w:t>
            </w:r>
          </w:p>
          <w:p w14:paraId="4778E8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3.招标响应文件的正本和副本应分别单独采用A4纸胶粘装订成册，装订应牢固，不易拆散，不得夹页、换页，不得采用活页装订，应编制目录，字迹应清晰易于辨认，文件编制应符合要求。 </w:t>
            </w:r>
          </w:p>
          <w:p w14:paraId="72B349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4.除供应商对投标文件错处做必要修改外，投标文件不得行间插字、涂改和增删，如有修改错漏处，须由供应商的法人或其授权代表在修改处签字后才有效。 </w:t>
            </w:r>
          </w:p>
          <w:p w14:paraId="7DA11C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 xml:space="preserve">5.投标文件因表述不清所引起的后果由供应商负责。 </w:t>
            </w:r>
          </w:p>
        </w:tc>
      </w:tr>
      <w:tr w14:paraId="5FC7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118" w:type="dxa"/>
            <w:vAlign w:val="center"/>
          </w:tcPr>
          <w:p w14:paraId="3011B0C1">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2169" w:type="dxa"/>
            <w:vAlign w:val="center"/>
          </w:tcPr>
          <w:p w14:paraId="5DDEC2E1">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lang w:val="zh-CN"/>
              </w:rPr>
              <w:t>封套上应写明的内容</w:t>
            </w:r>
          </w:p>
        </w:tc>
        <w:tc>
          <w:tcPr>
            <w:tcW w:w="6463" w:type="dxa"/>
            <w:vAlign w:val="top"/>
          </w:tcPr>
          <w:p w14:paraId="3A304923">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1F1F08D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480ABAD7">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竞争性磋商响应文件</w:t>
            </w:r>
          </w:p>
          <w:p w14:paraId="53842590">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3ACF86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val="0"/>
                <w:bCs/>
                <w:kern w:val="0"/>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分（磋商文件递交截止时间）前不得开启</w:t>
            </w:r>
            <w:r>
              <w:rPr>
                <w:rFonts w:hint="eastAsia" w:ascii="宋体" w:hAnsi="宋体" w:eastAsia="宋体" w:cs="宋体"/>
                <w:color w:val="auto"/>
                <w:sz w:val="24"/>
                <w:szCs w:val="24"/>
                <w:lang w:eastAsia="zh-CN"/>
              </w:rPr>
              <w:t>。</w:t>
            </w:r>
          </w:p>
        </w:tc>
      </w:tr>
      <w:tr w14:paraId="24C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118" w:type="dxa"/>
            <w:vAlign w:val="center"/>
          </w:tcPr>
          <w:p w14:paraId="5034A13E">
            <w:pPr>
              <w:pStyle w:val="20"/>
              <w:numPr>
                <w:ilvl w:val="0"/>
                <w:numId w:val="0"/>
              </w:numPr>
              <w:spacing w:line="259" w:lineRule="auto"/>
              <w:ind w:leftChars="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18</w:t>
            </w:r>
          </w:p>
        </w:tc>
        <w:tc>
          <w:tcPr>
            <w:tcW w:w="2169" w:type="dxa"/>
            <w:vAlign w:val="center"/>
          </w:tcPr>
          <w:p w14:paraId="74556EB6">
            <w:pPr>
              <w:spacing w:line="259" w:lineRule="auto"/>
              <w:ind w:right="111" w:rightChars="0"/>
              <w:jc w:val="center"/>
              <w:rPr>
                <w:rFonts w:hint="eastAsia" w:ascii="宋体" w:hAnsi="宋体" w:eastAsia="宋体" w:cs="宋体"/>
                <w:b w:val="0"/>
                <w:bCs/>
                <w:kern w:val="0"/>
                <w:sz w:val="24"/>
                <w:szCs w:val="24"/>
                <w:lang w:val="en-US" w:eastAsia="zh-CN"/>
              </w:rPr>
            </w:pPr>
            <w:r>
              <w:rPr>
                <w:rFonts w:hint="eastAsia" w:ascii="宋体" w:hAnsi="宋体" w:eastAsia="宋体" w:cs="宋体"/>
                <w:color w:val="auto"/>
                <w:sz w:val="24"/>
                <w:szCs w:val="24"/>
              </w:rPr>
              <w:t>评分办法</w:t>
            </w:r>
          </w:p>
        </w:tc>
        <w:tc>
          <w:tcPr>
            <w:tcW w:w="6463" w:type="dxa"/>
            <w:vAlign w:val="top"/>
          </w:tcPr>
          <w:p w14:paraId="6727F226">
            <w:pPr>
              <w:spacing w:line="259" w:lineRule="auto"/>
              <w:rPr>
                <w:rFonts w:hint="eastAsia" w:ascii="宋体" w:hAnsi="宋体" w:eastAsia="宋体" w:cs="宋体"/>
                <w:b w:val="0"/>
                <w:bCs/>
                <w:kern w:val="0"/>
                <w:sz w:val="24"/>
                <w:szCs w:val="24"/>
              </w:rPr>
            </w:pPr>
            <w:r>
              <w:rPr>
                <w:rFonts w:hint="eastAsia" w:ascii="宋体" w:hAnsi="宋体" w:eastAsia="宋体" w:cs="宋体"/>
                <w:color w:val="auto"/>
                <w:sz w:val="24"/>
                <w:szCs w:val="24"/>
              </w:rPr>
              <w:t xml:space="preserve">综合评分法 </w:t>
            </w:r>
          </w:p>
        </w:tc>
      </w:tr>
      <w:tr w14:paraId="7408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572E89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19</w:t>
            </w:r>
          </w:p>
        </w:tc>
        <w:tc>
          <w:tcPr>
            <w:tcW w:w="2169" w:type="dxa"/>
            <w:vAlign w:val="center"/>
          </w:tcPr>
          <w:p w14:paraId="388E96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磋商小组构成</w:t>
            </w:r>
          </w:p>
        </w:tc>
        <w:tc>
          <w:tcPr>
            <w:tcW w:w="6463" w:type="dxa"/>
            <w:vAlign w:val="center"/>
          </w:tcPr>
          <w:p w14:paraId="68EB7B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根据《中华人民共和国政府采购法》、《中华人民共和国政府采购法实施条例》</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《政府采购竞争性磋商采购方式管理暂行办法》等有关法律规定组建磋商小组。</w:t>
            </w:r>
          </w:p>
        </w:tc>
      </w:tr>
      <w:tr w14:paraId="12B4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14F23E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20</w:t>
            </w:r>
          </w:p>
        </w:tc>
        <w:tc>
          <w:tcPr>
            <w:tcW w:w="2169" w:type="dxa"/>
            <w:vAlign w:val="center"/>
          </w:tcPr>
          <w:p w14:paraId="0D88FB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承包方式</w:t>
            </w:r>
          </w:p>
        </w:tc>
        <w:tc>
          <w:tcPr>
            <w:tcW w:w="6463" w:type="dxa"/>
            <w:vAlign w:val="center"/>
          </w:tcPr>
          <w:p w14:paraId="6EDE4C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固定综合单价、总价可调。</w:t>
            </w:r>
          </w:p>
        </w:tc>
      </w:tr>
      <w:tr w14:paraId="6C9D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118" w:type="dxa"/>
            <w:vAlign w:val="center"/>
          </w:tcPr>
          <w:p w14:paraId="358825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21</w:t>
            </w:r>
          </w:p>
        </w:tc>
        <w:tc>
          <w:tcPr>
            <w:tcW w:w="2169" w:type="dxa"/>
            <w:vAlign w:val="center"/>
          </w:tcPr>
          <w:p w14:paraId="482A1F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答疑</w:t>
            </w:r>
          </w:p>
        </w:tc>
        <w:tc>
          <w:tcPr>
            <w:tcW w:w="6463" w:type="dxa"/>
            <w:vAlign w:val="center"/>
          </w:tcPr>
          <w:p w14:paraId="50C51E0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rPr>
              <w:t>如有疑问，投标人需书面提出，经采购人收集问题后，统一答疑。</w:t>
            </w:r>
          </w:p>
        </w:tc>
      </w:tr>
      <w:tr w14:paraId="7671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1118" w:type="dxa"/>
            <w:vAlign w:val="center"/>
          </w:tcPr>
          <w:p w14:paraId="3BBF76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22</w:t>
            </w:r>
          </w:p>
        </w:tc>
        <w:tc>
          <w:tcPr>
            <w:tcW w:w="2169" w:type="dxa"/>
            <w:vAlign w:val="center"/>
          </w:tcPr>
          <w:p w14:paraId="7B87D3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备注</w:t>
            </w:r>
          </w:p>
        </w:tc>
        <w:tc>
          <w:tcPr>
            <w:tcW w:w="6463" w:type="dxa"/>
            <w:vAlign w:val="center"/>
          </w:tcPr>
          <w:p w14:paraId="09D1F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在工程前期，由投标人自行负责协调施工现场周边社会关系，包括施工现场地理位置、环境情况、道路、存储空间、装卸限制以及任何其他足以影响施工进度的任何情况等，在协调过程中产生的一切费用由投标人自行承担。</w:t>
            </w:r>
          </w:p>
        </w:tc>
      </w:tr>
    </w:tbl>
    <w:p w14:paraId="10240D54">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6663DC25">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0F507D8D">
      <w:pPr>
        <w:keepNext w:val="0"/>
        <w:keepLines w:val="0"/>
        <w:pageBreakBefore w:val="0"/>
        <w:widowControl w:val="0"/>
        <w:kinsoku/>
        <w:wordWrap/>
        <w:overflowPunct/>
        <w:topLinePunct w:val="0"/>
        <w:autoSpaceDE/>
        <w:autoSpaceDN/>
        <w:bidi w:val="0"/>
        <w:adjustRightInd/>
        <w:snapToGrid w:val="0"/>
        <w:spacing w:before="0" w:beforeLines="0" w:after="0" w:afterLines="0" w:line="370" w:lineRule="auto"/>
        <w:ind w:left="0" w:leftChars="0" w:right="0" w:rightChars="0"/>
        <w:jc w:val="center"/>
        <w:textAlignment w:val="auto"/>
        <w:rPr>
          <w:rFonts w:hint="eastAsia" w:ascii="宋体" w:hAnsi="宋体" w:eastAsia="宋体" w:cs="宋体"/>
          <w:snapToGrid w:val="0"/>
          <w:color w:val="auto"/>
          <w:sz w:val="24"/>
          <w:highlight w:val="none"/>
          <w:shd w:val="clear" w:color="auto" w:fill="auto"/>
        </w:rPr>
      </w:pPr>
      <w:r>
        <w:rPr>
          <w:rFonts w:hint="eastAsia" w:ascii="宋体" w:hAnsi="宋体" w:eastAsia="宋体" w:cs="宋体"/>
          <w:b/>
          <w:bCs w:val="0"/>
          <w:color w:val="auto"/>
          <w:kern w:val="2"/>
          <w:sz w:val="36"/>
          <w:szCs w:val="36"/>
          <w:highlight w:val="none"/>
          <w:lang w:val="en-US" w:eastAsia="zh-CN" w:bidi="ar-SA"/>
        </w:rPr>
        <w:t>第三章  磋商须知</w:t>
      </w:r>
    </w:p>
    <w:p w14:paraId="134EF058">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480" w:firstLineChars="200"/>
        <w:jc w:val="both"/>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snapToGrid w:val="0"/>
          <w:color w:val="auto"/>
          <w:sz w:val="24"/>
          <w:highlight w:val="none"/>
          <w:shd w:val="clear" w:color="auto" w:fill="auto"/>
        </w:rPr>
        <w:t xml:space="preserve"> 本</w:t>
      </w:r>
      <w:r>
        <w:rPr>
          <w:rFonts w:hint="eastAsia" w:ascii="宋体" w:hAnsi="宋体" w:eastAsia="宋体" w:cs="宋体"/>
          <w:snapToGrid w:val="0"/>
          <w:color w:val="auto"/>
          <w:sz w:val="24"/>
          <w:szCs w:val="22"/>
          <w:highlight w:val="none"/>
          <w:shd w:val="clear" w:color="auto" w:fill="auto"/>
        </w:rPr>
        <w:t>次采购依据《中华人民共和国政府采购法》、《政府采购货物和服务招标投标管理办法》（财政部第18号令）、《中华人民共和国政府采购法实施条例》、《政府采购竞争性磋商采购方式管理暂行办法》（财库〔2014〕214号)及国家现行有关法律</w:t>
      </w:r>
      <w:r>
        <w:rPr>
          <w:rFonts w:hint="eastAsia" w:ascii="宋体" w:hAnsi="宋体" w:eastAsia="宋体" w:cs="宋体"/>
          <w:snapToGrid w:val="0"/>
          <w:color w:val="auto"/>
          <w:sz w:val="24"/>
          <w:highlight w:val="none"/>
          <w:shd w:val="clear" w:color="auto" w:fill="auto"/>
        </w:rPr>
        <w:t>法规执行。</w:t>
      </w:r>
    </w:p>
    <w:p w14:paraId="324B635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bookmarkStart w:id="0" w:name="_Toc339007316"/>
      <w:r>
        <w:rPr>
          <w:rFonts w:hint="eastAsia" w:ascii="宋体" w:hAnsi="宋体" w:eastAsia="宋体" w:cs="宋体"/>
          <w:b/>
          <w:bCs/>
          <w:color w:val="auto"/>
          <w:sz w:val="24"/>
          <w:szCs w:val="22"/>
          <w:highlight w:val="none"/>
          <w:lang w:val="en-US" w:eastAsia="zh-CN"/>
        </w:rPr>
        <w:t>1．采购人、采购代理机构、监督管理机构</w:t>
      </w:r>
    </w:p>
    <w:p w14:paraId="5DB705C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1.1 采   购   人：</w:t>
      </w:r>
      <w:r>
        <w:rPr>
          <w:rFonts w:hint="eastAsia" w:ascii="宋体" w:hAnsi="宋体" w:cs="宋体"/>
          <w:b w:val="0"/>
          <w:bCs/>
          <w:kern w:val="0"/>
          <w:sz w:val="24"/>
          <w:szCs w:val="24"/>
          <w:lang w:eastAsia="zh-CN"/>
        </w:rPr>
        <w:t>旬阳市神河镇人民政府</w:t>
      </w:r>
    </w:p>
    <w:p w14:paraId="51444A7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1.2 采购代理机构：陕西方得项目咨询有限公司</w:t>
      </w:r>
    </w:p>
    <w:bookmarkEnd w:id="0"/>
    <w:p w14:paraId="242826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2．合格的供应商、合格的服务</w:t>
      </w:r>
    </w:p>
    <w:p w14:paraId="17819A8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 合格的投标人</w:t>
      </w:r>
    </w:p>
    <w:p w14:paraId="4C9EA24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2.1.1 依照《中华人民共和国公司法》注册、符合《中华人民共和国政府采购法》第二十二条要求具备的条件、并具备国家规定的相关该行业必备资质，有能力提供本次磋商采购技术及服务的投标人。</w:t>
      </w:r>
    </w:p>
    <w:p w14:paraId="276866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b w:val="0"/>
          <w:color w:val="auto"/>
          <w:spacing w:val="0"/>
          <w:kern w:val="2"/>
          <w:sz w:val="24"/>
          <w:szCs w:val="22"/>
          <w:highlight w:val="none"/>
          <w:lang w:val="en-US" w:eastAsia="zh-CN" w:bidi="ar-SA"/>
        </w:rPr>
        <w:t>2.1.2 资质要求</w:t>
      </w:r>
    </w:p>
    <w:p w14:paraId="36F7F4B8">
      <w:pPr>
        <w:pageBreakBefore w:val="0"/>
        <w:kinsoku/>
        <w:overflowPunct/>
        <w:topLinePunct w:val="0"/>
        <w:autoSpaceDE/>
        <w:autoSpaceDN/>
        <w:bidi w:val="0"/>
        <w:adjustRightInd w:val="0"/>
        <w:snapToGrid w:val="0"/>
        <w:spacing w:line="360" w:lineRule="auto"/>
        <w:ind w:left="0" w:leftChars="0" w:right="0" w:rightChars="0" w:firstLine="480" w:firstLineChars="200"/>
        <w:jc w:val="left"/>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409B9064">
      <w:pPr>
        <w:pageBreakBefore w:val="0"/>
        <w:kinsoku/>
        <w:overflowPunct/>
        <w:topLinePunct w:val="0"/>
        <w:autoSpaceDE/>
        <w:autoSpaceDN/>
        <w:bidi w:val="0"/>
        <w:adjustRightInd w:val="0"/>
        <w:snapToGrid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3</w:t>
      </w:r>
      <w:r>
        <w:rPr>
          <w:rFonts w:hint="eastAsia" w:ascii="宋体" w:hAnsi="宋体" w:eastAsia="宋体" w:cs="宋体"/>
          <w:b/>
          <w:kern w:val="0"/>
          <w:sz w:val="24"/>
          <w:szCs w:val="24"/>
        </w:rPr>
        <w:t xml:space="preserve">.报价费用  </w:t>
      </w:r>
      <w:r>
        <w:rPr>
          <w:rFonts w:hint="eastAsia" w:ascii="宋体" w:hAnsi="宋体" w:eastAsia="宋体" w:cs="宋体"/>
          <w:kern w:val="0"/>
          <w:sz w:val="24"/>
          <w:szCs w:val="24"/>
        </w:rPr>
        <w:t>投标人应当承担参与本次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活动发生的相关费用，代理机构和采购人在任何情况下均无义务和责任承担这些费用。</w:t>
      </w:r>
    </w:p>
    <w:p w14:paraId="3033293E">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bookmarkStart w:id="1" w:name="_Toc453917616"/>
      <w:bookmarkStart w:id="2" w:name="_Toc453917523"/>
      <w:bookmarkStart w:id="3" w:name="_Toc453858060"/>
      <w:bookmarkStart w:id="4" w:name="_Toc385234431"/>
      <w:bookmarkStart w:id="5" w:name="_Toc326251051"/>
      <w:r>
        <w:rPr>
          <w:rFonts w:hint="eastAsia" w:ascii="宋体" w:hAnsi="宋体" w:eastAsia="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费用承担</w:t>
      </w:r>
    </w:p>
    <w:p w14:paraId="2BB573A9">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供应商准备和参加磋商活动发生的费用自理。</w:t>
      </w:r>
    </w:p>
    <w:p w14:paraId="2083F43A">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5</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保密</w:t>
      </w:r>
    </w:p>
    <w:p w14:paraId="5F6B15FA">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参与磋商活动的各方应对磋商文件和响应文件的商业和技术等秘密保密，违者应对由此造成的后果承担法律责任。</w:t>
      </w:r>
    </w:p>
    <w:p w14:paraId="55812C1C">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6</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语言文字</w:t>
      </w:r>
    </w:p>
    <w:p w14:paraId="57E7A39D">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除专用术语外，与磋商文件有关的语言均使用中文；必要时专用术语应附有中文注释。</w:t>
      </w:r>
    </w:p>
    <w:p w14:paraId="5C639779">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计量单位</w:t>
      </w:r>
    </w:p>
    <w:p w14:paraId="7A0EBB00">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所有计量均采用中华人民共和国法定计量单位。</w:t>
      </w:r>
    </w:p>
    <w:p w14:paraId="1E6D1D6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8</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踏勘现场</w:t>
      </w:r>
    </w:p>
    <w:p w14:paraId="7CC99DF8">
      <w:pPr>
        <w:pStyle w:val="7"/>
        <w:pageBreakBefore w:val="0"/>
        <w:kinsoku/>
        <w:wordWrap/>
        <w:topLinePunct w:val="0"/>
        <w:autoSpaceDE/>
        <w:autoSpaceDN/>
        <w:bidi w:val="0"/>
        <w:spacing w:line="360" w:lineRule="auto"/>
        <w:ind w:left="0" w:leftChars="0" w:right="0" w:rightChars="0" w:firstLine="498"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自行勘察，未勘察现场造成的一切后果由投标人自行承担（一切费用自理）。</w:t>
      </w:r>
    </w:p>
    <w:p w14:paraId="021CE516">
      <w:pPr>
        <w:pageBreakBefore w:val="0"/>
        <w:widowControl/>
        <w:kinsoku/>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9</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14:textFill>
            <w14:solidFill>
              <w14:schemeClr w14:val="tx1"/>
            </w14:solidFill>
          </w14:textFill>
        </w:rPr>
        <w:t>偏离</w:t>
      </w:r>
    </w:p>
    <w:p w14:paraId="4202C95C">
      <w:pPr>
        <w:pageBreakBefore w:val="0"/>
        <w:widowControl/>
        <w:kinsoku/>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
          <w:bCs/>
          <w:kern w:val="44"/>
          <w:sz w:val="24"/>
          <w:szCs w:val="24"/>
        </w:rPr>
      </w:pPr>
      <w:r>
        <w:rPr>
          <w:rFonts w:hint="eastAsia" w:ascii="宋体" w:hAnsi="宋体" w:eastAsia="宋体" w:cs="宋体"/>
          <w:bCs/>
          <w:color w:val="000000" w:themeColor="text1"/>
          <w:sz w:val="24"/>
          <w:szCs w:val="24"/>
          <w14:textFill>
            <w14:solidFill>
              <w14:schemeClr w14:val="tx1"/>
            </w14:solidFill>
          </w14:textFill>
        </w:rPr>
        <w:t>除供应商须知前附表另有规定外，供应商递交的响应文件不允许严重负偏离。</w:t>
      </w:r>
    </w:p>
    <w:bookmarkEnd w:id="1"/>
    <w:bookmarkEnd w:id="2"/>
    <w:bookmarkEnd w:id="3"/>
    <w:bookmarkEnd w:id="4"/>
    <w:bookmarkEnd w:id="5"/>
    <w:p w14:paraId="1BC358FB">
      <w:pPr>
        <w:pageBreakBefore w:val="0"/>
        <w:kinsoku/>
        <w:overflowPunct/>
        <w:topLinePunct w:val="0"/>
        <w:autoSpaceDE/>
        <w:autoSpaceDN/>
        <w:bidi w:val="0"/>
        <w:spacing w:before="0" w:beforeLines="100" w:beforeAutospacing="0" w:line="360" w:lineRule="auto"/>
        <w:ind w:left="0" w:leftChars="0" w:right="0" w:rightChars="0" w:firstLine="482" w:firstLineChars="200"/>
        <w:jc w:val="center"/>
        <w:rPr>
          <w:rFonts w:hint="eastAsia" w:ascii="宋体" w:hAnsi="宋体" w:eastAsia="宋体" w:cs="宋体"/>
          <w:kern w:val="0"/>
          <w:sz w:val="24"/>
          <w:szCs w:val="24"/>
        </w:rPr>
      </w:pPr>
      <w:r>
        <w:rPr>
          <w:rFonts w:hint="eastAsia" w:ascii="宋体" w:hAnsi="宋体" w:eastAsia="宋体" w:cs="宋体"/>
          <w:b/>
          <w:bCs/>
          <w:kern w:val="44"/>
          <w:sz w:val="24"/>
          <w:szCs w:val="24"/>
        </w:rPr>
        <w:t>二、磋商文件</w:t>
      </w:r>
    </w:p>
    <w:p w14:paraId="168AD8F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outlineLvl w:val="2"/>
        <w:rPr>
          <w:rFonts w:hint="eastAsia" w:ascii="宋体" w:hAnsi="宋体" w:eastAsia="宋体" w:cs="宋体"/>
          <w:b/>
          <w:bCs/>
          <w:color w:val="auto"/>
          <w:sz w:val="24"/>
          <w:highlight w:val="none"/>
        </w:rPr>
      </w:pPr>
      <w:bookmarkStart w:id="6" w:name="_Toc339007321"/>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文件的组成</w:t>
      </w:r>
      <w:bookmarkEnd w:id="6"/>
    </w:p>
    <w:p w14:paraId="6D0413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文件包括下列</w:t>
      </w:r>
      <w:r>
        <w:rPr>
          <w:rFonts w:hint="eastAsia" w:ascii="宋体" w:hAnsi="宋体" w:eastAsia="宋体" w:cs="宋体"/>
          <w:color w:val="auto"/>
          <w:sz w:val="24"/>
          <w:highlight w:val="none"/>
          <w:lang w:eastAsia="zh-CN"/>
        </w:rPr>
        <w:t>内容</w:t>
      </w:r>
      <w:r>
        <w:rPr>
          <w:rFonts w:hint="eastAsia" w:ascii="宋体" w:hAnsi="宋体" w:eastAsia="宋体" w:cs="宋体"/>
          <w:color w:val="auto"/>
          <w:sz w:val="24"/>
          <w:highlight w:val="none"/>
        </w:rPr>
        <w:t>：</w:t>
      </w:r>
    </w:p>
    <w:p w14:paraId="3DE287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第一章  磋商公告</w:t>
      </w:r>
    </w:p>
    <w:p w14:paraId="2314DE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第二章  竞争性磋商须知前附表</w:t>
      </w:r>
    </w:p>
    <w:p w14:paraId="3CE5837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第三章  磋商须知</w:t>
      </w:r>
    </w:p>
    <w:p w14:paraId="43DF2D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第四章  施工内容及要求</w:t>
      </w:r>
    </w:p>
    <w:p w14:paraId="7B5DA6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第五章  商务条款</w:t>
      </w:r>
    </w:p>
    <w:p w14:paraId="1BF2C7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第六章  合同条款及格式</w:t>
      </w:r>
    </w:p>
    <w:p w14:paraId="67439F6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第七章  磋商响应文件格式</w:t>
      </w:r>
    </w:p>
    <w:p w14:paraId="410A9B5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1.2投标人应详细阅读磋商文件的全部内容。如果不能按照磋商文件要求提交全部资料或者不能对磋商文件在各方面的要求都做出实质性响应，可能导致报价被拒绝或无效报价处理。</w:t>
      </w:r>
    </w:p>
    <w:p w14:paraId="3A74432E">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7" w:name="_Toc536202290"/>
      <w:bookmarkStart w:id="8" w:name="_Toc453917524"/>
      <w:bookmarkStart w:id="9" w:name="_Toc453858061"/>
      <w:bookmarkStart w:id="10" w:name="_Toc385234432"/>
      <w:bookmarkStart w:id="11" w:name="_Toc453917617"/>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磋商文件的检查及阅读</w:t>
      </w:r>
      <w:bookmarkEnd w:id="7"/>
    </w:p>
    <w:p w14:paraId="53428C8C">
      <w:pPr>
        <w:pageBreakBefore w:val="0"/>
        <w:tabs>
          <w:tab w:val="left" w:pos="0"/>
        </w:tabs>
        <w:kinsoku/>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供应商应认真阅读和充分理解竞争性磋商文件中所有的事项、格式条款和规范要求。供应商没有对竞争性磋商文件全面</w:t>
      </w:r>
      <w:r>
        <w:rPr>
          <w:rFonts w:hint="eastAsia" w:ascii="宋体" w:hAnsi="宋体" w:eastAsia="宋体" w:cs="宋体"/>
          <w:color w:val="000000" w:themeColor="text1"/>
          <w:sz w:val="24"/>
          <w:szCs w:val="28"/>
          <w:lang w:eastAsia="zh-CN"/>
          <w14:textFill>
            <w14:solidFill>
              <w14:schemeClr w14:val="tx1"/>
            </w14:solidFill>
          </w14:textFill>
        </w:rPr>
        <w:t>作出</w:t>
      </w:r>
      <w:r>
        <w:rPr>
          <w:rFonts w:hint="eastAsia" w:ascii="宋体" w:hAnsi="宋体" w:eastAsia="宋体" w:cs="宋体"/>
          <w:color w:val="000000" w:themeColor="text1"/>
          <w:sz w:val="24"/>
          <w:szCs w:val="28"/>
          <w14:textFill>
            <w14:solidFill>
              <w14:schemeClr w14:val="tx1"/>
            </w14:solidFill>
          </w14:textFill>
        </w:rPr>
        <w:t>实质性响应是供应商的风险。没有按照竞争性磋商文件要求作出实质性响应的响应文件应作</w:t>
      </w:r>
      <w:r>
        <w:rPr>
          <w:rFonts w:hint="eastAsia" w:ascii="宋体" w:hAnsi="宋体" w:eastAsia="宋体" w:cs="宋体"/>
          <w:color w:val="000000" w:themeColor="text1"/>
          <w:sz w:val="24"/>
          <w:szCs w:val="28"/>
          <w:lang w:val="en-US" w:eastAsia="zh-CN"/>
          <w14:textFill>
            <w14:solidFill>
              <w14:schemeClr w14:val="tx1"/>
            </w14:solidFill>
          </w14:textFill>
        </w:rPr>
        <w:t>无效文件</w:t>
      </w:r>
      <w:r>
        <w:rPr>
          <w:rFonts w:hint="eastAsia" w:ascii="宋体" w:hAnsi="宋体" w:eastAsia="宋体" w:cs="宋体"/>
          <w:color w:val="000000" w:themeColor="text1"/>
          <w:sz w:val="24"/>
          <w:szCs w:val="28"/>
          <w14:textFill>
            <w14:solidFill>
              <w14:schemeClr w14:val="tx1"/>
            </w14:solidFill>
          </w14:textFill>
        </w:rPr>
        <w:t>处理。</w:t>
      </w:r>
    </w:p>
    <w:p w14:paraId="29AE7D5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2" w:name="_Toc536202292"/>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现场踏勘及磋商文件答疑</w:t>
      </w:r>
      <w:bookmarkEnd w:id="12"/>
    </w:p>
    <w:p w14:paraId="383897CC">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招标代理机构将视情况确定是否有必要召开标前答疑会。如果召开标前答疑会，招标代理机构将通知所有已登记备案并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3" w:name="_Toc19797"/>
      <w:bookmarkStart w:id="14" w:name="_Toc536202293"/>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竞争性磋商文件的澄清</w:t>
      </w:r>
      <w:bookmarkEnd w:id="13"/>
      <w:bookmarkEnd w:id="14"/>
    </w:p>
    <w:p w14:paraId="5AD088ED">
      <w:pPr>
        <w:pageBreakBefore w:val="0"/>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4.1供应商应认真阅读和充分理解竞争性磋商文件中所有的事项，如有问题或</w:t>
      </w:r>
      <w:r>
        <w:rPr>
          <w:rFonts w:hint="eastAsia" w:ascii="宋体" w:hAnsi="宋体" w:eastAsia="宋体" w:cs="宋体"/>
          <w:color w:val="000000" w:themeColor="text1"/>
          <w:sz w:val="24"/>
          <w:szCs w:val="28"/>
          <w:lang w:eastAsia="zh-CN"/>
          <w14:textFill>
            <w14:solidFill>
              <w14:schemeClr w14:val="tx1"/>
            </w14:solidFill>
          </w14:textFill>
        </w:rPr>
        <w:t>异议</w:t>
      </w:r>
      <w:r>
        <w:rPr>
          <w:rFonts w:hint="eastAsia" w:ascii="宋体" w:hAnsi="宋体" w:eastAsia="宋体" w:cs="宋体"/>
          <w:color w:val="000000" w:themeColor="text1"/>
          <w:sz w:val="24"/>
          <w:szCs w:val="28"/>
          <w14:textFill>
            <w14:solidFill>
              <w14:schemeClr w14:val="tx1"/>
            </w14:solidFill>
          </w14:textFill>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000000" w:themeColor="text1"/>
          <w:sz w:val="24"/>
          <w:szCs w:val="28"/>
          <w:lang w:eastAsia="zh-CN"/>
          <w14:textFill>
            <w14:solidFill>
              <w14:schemeClr w14:val="tx1"/>
            </w14:solidFill>
          </w14:textFill>
        </w:rPr>
        <w:t>或</w:t>
      </w:r>
      <w:r>
        <w:rPr>
          <w:rFonts w:hint="eastAsia" w:ascii="宋体" w:hAnsi="宋体" w:eastAsia="宋体" w:cs="宋体"/>
          <w:color w:val="000000" w:themeColor="text1"/>
          <w:sz w:val="24"/>
          <w:szCs w:val="28"/>
          <w14:textFill>
            <w14:solidFill>
              <w14:schemeClr w14:val="tx1"/>
            </w14:solidFill>
          </w14:textFill>
        </w:rPr>
        <w:t>因市场行情了解不清造成的后果和风险均由供应商自负。</w:t>
      </w:r>
    </w:p>
    <w:p w14:paraId="4046C612">
      <w:pPr>
        <w:pageBreakBefore w:val="0"/>
        <w:tabs>
          <w:tab w:val="left" w:pos="0"/>
        </w:tabs>
        <w:kinsoku/>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000000" w:themeColor="text1"/>
          <w:sz w:val="24"/>
          <w:szCs w:val="24"/>
          <w14:textFill>
            <w14:solidFill>
              <w14:schemeClr w14:val="tx1"/>
            </w14:solidFill>
          </w14:textFill>
        </w:rPr>
        <w:t>七个工作日内</w:t>
      </w:r>
      <w:r>
        <w:rPr>
          <w:rFonts w:hint="eastAsia" w:ascii="宋体" w:hAnsi="宋体" w:eastAsia="宋体" w:cs="宋体"/>
          <w:color w:val="000000" w:themeColor="text1"/>
          <w:sz w:val="24"/>
          <w:szCs w:val="28"/>
          <w14:textFill>
            <w14:solidFill>
              <w14:schemeClr w14:val="tx1"/>
            </w14:solidFill>
          </w14:textFill>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4.3对于在规定时间内收到的投标人依法提出的询问或者质疑，采购代理机构将按程序及时</w:t>
      </w:r>
      <w:r>
        <w:rPr>
          <w:rFonts w:hint="eastAsia" w:ascii="宋体" w:hAnsi="宋体" w:eastAsia="宋体" w:cs="宋体"/>
          <w:color w:val="000000" w:themeColor="text1"/>
          <w:sz w:val="24"/>
          <w:szCs w:val="24"/>
          <w:lang w:eastAsia="zh-CN"/>
          <w14:textFill>
            <w14:solidFill>
              <w14:schemeClr w14:val="tx1"/>
            </w14:solidFill>
          </w14:textFill>
        </w:rPr>
        <w:t>作出</w:t>
      </w:r>
      <w:r>
        <w:rPr>
          <w:rFonts w:hint="eastAsia" w:ascii="宋体" w:hAnsi="宋体" w:eastAsia="宋体" w:cs="宋体"/>
          <w:color w:val="000000" w:themeColor="text1"/>
          <w:sz w:val="24"/>
          <w:szCs w:val="24"/>
          <w14:textFill>
            <w14:solidFill>
              <w14:schemeClr w14:val="tx1"/>
            </w14:solidFill>
          </w14:textFill>
        </w:rPr>
        <w:t>答复，若对招标文件做出实质性变动，则按照相关规定延长投标截止时间。</w:t>
      </w:r>
    </w:p>
    <w:p w14:paraId="0CC6B133">
      <w:pPr>
        <w:pStyle w:val="6"/>
        <w:pageBreakBefore w:val="0"/>
        <w:kinsoku/>
        <w:wordWrap/>
        <w:topLinePunct w:val="0"/>
        <w:autoSpaceDE/>
        <w:autoSpaceDN/>
        <w:bidi w:val="0"/>
        <w:spacing w:line="360" w:lineRule="auto"/>
        <w:ind w:left="0" w:leftChars="0" w:right="0" w:right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4.4投标人提出质疑应当有明确的请求和必要的证明材料。</w:t>
      </w:r>
    </w:p>
    <w:p w14:paraId="42D9D888">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5" w:name="_Toc536202294"/>
      <w:bookmarkStart w:id="16" w:name="_Toc6390"/>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竞争性磋商文件的修改</w:t>
      </w:r>
      <w:bookmarkEnd w:id="15"/>
      <w:bookmarkEnd w:id="16"/>
    </w:p>
    <w:p w14:paraId="0564909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5.1 在磋商截止时间五日前，无论出于何种原因，代理机构可主动或在解答供应商提出的澄清问题时，对竞争性磋商文件进行修改，</w:t>
      </w:r>
      <w:r>
        <w:rPr>
          <w:rFonts w:hint="eastAsia" w:ascii="宋体" w:hAnsi="宋体" w:eastAsia="宋体" w:cs="宋体"/>
          <w:color w:val="000000" w:themeColor="text1"/>
          <w:sz w:val="24"/>
          <w:szCs w:val="24"/>
          <w14:textFill>
            <w14:solidFill>
              <w14:schemeClr w14:val="tx1"/>
            </w14:solidFill>
          </w14:textFill>
        </w:rPr>
        <w:t>不足5日的，顺延提交响应文件的截止时间</w:t>
      </w:r>
      <w:r>
        <w:rPr>
          <w:rFonts w:hint="eastAsia" w:ascii="宋体" w:hAnsi="宋体" w:eastAsia="宋体" w:cs="宋体"/>
          <w:color w:val="000000" w:themeColor="text1"/>
          <w:sz w:val="24"/>
          <w:szCs w:val="28"/>
          <w14:textFill>
            <w14:solidFill>
              <w14:schemeClr w14:val="tx1"/>
            </w14:solidFill>
          </w14:textFill>
        </w:rPr>
        <w:t>，并</w:t>
      </w:r>
      <w:r>
        <w:rPr>
          <w:rFonts w:hint="eastAsia" w:ascii="宋体" w:hAnsi="宋体" w:eastAsia="宋体" w:cs="宋体"/>
          <w:color w:val="000000" w:themeColor="text1"/>
          <w:sz w:val="24"/>
          <w:szCs w:val="24"/>
          <w14:textFill>
            <w14:solidFill>
              <w14:schemeClr w14:val="tx1"/>
            </w14:solidFill>
          </w14:textFill>
        </w:rPr>
        <w:t>在发布磋商公告的媒体上发布变更公告，并以书面形式通知所有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磋商文件的单位。该澄清或者修改的内容为招标文件的组成部分。</w:t>
      </w:r>
    </w:p>
    <w:p w14:paraId="53420E7D">
      <w:pPr>
        <w:pageBreakBefore w:val="0"/>
        <w:kinsoku/>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5.2招标文件的修改书将构成招标文件的一部分，对采购人和投标人都具有约束力。</w:t>
      </w:r>
    </w:p>
    <w:p w14:paraId="2F466682">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000000" w:themeColor="text1"/>
          <w:sz w:val="24"/>
          <w:szCs w:val="24"/>
          <w:lang w:val="en-US" w:eastAsia="zh-CN"/>
          <w14:textFill>
            <w14:solidFill>
              <w14:schemeClr w14:val="tx1"/>
            </w14:solidFill>
          </w14:textFill>
        </w:rPr>
        <w:t>获取</w:t>
      </w:r>
      <w:r>
        <w:rPr>
          <w:rFonts w:hint="eastAsia" w:ascii="宋体" w:hAnsi="宋体" w:eastAsia="宋体" w:cs="宋体"/>
          <w:color w:val="000000" w:themeColor="text1"/>
          <w:sz w:val="24"/>
          <w:szCs w:val="24"/>
          <w14:textFill>
            <w14:solidFill>
              <w14:schemeClr w14:val="tx1"/>
            </w14:solidFill>
          </w14:textFill>
        </w:rPr>
        <w:t>磋商文件的单位。</w:t>
      </w:r>
    </w:p>
    <w:p w14:paraId="0EBB0DD7">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17" w:name="_Toc536202295"/>
      <w:bookmarkStart w:id="18" w:name="_Toc31188"/>
      <w:r>
        <w:rPr>
          <w:rFonts w:hint="eastAsia" w:ascii="宋体" w:hAnsi="宋体" w:eastAsia="宋体" w:cs="宋体"/>
          <w:color w:val="000000" w:themeColor="text1"/>
          <w:sz w:val="24"/>
          <w:szCs w:val="28"/>
          <w:lang w:val="en-US" w:eastAsia="zh-CN"/>
          <w14:textFill>
            <w14:solidFill>
              <w14:schemeClr w14:val="tx1"/>
            </w14:solidFill>
          </w14:textFill>
        </w:rPr>
        <w:t>6.</w:t>
      </w:r>
      <w:r>
        <w:rPr>
          <w:rFonts w:hint="eastAsia" w:ascii="宋体" w:hAnsi="宋体" w:eastAsia="宋体" w:cs="宋体"/>
          <w:color w:val="000000" w:themeColor="text1"/>
          <w:sz w:val="24"/>
          <w:szCs w:val="28"/>
          <w14:textFill>
            <w14:solidFill>
              <w14:schemeClr w14:val="tx1"/>
            </w14:solidFill>
          </w14:textFill>
        </w:rPr>
        <w:t>质疑</w:t>
      </w:r>
    </w:p>
    <w:p w14:paraId="146EDD23">
      <w:pPr>
        <w:pStyle w:val="3"/>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供应商认为磋商文件、招标过程和中标结果使自己的权益受到损害的，可以按《政府采购法》第</w:t>
      </w:r>
      <w:r>
        <w:rPr>
          <w:rFonts w:hint="eastAsia" w:ascii="宋体" w:hAnsi="宋体" w:eastAsia="宋体" w:cs="宋体"/>
          <w:b w:val="0"/>
          <w:color w:val="000000" w:themeColor="text1"/>
          <w:sz w:val="24"/>
          <w:szCs w:val="28"/>
          <w:lang w:val="en-US" w:eastAsia="zh-CN"/>
          <w14:textFill>
            <w14:solidFill>
              <w14:schemeClr w14:val="tx1"/>
            </w14:solidFill>
          </w14:textFill>
        </w:rPr>
        <w:t>五十二</w:t>
      </w:r>
      <w:r>
        <w:rPr>
          <w:rFonts w:hint="eastAsia" w:ascii="宋体" w:hAnsi="宋体" w:eastAsia="宋体" w:cs="宋体"/>
          <w:b w:val="0"/>
          <w:color w:val="000000" w:themeColor="text1"/>
          <w:sz w:val="24"/>
          <w:szCs w:val="28"/>
          <w14:textFill>
            <w14:solidFill>
              <w14:schemeClr w14:val="tx1"/>
            </w14:solidFill>
          </w14:textFill>
        </w:rPr>
        <w:t>条执行。</w:t>
      </w:r>
    </w:p>
    <w:p w14:paraId="15F09EA7">
      <w:pPr>
        <w:pStyle w:val="3"/>
        <w:pageBreakBefore w:val="0"/>
        <w:numPr>
          <w:ilvl w:val="0"/>
          <w:numId w:val="0"/>
        </w:numPr>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7.</w:t>
      </w:r>
      <w:r>
        <w:rPr>
          <w:rFonts w:hint="eastAsia" w:ascii="宋体" w:hAnsi="宋体" w:eastAsia="宋体" w:cs="宋体"/>
          <w:color w:val="000000" w:themeColor="text1"/>
          <w:sz w:val="24"/>
          <w:szCs w:val="28"/>
          <w14:textFill>
            <w14:solidFill>
              <w14:schemeClr w14:val="tx1"/>
            </w14:solidFill>
          </w14:textFill>
        </w:rPr>
        <w:t>竞争性磋商文件的获取</w:t>
      </w:r>
      <w:bookmarkEnd w:id="17"/>
      <w:bookmarkEnd w:id="18"/>
    </w:p>
    <w:p w14:paraId="13FC0228">
      <w:pPr>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供应商必须从代理机构</w:t>
      </w:r>
      <w:r>
        <w:rPr>
          <w:rFonts w:hint="eastAsia" w:ascii="宋体" w:hAnsi="宋体" w:eastAsia="宋体" w:cs="宋体"/>
          <w:color w:val="000000" w:themeColor="text1"/>
          <w:sz w:val="24"/>
          <w:szCs w:val="28"/>
          <w:lang w:val="en-US" w:eastAsia="zh-CN"/>
          <w14:textFill>
            <w14:solidFill>
              <w14:schemeClr w14:val="tx1"/>
            </w14:solidFill>
          </w14:textFill>
        </w:rPr>
        <w:t>获取</w:t>
      </w:r>
      <w:r>
        <w:rPr>
          <w:rFonts w:hint="eastAsia" w:ascii="宋体" w:hAnsi="宋体" w:eastAsia="宋体" w:cs="宋体"/>
          <w:color w:val="000000" w:themeColor="text1"/>
          <w:sz w:val="24"/>
          <w:szCs w:val="28"/>
          <w14:textFill>
            <w14:solidFill>
              <w14:schemeClr w14:val="tx1"/>
            </w14:solidFill>
          </w14:textFill>
        </w:rPr>
        <w:t>竞争性磋商文件，供应商自行转让或复制竞争性磋商文件视为无效。竞争性磋商文件仅作为本次竞争性磋商使用。</w:t>
      </w:r>
    </w:p>
    <w:p w14:paraId="3CAB4320">
      <w:pPr>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rPr>
      </w:pPr>
      <w:bookmarkStart w:id="19" w:name="_Toc5095"/>
      <w:bookmarkStart w:id="20" w:name="_Toc536202296"/>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8.竞争性磋商文件的解释权归代理机构</w:t>
      </w:r>
      <w:bookmarkEnd w:id="19"/>
      <w:bookmarkEnd w:id="20"/>
      <w:r>
        <w:rPr>
          <w:rFonts w:hint="eastAsia" w:ascii="宋体" w:hAnsi="宋体" w:eastAsia="宋体" w:cs="宋体"/>
          <w:b/>
          <w:bCs/>
          <w:color w:val="000000" w:themeColor="text1"/>
          <w:kern w:val="2"/>
          <w:sz w:val="24"/>
          <w:szCs w:val="28"/>
          <w:lang w:val="en-US" w:eastAsia="zh-CN" w:bidi="ar-SA"/>
          <w14:textFill>
            <w14:solidFill>
              <w14:schemeClr w14:val="tx1"/>
            </w14:solidFill>
          </w14:textFill>
        </w:rPr>
        <w:t xml:space="preserve">（ </w:t>
      </w:r>
      <w:r>
        <w:rPr>
          <w:rFonts w:hint="eastAsia" w:ascii="宋体" w:hAnsi="宋体" w:eastAsia="宋体" w:cs="宋体"/>
          <w:b w:val="0"/>
          <w:bCs w:val="0"/>
          <w:color w:val="000000" w:themeColor="text1"/>
          <w:kern w:val="2"/>
          <w:sz w:val="24"/>
          <w:szCs w:val="28"/>
          <w:lang w:val="en-US" w:eastAsia="zh-CN" w:bidi="ar-SA"/>
          <w14:textFill>
            <w14:solidFill>
              <w14:schemeClr w14:val="tx1"/>
            </w14:solidFill>
          </w14:textFill>
        </w:rPr>
        <w:t>如发现磋商文件内容与现行法律法规不相符的情况，</w:t>
      </w:r>
      <w:r>
        <w:rPr>
          <w:rFonts w:hint="eastAsia" w:ascii="宋体" w:hAnsi="宋体" w:eastAsia="宋体" w:cs="宋体"/>
          <w:color w:val="000000" w:themeColor="text1"/>
          <w:sz w:val="24"/>
          <w:szCs w:val="28"/>
          <w14:textFill>
            <w14:solidFill>
              <w14:schemeClr w14:val="tx1"/>
            </w14:solidFill>
          </w14:textFill>
        </w:rPr>
        <w:t>以现行法律法规为准</w:t>
      </w:r>
      <w:r>
        <w:rPr>
          <w:rFonts w:hint="eastAsia" w:ascii="宋体" w:hAnsi="宋体" w:eastAsia="宋体" w:cs="宋体"/>
          <w:color w:val="000000" w:themeColor="text1"/>
          <w:sz w:val="24"/>
          <w:szCs w:val="28"/>
          <w:lang w:eastAsia="zh-CN"/>
          <w14:textFill>
            <w14:solidFill>
              <w14:schemeClr w14:val="tx1"/>
            </w14:solidFill>
          </w14:textFill>
        </w:rPr>
        <w:t>）。</w:t>
      </w:r>
    </w:p>
    <w:p w14:paraId="5DE740D3">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sz w:val="24"/>
          <w:szCs w:val="24"/>
        </w:rPr>
      </w:pPr>
      <w:r>
        <w:rPr>
          <w:rFonts w:hint="eastAsia" w:ascii="宋体" w:hAnsi="宋体" w:eastAsia="宋体" w:cs="宋体"/>
          <w:b/>
          <w:bCs/>
          <w:kern w:val="44"/>
          <w:sz w:val="24"/>
          <w:szCs w:val="24"/>
        </w:rPr>
        <w:t>三、</w:t>
      </w:r>
      <w:bookmarkEnd w:id="8"/>
      <w:bookmarkEnd w:id="9"/>
      <w:bookmarkEnd w:id="10"/>
      <w:bookmarkEnd w:id="11"/>
      <w:r>
        <w:rPr>
          <w:rFonts w:hint="eastAsia" w:ascii="宋体" w:hAnsi="宋体" w:eastAsia="宋体" w:cs="宋体"/>
          <w:b/>
          <w:bCs/>
          <w:kern w:val="44"/>
          <w:sz w:val="24"/>
          <w:szCs w:val="24"/>
        </w:rPr>
        <w:t>竞争性磋商响应文件及编制要求</w:t>
      </w:r>
    </w:p>
    <w:p w14:paraId="201D3C0C">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eastAsia="宋体" w:cs="宋体"/>
          <w:b w:val="0"/>
          <w:bCs w:val="0"/>
          <w:color w:val="000000" w:themeColor="text1"/>
          <w:sz w:val="24"/>
          <w:szCs w:val="21"/>
          <w:lang w:eastAsia="zh-CN"/>
          <w14:textFill>
            <w14:solidFill>
              <w14:schemeClr w14:val="tx1"/>
            </w14:solidFill>
          </w14:textFill>
        </w:rPr>
        <w:t>作出</w:t>
      </w:r>
      <w:r>
        <w:rPr>
          <w:rFonts w:hint="eastAsia" w:ascii="宋体" w:hAnsi="宋体" w:eastAsia="宋体" w:cs="宋体"/>
          <w:b w:val="0"/>
          <w:bCs w:val="0"/>
          <w:color w:val="000000" w:themeColor="text1"/>
          <w:sz w:val="24"/>
          <w:szCs w:val="21"/>
          <w14:textFill>
            <w14:solidFill>
              <w14:schemeClr w14:val="tx1"/>
            </w14:solidFill>
          </w14:textFill>
        </w:rPr>
        <w:t>实质性响应，其磋商将被拒绝。</w:t>
      </w:r>
    </w:p>
    <w:p w14:paraId="0A87C19F">
      <w:pPr>
        <w:pStyle w:val="3"/>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 w:val="0"/>
          <w:bCs w:val="0"/>
          <w:color w:val="000000" w:themeColor="text1"/>
          <w:sz w:val="24"/>
          <w:szCs w:val="21"/>
          <w14:textFill>
            <w14:solidFill>
              <w14:schemeClr w14:val="tx1"/>
            </w14:solidFill>
          </w14:textFill>
        </w:rPr>
      </w:pPr>
      <w:r>
        <w:rPr>
          <w:rFonts w:hint="eastAsia" w:ascii="宋体" w:hAnsi="宋体" w:eastAsia="宋体" w:cs="宋体"/>
          <w:b w:val="0"/>
          <w:bCs w:val="0"/>
          <w:color w:val="000000" w:themeColor="text1"/>
          <w:sz w:val="24"/>
          <w:szCs w:val="21"/>
          <w14:textFill>
            <w14:solidFill>
              <w14:schemeClr w14:val="tx1"/>
            </w14:solidFill>
          </w14:textFill>
        </w:rPr>
        <w:t>投标人提交的磋商响应文件（包括产品的技术资料）以及投标人与采购代理机构就有关磋商的所有来往函电均应以中文书写。</w:t>
      </w:r>
    </w:p>
    <w:p w14:paraId="31B0193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响应文件构成和格式</w:t>
      </w:r>
    </w:p>
    <w:p w14:paraId="5EE2CD74">
      <w:pPr>
        <w:pageBreakBefore w:val="0"/>
        <w:widowControl/>
        <w:kinsoku/>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投标人应按照本须知响应文件构成和格式及第七部分提供的格式编写投标文件，不得缺少招标文件要求填写的表格或提交的资料。</w:t>
      </w:r>
    </w:p>
    <w:p w14:paraId="01DD586C">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1" w:name="_Toc536202299"/>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磋商报价</w:t>
      </w:r>
      <w:bookmarkEnd w:id="21"/>
    </w:p>
    <w:p w14:paraId="6D72EA44">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8"/>
          <w:szCs w:val="22"/>
          <w14:textFill>
            <w14:solidFill>
              <w14:schemeClr w14:val="tx1"/>
            </w14:solidFill>
          </w14:textFill>
        </w:rPr>
      </w:pPr>
      <w:bookmarkStart w:id="22" w:name="_Toc536202300"/>
      <w:bookmarkStart w:id="23" w:name="_Toc29200"/>
      <w:r>
        <w:rPr>
          <w:rFonts w:hint="eastAsia" w:ascii="宋体" w:hAnsi="宋体" w:eastAsia="宋体" w:cs="宋体"/>
          <w:color w:val="000000" w:themeColor="text1"/>
          <w:sz w:val="24"/>
          <w14:textFill>
            <w14:solidFill>
              <w14:schemeClr w14:val="tx1"/>
            </w14:solidFill>
          </w14:textFill>
        </w:rPr>
        <w:t>（1）磋商报价为供应商充分考虑磋商文件的各项条款和所掌握的市场情况及本项目的实际情况，根据自身情况自主报价。</w:t>
      </w:r>
    </w:p>
    <w:p w14:paraId="72965CC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（2）供应商应在响应报价表中标明本次招标所要求的货物、服务且验收合格的所有费用。</w:t>
      </w:r>
    </w:p>
    <w:p w14:paraId="2E04AA37">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eastAsia="宋体" w:cs="宋体"/>
          <w:color w:val="000000" w:themeColor="text1"/>
          <w:spacing w:val="4"/>
          <w:sz w:val="24"/>
          <w14:textFill>
            <w14:solidFill>
              <w14:schemeClr w14:val="tx1"/>
            </w14:solidFill>
          </w14:textFill>
        </w:rPr>
        <w:t>供应商应考虑全部材料的风险，供应商一旦成交，采购人将不再对此部分进行调整；供应商的报价应将此差异考虑在综合单价内，</w:t>
      </w:r>
      <w:r>
        <w:rPr>
          <w:rFonts w:hint="eastAsia" w:ascii="宋体" w:hAnsi="宋体" w:eastAsia="宋体" w:cs="宋体"/>
          <w:color w:val="000000" w:themeColor="text1"/>
          <w:sz w:val="24"/>
          <w:szCs w:val="24"/>
          <w14:textFill>
            <w14:solidFill>
              <w14:schemeClr w14:val="tx1"/>
            </w14:solidFill>
          </w14:textFill>
        </w:rPr>
        <w:t>采购人及学院不再</w:t>
      </w:r>
      <w:r>
        <w:rPr>
          <w:rFonts w:hint="eastAsia" w:ascii="宋体" w:hAnsi="宋体" w:eastAsia="宋体" w:cs="宋体"/>
          <w:color w:val="000000" w:themeColor="text1"/>
          <w:sz w:val="24"/>
          <w:szCs w:val="24"/>
          <w:lang w:eastAsia="zh-CN"/>
          <w14:textFill>
            <w14:solidFill>
              <w14:schemeClr w14:val="tx1"/>
            </w14:solidFill>
          </w14:textFill>
        </w:rPr>
        <w:t>承担其他任何</w:t>
      </w:r>
      <w:r>
        <w:rPr>
          <w:rFonts w:hint="eastAsia" w:ascii="宋体" w:hAnsi="宋体" w:eastAsia="宋体" w:cs="宋体"/>
          <w:color w:val="000000" w:themeColor="text1"/>
          <w:sz w:val="24"/>
          <w:szCs w:val="24"/>
          <w14:textFill>
            <w14:solidFill>
              <w14:schemeClr w14:val="tx1"/>
            </w14:solidFill>
          </w14:textFill>
        </w:rPr>
        <w:t>费用</w:t>
      </w:r>
      <w:r>
        <w:rPr>
          <w:rFonts w:hint="eastAsia" w:ascii="宋体" w:hAnsi="宋体" w:eastAsia="宋体" w:cs="宋体"/>
          <w:color w:val="000000" w:themeColor="text1"/>
          <w:spacing w:val="4"/>
          <w:sz w:val="24"/>
          <w14:textFill>
            <w14:solidFill>
              <w14:schemeClr w14:val="tx1"/>
            </w14:solidFill>
          </w14:textFill>
        </w:rPr>
        <w:t>。</w:t>
      </w:r>
    </w:p>
    <w:p w14:paraId="7407AF31">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（4）响应报价表应有法定代表人或被授权人的签字。</w:t>
      </w:r>
    </w:p>
    <w:p w14:paraId="6BCE404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3.</w:t>
      </w:r>
      <w:r>
        <w:rPr>
          <w:rFonts w:hint="eastAsia" w:ascii="宋体" w:hAnsi="宋体" w:eastAsia="宋体" w:cs="宋体"/>
          <w:color w:val="000000" w:themeColor="text1"/>
          <w:sz w:val="24"/>
          <w:szCs w:val="28"/>
          <w14:textFill>
            <w14:solidFill>
              <w14:schemeClr w14:val="tx1"/>
            </w14:solidFill>
          </w14:textFill>
        </w:rPr>
        <w:t>磋商货币</w:t>
      </w:r>
      <w:bookmarkEnd w:id="22"/>
      <w:bookmarkEnd w:id="23"/>
    </w:p>
    <w:p w14:paraId="3CA0B5E1">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14:textFill>
            <w14:solidFill>
              <w14:schemeClr w14:val="tx1"/>
            </w14:solidFill>
          </w14:textFill>
        </w:rPr>
        <w:t>采购人只接受人民币作为唯一磋商货币。以人民币为投标货币。以元为报价单位，保留小数点后两位。</w:t>
      </w:r>
    </w:p>
    <w:p w14:paraId="01548AB3">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4" w:name="_Toc536202302"/>
      <w:r>
        <w:rPr>
          <w:rFonts w:hint="eastAsia" w:ascii="宋体" w:hAnsi="宋体" w:eastAsia="宋体" w:cs="宋体"/>
          <w:color w:val="000000" w:themeColor="text1"/>
          <w:sz w:val="24"/>
          <w:szCs w:val="28"/>
          <w:lang w:val="en-US" w:eastAsia="zh-CN"/>
          <w14:textFill>
            <w14:solidFill>
              <w14:schemeClr w14:val="tx1"/>
            </w14:solidFill>
          </w14:textFill>
        </w:rPr>
        <w:t>4.</w:t>
      </w:r>
      <w:r>
        <w:rPr>
          <w:rFonts w:hint="eastAsia" w:ascii="宋体" w:hAnsi="宋体" w:eastAsia="宋体" w:cs="宋体"/>
          <w:color w:val="000000" w:themeColor="text1"/>
          <w:sz w:val="24"/>
          <w:szCs w:val="28"/>
          <w14:textFill>
            <w14:solidFill>
              <w14:schemeClr w14:val="tx1"/>
            </w14:solidFill>
          </w14:textFill>
        </w:rPr>
        <w:t>响应有效期</w:t>
      </w:r>
      <w:bookmarkEnd w:id="24"/>
    </w:p>
    <w:p w14:paraId="13D34F8F">
      <w:pPr>
        <w:pageBreakBefore w:val="0"/>
        <w:kinsoku/>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5" w:name="_Toc536202303"/>
      <w:bookmarkStart w:id="26" w:name="_Toc24827"/>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响应文件的格式、装订、密封和签署</w:t>
      </w:r>
      <w:bookmarkEnd w:id="25"/>
      <w:bookmarkEnd w:id="26"/>
    </w:p>
    <w:p w14:paraId="0E78D8F1">
      <w:pPr>
        <w:pageBreakBefore w:val="0"/>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1供应商须依据竞争性磋商文件内容和响应文件格式的要求编制响应文件；响应文件的正本和副本须用A4纸打印，并编制目录和页码，确保纸质投标文件应与电子投标文件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62050336">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.2响应文件的装订</w:t>
      </w:r>
    </w:p>
    <w:p w14:paraId="4EFC52F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响应文件正本壹份、副本壹份，分别胶装装订成册，且封面须清楚地标明“正本”</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“副本”；若正本和副本不符，以正本为准；同时提供与正本内容一致的电子版</w:t>
      </w:r>
      <w:r>
        <w:rPr>
          <w:rFonts w:hint="eastAsia" w:ascii="宋体" w:hAnsi="宋体" w:eastAsia="宋体" w:cs="宋体"/>
          <w:color w:val="000000" w:themeColor="text1"/>
          <w:sz w:val="24"/>
          <w:szCs w:val="24"/>
          <w14:textFill>
            <w14:solidFill>
              <w14:schemeClr w14:val="tx1"/>
            </w14:solidFill>
          </w14:textFill>
        </w:rPr>
        <w:t>（电子文件格式为PDF</w:t>
      </w:r>
      <w:r>
        <w:rPr>
          <w:rFonts w:hint="eastAsia" w:ascii="宋体" w:hAnsi="宋体" w:eastAsia="宋体" w:cs="宋体"/>
          <w:color w:val="000000" w:themeColor="text1"/>
          <w:sz w:val="24"/>
          <w:szCs w:val="24"/>
          <w:lang w:val="en-US" w:eastAsia="zh-CN"/>
          <w14:textFill>
            <w14:solidFill>
              <w14:schemeClr w14:val="tx1"/>
            </w14:solidFill>
          </w14:textFill>
        </w:rPr>
        <w:t>版</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，电子版放置正本密封袋内</w:t>
      </w:r>
      <w:r>
        <w:rPr>
          <w:rFonts w:hint="eastAsia" w:ascii="宋体" w:hAnsi="宋体" w:eastAsia="宋体" w:cs="宋体"/>
          <w:color w:val="000000" w:themeColor="text1"/>
          <w:sz w:val="24"/>
          <w:szCs w:val="28"/>
          <w:lang w:eastAsia="zh-CN"/>
          <w14:textFill>
            <w14:solidFill>
              <w14:schemeClr w14:val="tx1"/>
            </w14:solidFill>
          </w14:textFill>
        </w:rPr>
        <w:t>。</w:t>
      </w:r>
    </w:p>
    <w:p w14:paraId="452E79DB">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.3响应文件的签署</w:t>
      </w:r>
    </w:p>
    <w:p w14:paraId="023E7E61">
      <w:pPr>
        <w:pageBreakBefore w:val="0"/>
        <w:numPr>
          <w:ilvl w:val="0"/>
          <w:numId w:val="2"/>
        </w:numPr>
        <w:kinsoku/>
        <w:wordWrap/>
        <w:topLinePunct w:val="0"/>
        <w:autoSpaceDE/>
        <w:autoSpaceDN/>
        <w:bidi w:val="0"/>
        <w:spacing w:line="360" w:lineRule="auto"/>
        <w:ind w:left="0" w:leftChars="0" w:right="0" w:rightChars="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供应商应在投标文件正副本中指定的页面落款处填写供应商全称，并按要求加盖公章及签字</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包括投标文件的封面）侧面还需加盖骑缝章。</w:t>
      </w:r>
    </w:p>
    <w:p w14:paraId="784B00C7">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响应文件应字迹清楚、内容齐全、不得涂改或增删。如有修改和增删，必须有供应商公章及法定代表人或其授权代表签字。</w:t>
      </w:r>
    </w:p>
    <w:p w14:paraId="2CDCB9C2">
      <w:pPr>
        <w:pageBreakBefore w:val="0"/>
        <w:numPr>
          <w:ilvl w:val="0"/>
          <w:numId w:val="2"/>
        </w:numPr>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因响应文件字迹潦草或表达不清所引起的不利后果由供应商承担。</w:t>
      </w:r>
    </w:p>
    <w:p w14:paraId="50ACAD6C">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.4响应文件的密封</w:t>
      </w:r>
    </w:p>
    <w:p w14:paraId="1469CDBD">
      <w:pPr>
        <w:pageBreakBefore w:val="0"/>
        <w:kinsoku/>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响应文件正本、副本应分开封装在单独的封袋中（封袋不得有破损），且在封袋正面标明“正本”“副本”，电子版放置“正本”密封袋内。封袋应加贴封条，并在封线处加盖供应商鲜章，封袋正面要粘贴供应商全称、项目名称、编号、标段等标识</w:t>
      </w:r>
      <w:r>
        <w:rPr>
          <w:rFonts w:hint="eastAsia" w:ascii="宋体" w:hAnsi="宋体" w:eastAsia="宋体" w:cs="宋体"/>
          <w:color w:val="000000" w:themeColor="text1"/>
          <w:sz w:val="24"/>
          <w:szCs w:val="28"/>
          <w:lang w:eastAsia="zh-CN"/>
          <w14:textFill>
            <w14:solidFill>
              <w14:schemeClr w14:val="tx1"/>
            </w14:solidFill>
          </w14:textFill>
        </w:rPr>
        <w:t>且</w:t>
      </w:r>
      <w:r>
        <w:rPr>
          <w:rFonts w:hint="eastAsia" w:ascii="宋体" w:hAnsi="宋体" w:eastAsia="宋体" w:cs="宋体"/>
          <w:color w:val="000000" w:themeColor="text1"/>
          <w:kern w:val="0"/>
          <w:sz w:val="24"/>
          <w:szCs w:val="28"/>
          <w14:textFill>
            <w14:solidFill>
              <w14:schemeClr w14:val="tx1"/>
            </w14:solidFill>
          </w14:textFill>
        </w:rPr>
        <w:t>响应文件袋上应加盖供应商公章，如果未按上述规定进行密封，供应商的响应文件有权被拒绝</w:t>
      </w:r>
      <w:r>
        <w:rPr>
          <w:rFonts w:hint="eastAsia" w:ascii="宋体" w:hAnsi="宋体" w:eastAsia="宋体" w:cs="宋体"/>
          <w:color w:val="000000" w:themeColor="text1"/>
          <w:sz w:val="24"/>
          <w:szCs w:val="28"/>
          <w14:textFill>
            <w14:solidFill>
              <w14:schemeClr w14:val="tx1"/>
            </w14:solidFill>
          </w14:textFill>
        </w:rPr>
        <w:t>。</w:t>
      </w:r>
    </w:p>
    <w:p w14:paraId="77C4B044">
      <w:pPr>
        <w:pageBreakBefore w:val="0"/>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如果供应商未按上述要求密封及加写标记，误投或过早启封的响应文件，将自行承担其响应文件被视为无效响应文件的风险。</w:t>
      </w:r>
    </w:p>
    <w:p w14:paraId="5DD50AC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lang w:val="en-US" w:eastAsia="zh-CN"/>
          <w14:textFill>
            <w14:solidFill>
              <w14:schemeClr w14:val="tx1"/>
            </w14:solidFill>
          </w14:textFill>
        </w:rPr>
        <w:t>5</w:t>
      </w:r>
      <w:r>
        <w:rPr>
          <w:rFonts w:hint="eastAsia" w:ascii="宋体" w:hAnsi="宋体" w:eastAsia="宋体" w:cs="宋体"/>
          <w:color w:val="000000" w:themeColor="text1"/>
          <w:sz w:val="24"/>
          <w:szCs w:val="28"/>
          <w14:textFill>
            <w14:solidFill>
              <w14:schemeClr w14:val="tx1"/>
            </w14:solidFill>
          </w14:textFill>
        </w:rPr>
        <w:t>.5本次磋商只接受简体中文文字的响应文件；如响应文件中出现外文资料，必须配以中文译文。否则，由此引发的一切责任由供应商自负。</w:t>
      </w:r>
    </w:p>
    <w:p w14:paraId="7600413E">
      <w:pPr>
        <w:pageBreakBefore w:val="0"/>
        <w:widowControl/>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kern w:val="0"/>
          <w:sz w:val="24"/>
          <w:szCs w:val="28"/>
          <w14:textFill>
            <w14:solidFill>
              <w14:schemeClr w14:val="tx1"/>
            </w14:solidFill>
          </w14:textFill>
        </w:rPr>
      </w:pPr>
      <w:r>
        <w:rPr>
          <w:rFonts w:hint="eastAsia" w:ascii="宋体" w:hAnsi="宋体" w:eastAsia="宋体" w:cs="宋体"/>
          <w:color w:val="000000" w:themeColor="text1"/>
          <w:kern w:val="0"/>
          <w:sz w:val="24"/>
          <w:szCs w:val="28"/>
          <w:lang w:val="en-US" w:eastAsia="zh-CN"/>
          <w14:textFill>
            <w14:solidFill>
              <w14:schemeClr w14:val="tx1"/>
            </w14:solidFill>
          </w14:textFill>
        </w:rPr>
        <w:t>5</w:t>
      </w:r>
      <w:r>
        <w:rPr>
          <w:rFonts w:hint="eastAsia" w:ascii="宋体" w:hAnsi="宋体" w:eastAsia="宋体" w:cs="宋体"/>
          <w:color w:val="000000" w:themeColor="text1"/>
          <w:kern w:val="0"/>
          <w:sz w:val="24"/>
          <w:szCs w:val="28"/>
          <w14:textFill>
            <w14:solidFill>
              <w14:schemeClr w14:val="tx1"/>
            </w14:solidFill>
          </w14:textFill>
        </w:rPr>
        <w:t>.6拒绝接受以电话、传真、电子邮件形式的磋商。</w:t>
      </w:r>
    </w:p>
    <w:p w14:paraId="650AD0C1">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bCs/>
          <w:kern w:val="44"/>
          <w:sz w:val="24"/>
          <w:szCs w:val="24"/>
        </w:rPr>
        <w:t>四、响应文件的提交</w:t>
      </w:r>
    </w:p>
    <w:p w14:paraId="57536D52">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7" w:name="_Toc536202306"/>
      <w:bookmarkStart w:id="28" w:name="_Toc3685"/>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响应文件递交</w:t>
      </w:r>
      <w:bookmarkEnd w:id="27"/>
      <w:bookmarkEnd w:id="28"/>
    </w:p>
    <w:p w14:paraId="4E5F6DD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1.2代理机构在宣布递交响应文件时间截止之后，拒绝接收任何人送达、递交的响应文件及其他资料；</w:t>
      </w:r>
    </w:p>
    <w:p w14:paraId="0E993133">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1.3代理机构不接受邮寄的响应文件；</w:t>
      </w:r>
    </w:p>
    <w:p w14:paraId="5D6F751B">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1.4无论供应商成交与否，其响应文件恕不退还。</w:t>
      </w:r>
    </w:p>
    <w:p w14:paraId="0733FB3F">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29" w:name="_Toc536202307"/>
      <w:bookmarkStart w:id="30" w:name="_Toc12741"/>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响应文件的修改和撤回</w:t>
      </w:r>
      <w:bookmarkEnd w:id="29"/>
      <w:bookmarkEnd w:id="30"/>
    </w:p>
    <w:p w14:paraId="410C689E">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2.1供应商在递交响应文件以后，在规定的投标截止时间之前</w:t>
      </w:r>
      <w:r>
        <w:rPr>
          <w:rFonts w:hint="eastAsia" w:ascii="宋体" w:hAnsi="宋体" w:eastAsia="宋体" w:cs="宋体"/>
          <w:color w:val="000000" w:themeColor="text1"/>
          <w:sz w:val="24"/>
          <w:szCs w:val="28"/>
          <w:lang w:eastAsia="zh-CN"/>
          <w14:textFill>
            <w14:solidFill>
              <w14:schemeClr w14:val="tx1"/>
            </w14:solidFill>
          </w14:textFill>
        </w:rPr>
        <w:t>，</w:t>
      </w:r>
      <w:r>
        <w:rPr>
          <w:rFonts w:hint="eastAsia" w:ascii="宋体" w:hAnsi="宋体" w:eastAsia="宋体" w:cs="宋体"/>
          <w:color w:val="000000" w:themeColor="text1"/>
          <w:sz w:val="24"/>
          <w:szCs w:val="28"/>
          <w14:textFill>
            <w14:solidFill>
              <w14:schemeClr w14:val="tx1"/>
            </w14:solidFill>
          </w14:textFill>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2.3撤回响应文件应以书面形式由有权人（法人代表或授权代表）通知招标代理机构。如采取传真形式撤回投标，随后必须补充有法人代表或授权代表签署的要求撤回投标的正式文件。以在招标开始前送达</w:t>
      </w:r>
      <w:r>
        <w:rPr>
          <w:rFonts w:hint="eastAsia" w:ascii="宋体" w:hAnsi="宋体" w:eastAsia="宋体" w:cs="宋体"/>
          <w:color w:val="000000" w:themeColor="text1"/>
          <w:sz w:val="24"/>
          <w:szCs w:val="28"/>
          <w:lang w:val="en-US" w:eastAsia="zh-CN"/>
          <w14:textFill>
            <w14:solidFill>
              <w14:schemeClr w14:val="tx1"/>
            </w14:solidFill>
          </w14:textFill>
        </w:rPr>
        <w:t>代理机构的文件</w:t>
      </w:r>
      <w:r>
        <w:rPr>
          <w:rFonts w:hint="eastAsia" w:ascii="宋体" w:hAnsi="宋体" w:eastAsia="宋体" w:cs="宋体"/>
          <w:color w:val="000000" w:themeColor="text1"/>
          <w:sz w:val="24"/>
          <w:szCs w:val="28"/>
          <w14:textFill>
            <w14:solidFill>
              <w14:schemeClr w14:val="tx1"/>
            </w14:solidFill>
          </w14:textFill>
        </w:rPr>
        <w:t>为准。</w:t>
      </w:r>
    </w:p>
    <w:p w14:paraId="1D18159B">
      <w:pPr>
        <w:pageBreakBefore w:val="0"/>
        <w:kinsoku/>
        <w:topLinePunct w:val="0"/>
        <w:autoSpaceDE/>
        <w:autoSpaceDN/>
        <w:bidi w:val="0"/>
        <w:spacing w:line="360" w:lineRule="auto"/>
        <w:rPr>
          <w:rFonts w:hint="eastAsia" w:ascii="宋体" w:hAnsi="宋体" w:eastAsia="宋体" w:cs="宋体"/>
          <w:b/>
          <w:kern w:val="0"/>
          <w:sz w:val="24"/>
          <w:szCs w:val="24"/>
        </w:rPr>
      </w:pPr>
      <w:r>
        <w:rPr>
          <w:rFonts w:hint="eastAsia" w:ascii="宋体" w:hAnsi="宋体" w:eastAsia="宋体" w:cs="宋体"/>
          <w:color w:val="000000" w:themeColor="text1"/>
          <w:sz w:val="24"/>
          <w:szCs w:val="28"/>
          <w14:textFill>
            <w14:solidFill>
              <w14:schemeClr w14:val="tx1"/>
            </w14:solidFill>
          </w14:textFill>
        </w:rPr>
        <w:t>2.4投标截止时间之后，供应商不得补充、修改响应文件。</w:t>
      </w:r>
    </w:p>
    <w:p w14:paraId="466E76EF">
      <w:pPr>
        <w:pageBreakBefore w:val="0"/>
        <w:kinsoku/>
        <w:overflowPunct/>
        <w:topLinePunct w:val="0"/>
        <w:autoSpaceDE/>
        <w:autoSpaceDN/>
        <w:bidi w:val="0"/>
        <w:spacing w:line="360" w:lineRule="auto"/>
        <w:ind w:left="0" w:leftChars="0" w:right="0" w:rightChars="0" w:firstLine="482" w:firstLineChars="200"/>
        <w:jc w:val="center"/>
        <w:rPr>
          <w:rFonts w:hint="eastAsia" w:ascii="宋体" w:hAnsi="宋体" w:eastAsia="宋体" w:cs="宋体"/>
          <w:b/>
          <w:kern w:val="0"/>
          <w:sz w:val="24"/>
          <w:szCs w:val="24"/>
        </w:rPr>
      </w:pPr>
      <w:r>
        <w:rPr>
          <w:rFonts w:hint="eastAsia" w:ascii="宋体" w:hAnsi="宋体" w:eastAsia="宋体" w:cs="宋体"/>
          <w:b/>
          <w:kern w:val="0"/>
          <w:sz w:val="24"/>
          <w:szCs w:val="24"/>
        </w:rPr>
        <w:t>五、磋商与评审</w:t>
      </w:r>
    </w:p>
    <w:p w14:paraId="6B088C2D">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1" w:name="_Toc536202309"/>
      <w:r>
        <w:rPr>
          <w:rFonts w:hint="eastAsia" w:ascii="宋体" w:hAnsi="宋体" w:eastAsia="宋体" w:cs="宋体"/>
          <w:color w:val="000000" w:themeColor="text1"/>
          <w:sz w:val="24"/>
          <w:szCs w:val="28"/>
          <w:lang w:val="en-US" w:eastAsia="zh-CN"/>
          <w14:textFill>
            <w14:solidFill>
              <w14:schemeClr w14:val="tx1"/>
            </w14:solidFill>
          </w14:textFill>
        </w:rPr>
        <w:t>1.</w:t>
      </w:r>
      <w:r>
        <w:rPr>
          <w:rFonts w:hint="eastAsia" w:ascii="宋体" w:hAnsi="宋体" w:eastAsia="宋体" w:cs="宋体"/>
          <w:color w:val="000000" w:themeColor="text1"/>
          <w:sz w:val="24"/>
          <w:szCs w:val="28"/>
          <w14:textFill>
            <w14:solidFill>
              <w14:schemeClr w14:val="tx1"/>
            </w14:solidFill>
          </w14:textFill>
        </w:rPr>
        <w:t>磋商</w:t>
      </w:r>
      <w:bookmarkEnd w:id="31"/>
    </w:p>
    <w:p w14:paraId="39B45FB8">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1.1采购代理机构按磋商公告中规定的时间和地点接收供应商递交的响应文件，主持磋商会议，邀请供应商代表及采购人代表参加。</w:t>
      </w:r>
      <w:r>
        <w:rPr>
          <w:rFonts w:hint="eastAsia" w:ascii="宋体" w:hAnsi="宋体" w:eastAsia="宋体" w:cs="宋体"/>
          <w:color w:val="000000" w:themeColor="text1"/>
          <w:sz w:val="24"/>
          <w:szCs w:val="24"/>
          <w14:textFill>
            <w14:solidFill>
              <w14:schemeClr w14:val="tx1"/>
            </w14:solidFill>
          </w14:textFill>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kinsoku/>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1.2磋商时，当众查验投标文件密封情况，由投标人或者其推选的代表检查投标文件的密封情况，以确认各投标人的投标文件密封情况是否与递交时一致，没有被提前启封等异常情况。</w:t>
      </w:r>
    </w:p>
    <w:p w14:paraId="025BCC27">
      <w:pPr>
        <w:pageBreakBefore w:val="0"/>
        <w:kinsoku/>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8"/>
          <w14:textFill>
            <w14:solidFill>
              <w14:schemeClr w14:val="tx1"/>
            </w14:solidFill>
          </w14:textFill>
        </w:rPr>
        <w:t>1.3经确认无误后，</w:t>
      </w:r>
      <w:r>
        <w:rPr>
          <w:rFonts w:hint="eastAsia" w:ascii="宋体" w:hAnsi="宋体" w:eastAsia="宋体" w:cs="宋体"/>
          <w:color w:val="000000" w:themeColor="text1"/>
          <w:sz w:val="24"/>
          <w:szCs w:val="24"/>
          <w14:textFill>
            <w14:solidFill>
              <w14:schemeClr w14:val="tx1"/>
            </w14:solidFill>
          </w14:textFill>
        </w:rPr>
        <w:t>对密封合格的投标文件由代理机构工作人员现场拆封开启，密封不合格的投标文件以及按照“响应文件的修改和撤回”规定，提交了可接受的“撤回”通知书的投标文件将不予拆封。</w:t>
      </w:r>
    </w:p>
    <w:p w14:paraId="4029184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1.4投标文件拆封后，宣读投标人名称</w:t>
      </w:r>
      <w:r>
        <w:rPr>
          <w:rFonts w:hint="eastAsia" w:ascii="宋体" w:hAnsi="宋体" w:eastAsia="宋体" w:cs="宋体"/>
          <w:bCs/>
          <w:color w:val="000000" w:themeColor="text1"/>
          <w:sz w:val="24"/>
          <w:szCs w:val="24"/>
          <w14:textFill>
            <w14:solidFill>
              <w14:schemeClr w14:val="tx1"/>
            </w14:solidFill>
          </w14:textFill>
        </w:rPr>
        <w:t>。</w:t>
      </w:r>
    </w:p>
    <w:p w14:paraId="2AAE68CA">
      <w:pPr>
        <w:pStyle w:val="3"/>
        <w:pageBreakBefore w:val="0"/>
        <w:numPr>
          <w:ilvl w:val="0"/>
          <w:numId w:val="0"/>
        </w:numPr>
        <w:kinsoku/>
        <w:wordWrap/>
        <w:topLinePunct w:val="0"/>
        <w:autoSpaceDE/>
        <w:autoSpaceDN/>
        <w:bidi w:val="0"/>
        <w:spacing w:line="360" w:lineRule="auto"/>
        <w:ind w:right="0" w:rightChars="0" w:firstLine="482" w:firstLineChars="200"/>
        <w:textAlignment w:val="auto"/>
        <w:rPr>
          <w:rFonts w:hint="eastAsia" w:ascii="宋体" w:hAnsi="宋体" w:eastAsia="宋体" w:cs="宋体"/>
          <w:color w:val="000000" w:themeColor="text1"/>
          <w:sz w:val="24"/>
          <w:szCs w:val="28"/>
          <w14:textFill>
            <w14:solidFill>
              <w14:schemeClr w14:val="tx1"/>
            </w14:solidFill>
          </w14:textFill>
        </w:rPr>
      </w:pPr>
      <w:bookmarkStart w:id="32" w:name="_Toc536202310"/>
      <w:r>
        <w:rPr>
          <w:rFonts w:hint="eastAsia" w:ascii="宋体" w:hAnsi="宋体" w:eastAsia="宋体" w:cs="宋体"/>
          <w:color w:val="000000" w:themeColor="text1"/>
          <w:sz w:val="24"/>
          <w:szCs w:val="28"/>
          <w:lang w:val="en-US" w:eastAsia="zh-CN"/>
          <w14:textFill>
            <w14:solidFill>
              <w14:schemeClr w14:val="tx1"/>
            </w14:solidFill>
          </w14:textFill>
        </w:rPr>
        <w:t>2.</w:t>
      </w:r>
      <w:r>
        <w:rPr>
          <w:rFonts w:hint="eastAsia" w:ascii="宋体" w:hAnsi="宋体" w:eastAsia="宋体" w:cs="宋体"/>
          <w:color w:val="000000" w:themeColor="text1"/>
          <w:sz w:val="24"/>
          <w:szCs w:val="28"/>
          <w14:textFill>
            <w14:solidFill>
              <w14:schemeClr w14:val="tx1"/>
            </w14:solidFill>
          </w14:textFill>
        </w:rPr>
        <w:t>磋商小组</w:t>
      </w:r>
      <w:bookmarkEnd w:id="32"/>
    </w:p>
    <w:p w14:paraId="7ED537FD">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bookmarkStart w:id="33" w:name="_Toc27940"/>
      <w:bookmarkStart w:id="34" w:name="_Toc28085"/>
      <w:bookmarkStart w:id="35" w:name="_Toc386129876"/>
      <w:bookmarkStart w:id="36" w:name="_Toc536202311"/>
      <w:bookmarkStart w:id="37" w:name="_Toc385958808"/>
      <w:r>
        <w:rPr>
          <w:rFonts w:hint="eastAsia" w:ascii="宋体" w:hAnsi="宋体" w:eastAsia="宋体" w:cs="宋体"/>
          <w:color w:val="000000" w:themeColor="text1"/>
          <w:sz w:val="24"/>
          <w14:textFill>
            <w14:solidFill>
              <w14:schemeClr w14:val="tx1"/>
            </w14:solidFill>
          </w14:textFill>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（1）要严格遵守政府采购相关法律制度，依法履行各自职责，公正、客观、审慎地组织和参与评审工作；</w:t>
      </w:r>
    </w:p>
    <w:p w14:paraId="696E30BD">
      <w:pPr>
        <w:pageBreakBefore w:val="0"/>
        <w:tabs>
          <w:tab w:val="left" w:pos="1200"/>
        </w:tabs>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（2）对所有响应文件逐一进行资格性、符合性审查，并</w:t>
      </w:r>
      <w:r>
        <w:rPr>
          <w:rFonts w:hint="eastAsia" w:ascii="宋体" w:hAnsi="宋体" w:eastAsia="宋体" w:cs="宋体"/>
          <w:color w:val="000000" w:themeColor="text1"/>
          <w:sz w:val="24"/>
          <w:lang w:eastAsia="zh-CN"/>
          <w14:textFill>
            <w14:solidFill>
              <w14:schemeClr w14:val="tx1"/>
            </w14:solidFill>
          </w14:textFill>
        </w:rPr>
        <w:t>作出评价</w:t>
      </w:r>
      <w:r>
        <w:rPr>
          <w:rFonts w:hint="eastAsia" w:ascii="宋体" w:hAnsi="宋体" w:eastAsia="宋体" w:cs="宋体"/>
          <w:color w:val="000000" w:themeColor="text1"/>
          <w:sz w:val="24"/>
          <w14:textFill>
            <w14:solidFill>
              <w14:schemeClr w14:val="tx1"/>
            </w14:solidFill>
          </w14:textFill>
        </w:rPr>
        <w:t>；</w:t>
      </w:r>
    </w:p>
    <w:p w14:paraId="5F65456C">
      <w:pPr>
        <w:pageBreakBefore w:val="0"/>
        <w:tabs>
          <w:tab w:val="left" w:pos="1200"/>
        </w:tabs>
        <w:kinsoku/>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（3）按磋商文件规定的评审方法和标准，进行比较和评价；对供应商的价格分等客观评分项的评分应当一致；</w:t>
      </w:r>
    </w:p>
    <w:p w14:paraId="6956CD98">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（4）要求供应商对响应文件有关事项作出解释或澄清；</w:t>
      </w:r>
    </w:p>
    <w:p w14:paraId="6349F60E">
      <w:pPr>
        <w:pageBreakBefore w:val="0"/>
        <w:kinsoku/>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（5）要依法独立评审，按照磋商文件的要求和评标标准进行评标，推荐成交候选供应商名单，对评审意见承担个人责任；</w:t>
      </w:r>
    </w:p>
    <w:p w14:paraId="2E3A91A4">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（6）对需要共同认定的事项存在争议的，按照少数服从多数的原则</w:t>
      </w:r>
      <w:r>
        <w:rPr>
          <w:rFonts w:hint="eastAsia" w:ascii="宋体" w:hAnsi="宋体" w:eastAsia="宋体" w:cs="宋体"/>
          <w:color w:val="000000" w:themeColor="text1"/>
          <w:sz w:val="24"/>
          <w:lang w:eastAsia="zh-CN"/>
          <w14:textFill>
            <w14:solidFill>
              <w14:schemeClr w14:val="tx1"/>
            </w14:solidFill>
          </w14:textFill>
        </w:rPr>
        <w:t>作出</w:t>
      </w:r>
      <w:r>
        <w:rPr>
          <w:rFonts w:hint="eastAsia" w:ascii="宋体" w:hAnsi="宋体" w:eastAsia="宋体" w:cs="宋体"/>
          <w:color w:val="000000" w:themeColor="text1"/>
          <w:sz w:val="24"/>
          <w14:textFill>
            <w14:solidFill>
              <w14:schemeClr w14:val="tx1"/>
            </w14:solidFill>
          </w14:textFill>
        </w:rPr>
        <w:t xml:space="preserve">结论。持不同意见的磋商小组成员应当在评审报告上签署不同意见并说明理由，否则视为同意； </w:t>
      </w:r>
    </w:p>
    <w:p w14:paraId="2EC7B1D6">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（7）对评审情况以及在评审过程中获悉的国家秘密、商业秘密负有保密责任；</w:t>
      </w:r>
    </w:p>
    <w:p w14:paraId="5928C6B1">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配合财政部门的投诉处理工作；</w:t>
      </w:r>
    </w:p>
    <w:p w14:paraId="5469B415">
      <w:pPr>
        <w:pageBreakBefore w:val="0"/>
        <w:kinsoku/>
        <w:wordWrap/>
        <w:topLinePunct w:val="0"/>
        <w:autoSpaceDE/>
        <w:autoSpaceDN/>
        <w:bidi w:val="0"/>
        <w:spacing w:line="360" w:lineRule="auto"/>
        <w:ind w:right="0" w:rightChars="0" w:firstLine="480" w:firstLineChars="200"/>
        <w:textAlignment w:val="auto"/>
        <w:rPr>
          <w:rFonts w:hint="eastAsia" w:ascii="宋体" w:hAnsi="宋体" w:eastAsia="宋体" w:cs="宋体"/>
          <w:kern w:val="0"/>
          <w:sz w:val="24"/>
          <w:szCs w:val="24"/>
        </w:rPr>
      </w:pP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配合采购人、采购代理机构答复供应商提出的质疑。</w:t>
      </w:r>
      <w:bookmarkEnd w:id="33"/>
      <w:bookmarkEnd w:id="34"/>
      <w:bookmarkEnd w:id="35"/>
      <w:bookmarkEnd w:id="36"/>
      <w:bookmarkEnd w:id="37"/>
    </w:p>
    <w:p w14:paraId="728D79C7">
      <w:pPr>
        <w:pageBreakBefore w:val="0"/>
        <w:kinsoku/>
        <w:overflowPunct/>
        <w:topLinePunct w:val="0"/>
        <w:autoSpaceDE/>
        <w:autoSpaceDN/>
        <w:bidi w:val="0"/>
        <w:spacing w:line="360" w:lineRule="auto"/>
        <w:ind w:left="0" w:leftChars="0" w:right="0" w:rightChars="0"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3.磋商办法及内容</w:t>
      </w:r>
    </w:p>
    <w:p w14:paraId="3C738B3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3.1磋商原则：</w:t>
      </w:r>
    </w:p>
    <w:p w14:paraId="5FF6252C">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（1）坚持磋商机会均等，信息公开，公平竞争的原则。</w:t>
      </w:r>
    </w:p>
    <w:p w14:paraId="57766AAD">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（2）坚持竞争性、经济实效性和公平性原则。</w:t>
      </w:r>
    </w:p>
    <w:p w14:paraId="11D1BB46">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（3）综合评估，择优选择技术方案优、业绩好、服务有保证的成交单位。</w:t>
      </w:r>
    </w:p>
    <w:p w14:paraId="4722087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3.2磋商程序：</w:t>
      </w:r>
    </w:p>
    <w:p w14:paraId="5CA25DE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磋商的全过程分为第一次报价、符合性审查、磋商过程、最后报价、最终评审五个阶段。第一次报价与最后报价均采取集中报价形式。</w:t>
      </w:r>
    </w:p>
    <w:p w14:paraId="775C6E6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3.2.1磋商报价依据规定均不予以公布。</w:t>
      </w:r>
    </w:p>
    <w:p w14:paraId="63632024">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3.2.2符合性评审：磋商小组对磋商响应文件的有效性、完整性和响应程度进行审查，出现下列情况的按无效文件处理。</w:t>
      </w:r>
    </w:p>
    <w:p w14:paraId="05E8F6F2">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（1）资质有效性评审：本次磋商所要求的必备资质证明文件，缺其中一项或某项达不到磋商要求，均按无效文件处理。</w:t>
      </w:r>
    </w:p>
    <w:p w14:paraId="02BAF5F9">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（2）各投标人未经过正常渠道</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竞争性磋商文件，或参加磋商的各投标人名称与</w:t>
      </w:r>
      <w:r>
        <w:rPr>
          <w:rFonts w:hint="eastAsia" w:ascii="宋体" w:hAnsi="宋体" w:eastAsia="宋体" w:cs="宋体"/>
          <w:kern w:val="0"/>
          <w:sz w:val="24"/>
          <w:szCs w:val="24"/>
          <w:lang w:val="en-US" w:eastAsia="zh-CN"/>
        </w:rPr>
        <w:t>获取</w:t>
      </w:r>
      <w:r>
        <w:rPr>
          <w:rFonts w:hint="eastAsia" w:ascii="宋体" w:hAnsi="宋体" w:eastAsia="宋体" w:cs="宋体"/>
          <w:kern w:val="0"/>
          <w:sz w:val="24"/>
          <w:szCs w:val="24"/>
        </w:rPr>
        <w:t>磋商文件时登记的单位名称不符。</w:t>
      </w:r>
    </w:p>
    <w:p w14:paraId="2F901D2F">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（3）投标人未提供法定代表人授权书（法定代表人直接参加磋商的除外）或授权书不符合竞争性磋商文件要求的。</w:t>
      </w:r>
    </w:p>
    <w:p w14:paraId="577B5A7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（4）磋商响应文件要求加盖投标人公章或签字处未执行文件规定、磋商响应文件有效期或有效期未能达到竞争性磋商文件的要求的。</w:t>
      </w:r>
    </w:p>
    <w:p w14:paraId="019FC948">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（5）提供虚假证明（包括第三方提供的虚假证明、证件），开具虚假业绩，除按无效文件处理外，按有关规定进行相应的处罚。</w:t>
      </w:r>
    </w:p>
    <w:p w14:paraId="2A96EA87">
      <w:pPr>
        <w:pageBreakBefore w:val="0"/>
        <w:kinsoku/>
        <w:overflowPunct/>
        <w:topLinePunct w:val="0"/>
        <w:autoSpaceDE/>
        <w:autoSpaceDN/>
        <w:bidi w:val="0"/>
        <w:spacing w:line="360" w:lineRule="auto"/>
        <w:ind w:left="0" w:leftChars="0" w:right="0" w:rightChars="0"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（6）磋商方案出现严重漏项，造成系统缺陷，已影响到该项目的实施。</w:t>
      </w:r>
    </w:p>
    <w:p w14:paraId="6E17E3B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kern w:val="0"/>
          <w:sz w:val="24"/>
          <w:szCs w:val="24"/>
        </w:rPr>
      </w:pPr>
      <w:r>
        <w:rPr>
          <w:rFonts w:hint="eastAsia" w:ascii="宋体" w:hAnsi="宋体" w:eastAsia="宋体" w:cs="宋体"/>
          <w:kern w:val="0"/>
          <w:sz w:val="24"/>
          <w:szCs w:val="24"/>
        </w:rPr>
        <w:t>（7）在重大项目履约过程中有不良记录，不能按期履约的。</w:t>
      </w:r>
    </w:p>
    <w:p w14:paraId="0049C7A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3.3 磋</w:t>
      </w:r>
      <w:r>
        <w:rPr>
          <w:rFonts w:hint="eastAsia" w:ascii="宋体" w:hAnsi="宋体" w:eastAsia="宋体" w:cs="宋体"/>
          <w:b/>
          <w:bCs/>
          <w:color w:val="auto"/>
          <w:sz w:val="24"/>
          <w:szCs w:val="22"/>
          <w:highlight w:val="none"/>
        </w:rPr>
        <w:t>商过程</w:t>
      </w:r>
    </w:p>
    <w:p w14:paraId="583380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磋商小组所有成员应当集中与单一投标人分别进行磋商，并给予所有参加磋商的投标人平等的磋商机会。</w:t>
      </w:r>
    </w:p>
    <w:p w14:paraId="609F8F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14:paraId="67E19A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（3）对磋商文件作出的实质性变动是磋商文件的有效组成部分，磋商小组应当及时以书面形式同时通知所有参加磋商的投标人。</w:t>
      </w:r>
    </w:p>
    <w:p w14:paraId="0C97FEE7">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投标人应当按照磋商文件的变动情况和磋商小组的要求重新提交响应文件，并由其法定代表人或授权代表签字或者加盖公章。由授权代表签字的，应当附法定代表人授权书。投标人为自然人的，应当由本人签字并附身份证明。</w:t>
      </w:r>
    </w:p>
    <w:p w14:paraId="09DD3D65">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3.4 最终报价</w:t>
      </w:r>
    </w:p>
    <w:p w14:paraId="0D22CBC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磋商文件能够详细列明采购标的的技术、服务要求的，磋商结束后，所有实质性响应的投标人应在规定时间内提交最终报价。</w:t>
      </w:r>
    </w:p>
    <w:p w14:paraId="440C5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磋商文件不能详细列明采购标的的技术、服务要求，需经磋商由投标人提供最终解决方案的，磋商结束后，磋商小组应当按照少数服从多数的原则投票推荐3家以上投标人解决方案，并要求其在规定时间内提交最终报价。 </w:t>
      </w:r>
    </w:p>
    <w:p w14:paraId="1E23193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最终报价是投标人响应文件的有效组成部分。</w:t>
      </w:r>
    </w:p>
    <w:p w14:paraId="5037E0E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b/>
          <w:bCs/>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4．响应文件的详细评审</w:t>
      </w:r>
    </w:p>
    <w:p w14:paraId="6C2DBB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w:t>
      </w:r>
      <w:r>
        <w:rPr>
          <w:rFonts w:hint="eastAsia" w:ascii="宋体" w:hAnsi="宋体" w:eastAsia="宋体" w:cs="宋体"/>
          <w:color w:val="000000" w:themeColor="text1"/>
          <w:sz w:val="24"/>
          <w:szCs w:val="22"/>
          <w:highlight w:val="none"/>
          <w14:textFill>
            <w14:solidFill>
              <w14:schemeClr w14:val="tx1"/>
            </w14:solidFill>
          </w14:textFill>
        </w:rPr>
        <w:t>.1 经磋商确定最终采购需求和提交最后报价的供应商后，由磋商小组采用综合评分法对提交最后报价的供应商的响应文件和最后报价进行综合评分。</w:t>
      </w:r>
    </w:p>
    <w:p w14:paraId="4FE339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.2 评标方法：综合评分法。</w:t>
      </w:r>
    </w:p>
    <w:p w14:paraId="3B240CC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.3 评分标准</w:t>
      </w:r>
    </w:p>
    <w:p w14:paraId="4AA132B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2" w:firstLineChars="200"/>
        <w:textAlignment w:val="top"/>
        <w:rPr>
          <w:rFonts w:hint="eastAsia" w:ascii="宋体" w:hAnsi="宋体" w:eastAsia="宋体" w:cs="宋体"/>
          <w:color w:val="auto"/>
          <w:sz w:val="24"/>
          <w:szCs w:val="22"/>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2"/>
          <w:highlight w:val="none"/>
          <w:lang w:eastAsia="zh-CN"/>
        </w:rPr>
        <w:t>资质</w:t>
      </w:r>
      <w:r>
        <w:rPr>
          <w:rFonts w:hint="eastAsia" w:ascii="宋体" w:hAnsi="宋体" w:eastAsia="宋体" w:cs="宋体"/>
          <w:b/>
          <w:bCs/>
          <w:color w:val="auto"/>
          <w:sz w:val="24"/>
          <w:szCs w:val="22"/>
          <w:highlight w:val="none"/>
        </w:rPr>
        <w:t>审查标准</w:t>
      </w:r>
    </w:p>
    <w:tbl>
      <w:tblPr>
        <w:tblStyle w:val="16"/>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999"/>
        <w:gridCol w:w="6843"/>
      </w:tblGrid>
      <w:tr w14:paraId="7CDA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jc w:val="center"/>
        </w:trPr>
        <w:tc>
          <w:tcPr>
            <w:tcW w:w="736" w:type="dxa"/>
            <w:noWrap w:val="0"/>
            <w:vAlign w:val="center"/>
          </w:tcPr>
          <w:p w14:paraId="062E4397">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1999" w:type="dxa"/>
            <w:noWrap w:val="0"/>
            <w:vAlign w:val="center"/>
          </w:tcPr>
          <w:p w14:paraId="73F3ECA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843" w:type="dxa"/>
            <w:noWrap w:val="0"/>
            <w:vAlign w:val="center"/>
          </w:tcPr>
          <w:p w14:paraId="41864A2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77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4DE40A62">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1999" w:type="dxa"/>
            <w:noWrap w:val="0"/>
            <w:vAlign w:val="center"/>
          </w:tcPr>
          <w:p w14:paraId="180C45FD">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有效的主体</w:t>
            </w:r>
          </w:p>
          <w:p w14:paraId="74A0C48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资格证明</w:t>
            </w:r>
          </w:p>
        </w:tc>
        <w:tc>
          <w:tcPr>
            <w:tcW w:w="6843" w:type="dxa"/>
            <w:noWrap w:val="0"/>
            <w:vAlign w:val="center"/>
          </w:tcPr>
          <w:p w14:paraId="0A7E3D93">
            <w:pPr>
              <w:keepNext w:val="0"/>
              <w:keepLines w:val="0"/>
              <w:pageBreakBefore w:val="0"/>
              <w:widowControl w:val="0"/>
              <w:kinsoku/>
              <w:wordWrap/>
              <w:overflowPunct/>
              <w:topLinePunct w:val="0"/>
              <w:autoSpaceDE/>
              <w:autoSpaceDN/>
              <w:bidi w:val="0"/>
              <w:adjustRightInd/>
              <w:snapToGrid w:val="0"/>
              <w:spacing w:line="348"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具有独立承担民事责任的能力，提供营业执照、税务登记证、组织机构代码证或登载有统一社会信用代码的营业执照（或《事业单位法人证书》或其他合法组织登记证书、自然人只须提交身份证）；</w:t>
            </w:r>
          </w:p>
        </w:tc>
      </w:tr>
      <w:tr w14:paraId="7094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6" w:type="dxa"/>
            <w:noWrap w:val="0"/>
            <w:vAlign w:val="center"/>
          </w:tcPr>
          <w:p w14:paraId="6851BE1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1999" w:type="dxa"/>
            <w:noWrap w:val="0"/>
            <w:vAlign w:val="center"/>
          </w:tcPr>
          <w:p w14:paraId="4870A6C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法定代表人</w:t>
            </w:r>
            <w:r>
              <w:rPr>
                <w:rFonts w:hint="eastAsia" w:ascii="宋体" w:hAnsi="宋体" w:eastAsia="宋体" w:cs="宋体"/>
                <w:color w:val="auto"/>
                <w:kern w:val="0"/>
                <w:sz w:val="24"/>
                <w:highlight w:val="none"/>
              </w:rPr>
              <w:t>授权委托书</w:t>
            </w:r>
          </w:p>
        </w:tc>
        <w:tc>
          <w:tcPr>
            <w:tcW w:w="6843" w:type="dxa"/>
            <w:noWrap w:val="0"/>
            <w:vAlign w:val="center"/>
          </w:tcPr>
          <w:p w14:paraId="4F446AFB">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提供法定代表人授权书（附法定代表人身份证复印件）及被授权代理人身份证复印件（法定代表人直接参加只须提供法定代表人身份证复印件）；</w:t>
            </w:r>
          </w:p>
        </w:tc>
      </w:tr>
      <w:tr w14:paraId="54D5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736" w:type="dxa"/>
            <w:noWrap w:val="0"/>
            <w:vAlign w:val="center"/>
          </w:tcPr>
          <w:p w14:paraId="39C62254">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3</w:t>
            </w:r>
          </w:p>
        </w:tc>
        <w:tc>
          <w:tcPr>
            <w:tcW w:w="1999" w:type="dxa"/>
            <w:noWrap w:val="0"/>
            <w:vAlign w:val="center"/>
          </w:tcPr>
          <w:p w14:paraId="61F420F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财务报告</w:t>
            </w:r>
          </w:p>
        </w:tc>
        <w:tc>
          <w:tcPr>
            <w:tcW w:w="6843" w:type="dxa"/>
            <w:noWrap w:val="0"/>
            <w:vAlign w:val="center"/>
          </w:tcPr>
          <w:p w14:paraId="555769C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2024年或</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202</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年财务审计报告(新成立的企业提供公司成立后相应的财务会计报表或财务情况说明书)或开标前六个月内银行出具的资信证明；</w:t>
            </w:r>
          </w:p>
        </w:tc>
      </w:tr>
      <w:tr w14:paraId="2A81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736" w:type="dxa"/>
            <w:noWrap w:val="0"/>
            <w:vAlign w:val="center"/>
          </w:tcPr>
          <w:p w14:paraId="6C7687B9">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1999" w:type="dxa"/>
            <w:noWrap w:val="0"/>
            <w:vAlign w:val="center"/>
          </w:tcPr>
          <w:p w14:paraId="6597C61D">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0"/>
                <w:sz w:val="24"/>
                <w:highlight w:val="none"/>
                <w:lang w:val="en-US" w:eastAsia="zh-CN"/>
              </w:rPr>
              <w:t>社会保障资金缴纳证明</w:t>
            </w:r>
          </w:p>
        </w:tc>
        <w:tc>
          <w:tcPr>
            <w:tcW w:w="6843" w:type="dxa"/>
            <w:noWrap w:val="0"/>
            <w:vAlign w:val="center"/>
          </w:tcPr>
          <w:p w14:paraId="71D4C3F6">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月至今任意一个月的有效社会保障资金缴纳证明。依法不需要缴纳社会保障资金的单位应提供相关证明材料；</w:t>
            </w:r>
          </w:p>
        </w:tc>
      </w:tr>
      <w:tr w14:paraId="5081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6" w:type="dxa"/>
            <w:noWrap w:val="0"/>
            <w:vAlign w:val="center"/>
          </w:tcPr>
          <w:p w14:paraId="78E21F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eastAsia="宋体" w:cs="宋体"/>
                <w:b/>
                <w:color w:val="auto"/>
                <w:sz w:val="24"/>
                <w:szCs w:val="22"/>
                <w:highlight w:val="none"/>
                <w:lang w:val="en-US" w:eastAsia="zh-CN"/>
              </w:rPr>
              <w:t>5</w:t>
            </w:r>
          </w:p>
        </w:tc>
        <w:tc>
          <w:tcPr>
            <w:tcW w:w="1999" w:type="dxa"/>
            <w:noWrap w:val="0"/>
            <w:vAlign w:val="center"/>
          </w:tcPr>
          <w:p w14:paraId="0F4A23A2">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税收缴纳证明</w:t>
            </w:r>
          </w:p>
        </w:tc>
        <w:tc>
          <w:tcPr>
            <w:tcW w:w="6843" w:type="dxa"/>
            <w:noWrap w:val="0"/>
            <w:vAlign w:val="center"/>
          </w:tcPr>
          <w:p w14:paraId="5E9CDB68">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提供2025年</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月至今任意一个月的纳税证明或完税证明，依法免税的单位应提供相关证明材料；</w:t>
            </w:r>
          </w:p>
        </w:tc>
      </w:tr>
      <w:tr w14:paraId="3F54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ACC023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1999" w:type="dxa"/>
            <w:noWrap w:val="0"/>
            <w:vAlign w:val="center"/>
          </w:tcPr>
          <w:p w14:paraId="5A51BFD6">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企业资质</w:t>
            </w:r>
          </w:p>
        </w:tc>
        <w:tc>
          <w:tcPr>
            <w:tcW w:w="6843" w:type="dxa"/>
            <w:noWrap w:val="0"/>
            <w:vAlign w:val="center"/>
          </w:tcPr>
          <w:p w14:paraId="42CEC74E">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供应商须具备国家建设行政主管部门颁发建筑工程或市政公用工程施工总承包三级（含三级）以上资质和有效的安全生产许可证；</w:t>
            </w:r>
          </w:p>
        </w:tc>
      </w:tr>
      <w:tr w14:paraId="22D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06420F5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7</w:t>
            </w:r>
          </w:p>
        </w:tc>
        <w:tc>
          <w:tcPr>
            <w:tcW w:w="1999" w:type="dxa"/>
            <w:noWrap w:val="0"/>
            <w:vAlign w:val="center"/>
          </w:tcPr>
          <w:p w14:paraId="557FB678">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项目经理资质</w:t>
            </w:r>
          </w:p>
        </w:tc>
        <w:tc>
          <w:tcPr>
            <w:tcW w:w="6843" w:type="dxa"/>
            <w:noWrap w:val="0"/>
            <w:vAlign w:val="center"/>
          </w:tcPr>
          <w:p w14:paraId="72B0F99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拟派项目经理须具有建筑工程或市政公用工程专业二级（含二级）以上注册建造师资格，注册证、安全生产考核合格证齐全有效，且无在建工程；</w:t>
            </w:r>
          </w:p>
        </w:tc>
      </w:tr>
      <w:tr w14:paraId="3EB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36" w:type="dxa"/>
            <w:noWrap w:val="0"/>
            <w:vAlign w:val="center"/>
          </w:tcPr>
          <w:p w14:paraId="6BE4B59A">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8</w:t>
            </w:r>
          </w:p>
        </w:tc>
        <w:tc>
          <w:tcPr>
            <w:tcW w:w="1999" w:type="dxa"/>
            <w:noWrap w:val="0"/>
            <w:vAlign w:val="center"/>
          </w:tcPr>
          <w:p w14:paraId="79892EC9">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2"/>
                <w:highlight w:val="none"/>
                <w:lang w:val="en-US" w:eastAsia="zh-CN"/>
              </w:rPr>
              <w:t>无违法记录声明</w:t>
            </w:r>
          </w:p>
        </w:tc>
        <w:tc>
          <w:tcPr>
            <w:tcW w:w="6843" w:type="dxa"/>
            <w:noWrap w:val="0"/>
            <w:vAlign w:val="center"/>
          </w:tcPr>
          <w:p w14:paraId="33F5F58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参加政府采购活动前三年内，在经营活动中没有重大违法记录声明；</w:t>
            </w:r>
          </w:p>
        </w:tc>
      </w:tr>
      <w:tr w14:paraId="18CA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6" w:type="dxa"/>
            <w:noWrap w:val="0"/>
            <w:vAlign w:val="center"/>
          </w:tcPr>
          <w:p w14:paraId="1114A5DF">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9</w:t>
            </w:r>
          </w:p>
        </w:tc>
        <w:tc>
          <w:tcPr>
            <w:tcW w:w="1999" w:type="dxa"/>
            <w:noWrap w:val="0"/>
            <w:vAlign w:val="center"/>
          </w:tcPr>
          <w:p w14:paraId="2B23B67C">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rPr>
              <w:t>企业信誉</w:t>
            </w:r>
          </w:p>
        </w:tc>
        <w:tc>
          <w:tcPr>
            <w:tcW w:w="6843" w:type="dxa"/>
            <w:noWrap w:val="0"/>
            <w:vAlign w:val="center"/>
          </w:tcPr>
          <w:p w14:paraId="3014BDE3">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供应商通过“信用中国”网站(www.creditchina.gov.cn)和中国政府采购网(www.ccgp.gov.cn)查询相关主体无失信记录（网站查询的截图，加盖企业公章）；</w:t>
            </w:r>
          </w:p>
        </w:tc>
      </w:tr>
      <w:tr w14:paraId="7698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36" w:type="dxa"/>
            <w:noWrap w:val="0"/>
            <w:vAlign w:val="center"/>
          </w:tcPr>
          <w:p w14:paraId="756B7E2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default" w:ascii="宋体" w:hAnsi="宋体" w:eastAsia="宋体" w:cs="宋体"/>
                <w:b/>
                <w:color w:val="auto"/>
                <w:kern w:val="2"/>
                <w:sz w:val="24"/>
                <w:szCs w:val="22"/>
                <w:highlight w:val="none"/>
                <w:lang w:val="en-US" w:eastAsia="zh-CN" w:bidi="ar-SA"/>
              </w:rPr>
            </w:pPr>
            <w:r>
              <w:rPr>
                <w:rFonts w:hint="eastAsia" w:ascii="宋体" w:hAnsi="宋体" w:cs="宋体"/>
                <w:b/>
                <w:color w:val="auto"/>
                <w:sz w:val="24"/>
                <w:szCs w:val="22"/>
                <w:highlight w:val="none"/>
                <w:lang w:val="en-US" w:eastAsia="zh-CN"/>
              </w:rPr>
              <w:t>10</w:t>
            </w:r>
          </w:p>
        </w:tc>
        <w:tc>
          <w:tcPr>
            <w:tcW w:w="1999" w:type="dxa"/>
            <w:noWrap w:val="0"/>
            <w:vAlign w:val="center"/>
          </w:tcPr>
          <w:p w14:paraId="1A6522EE">
            <w:pPr>
              <w:keepNext w:val="0"/>
              <w:keepLines w:val="0"/>
              <w:pageBreakBefore w:val="0"/>
              <w:widowControl w:val="0"/>
              <w:kinsoku/>
              <w:wordWrap/>
              <w:overflowPunct/>
              <w:topLinePunct w:val="0"/>
              <w:autoSpaceDE/>
              <w:autoSpaceDN/>
              <w:bidi w:val="0"/>
              <w:adjustRightInd/>
              <w:snapToGrid w:val="0"/>
              <w:spacing w:line="336"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中小企业声明函</w:t>
            </w:r>
          </w:p>
        </w:tc>
        <w:tc>
          <w:tcPr>
            <w:tcW w:w="6843" w:type="dxa"/>
            <w:noWrap w:val="0"/>
            <w:vAlign w:val="center"/>
          </w:tcPr>
          <w:p w14:paraId="3E84BC5A">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本项目为全部面向中小企业项目，本项目采购标的对应的中小企业划分标准所属行业为：</w:t>
            </w:r>
            <w:r>
              <w:rPr>
                <w:rFonts w:hint="eastAsia" w:ascii="宋体" w:hAnsi="宋体" w:eastAsia="宋体" w:cs="宋体"/>
                <w:i w:val="0"/>
                <w:iCs w:val="0"/>
                <w:caps w:val="0"/>
                <w:color w:val="0C0C0C"/>
                <w:spacing w:val="0"/>
                <w:sz w:val="24"/>
                <w:szCs w:val="24"/>
                <w:shd w:val="clear" w:color="auto" w:fill="FFFFFF"/>
                <w:lang w:eastAsia="zh-CN"/>
              </w:rPr>
              <w:t>建筑业</w:t>
            </w:r>
            <w:r>
              <w:rPr>
                <w:rFonts w:hint="eastAsia" w:ascii="宋体" w:hAnsi="宋体" w:eastAsia="宋体" w:cs="宋体"/>
                <w:color w:val="auto"/>
                <w:kern w:val="0"/>
                <w:sz w:val="24"/>
                <w:highlight w:val="none"/>
                <w:lang w:val="en-US" w:eastAsia="zh-CN"/>
              </w:rPr>
              <w:t>；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tc>
      </w:tr>
    </w:tbl>
    <w:p w14:paraId="263AF9AB">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0" w:firstLineChars="200"/>
        <w:textAlignment w:val="top"/>
        <w:rPr>
          <w:rFonts w:hint="eastAsia" w:ascii="宋体" w:hAnsi="宋体" w:eastAsia="宋体" w:cs="宋体"/>
          <w:color w:val="auto"/>
          <w:sz w:val="2"/>
          <w:szCs w:val="2"/>
          <w:highlight w:val="none"/>
          <w:lang w:val="en-US" w:eastAsia="zh-CN"/>
        </w:rPr>
      </w:pPr>
    </w:p>
    <w:p w14:paraId="0A8A833A">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p>
    <w:p w14:paraId="2B63256A">
      <w:pPr>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br w:type="page"/>
      </w:r>
    </w:p>
    <w:p w14:paraId="740816A9">
      <w:pPr>
        <w:keepNext w:val="0"/>
        <w:keepLines w:val="0"/>
        <w:pageBreakBefore w:val="0"/>
        <w:widowControl w:val="0"/>
        <w:kinsoku/>
        <w:wordWrap/>
        <w:overflowPunct/>
        <w:topLinePunct w:val="0"/>
        <w:autoSpaceDE/>
        <w:autoSpaceDN/>
        <w:bidi w:val="0"/>
        <w:adjustRightInd w:val="0"/>
        <w:snapToGrid w:val="0"/>
        <w:spacing w:line="377" w:lineRule="auto"/>
        <w:ind w:left="0" w:leftChars="0" w:right="0" w:rightChars="0" w:firstLine="482" w:firstLineChars="200"/>
        <w:textAlignment w:val="top"/>
        <w:rPr>
          <w:rFonts w:hint="eastAsia" w:ascii="宋体" w:hAnsi="宋体" w:eastAsia="宋体" w:cs="宋体"/>
          <w:b/>
          <w:bCs/>
          <w:color w:val="auto"/>
          <w:sz w:val="24"/>
          <w:szCs w:val="22"/>
          <w:highlight w:val="none"/>
          <w:lang w:eastAsia="zh-CN"/>
        </w:rPr>
      </w:pPr>
      <w:r>
        <w:rPr>
          <w:rFonts w:hint="eastAsia" w:ascii="宋体" w:hAnsi="宋体" w:eastAsia="宋体" w:cs="宋体"/>
          <w:b/>
          <w:bCs/>
          <w:color w:val="auto"/>
          <w:sz w:val="24"/>
          <w:szCs w:val="22"/>
          <w:highlight w:val="none"/>
          <w:lang w:val="en-US" w:eastAsia="zh-CN"/>
        </w:rPr>
        <w:t>2</w:t>
      </w:r>
      <w:r>
        <w:rPr>
          <w:rFonts w:hint="eastAsia" w:ascii="宋体" w:hAnsi="宋体" w:eastAsia="宋体" w:cs="宋体"/>
          <w:b/>
          <w:bCs/>
          <w:color w:val="auto"/>
          <w:sz w:val="24"/>
          <w:szCs w:val="22"/>
          <w:highlight w:val="none"/>
        </w:rPr>
        <w:t xml:space="preserve">） </w:t>
      </w:r>
      <w:r>
        <w:rPr>
          <w:rFonts w:hint="eastAsia" w:ascii="宋体" w:hAnsi="宋体" w:eastAsia="宋体" w:cs="宋体"/>
          <w:b/>
          <w:bCs/>
          <w:color w:val="auto"/>
          <w:sz w:val="24"/>
          <w:szCs w:val="22"/>
          <w:highlight w:val="none"/>
          <w:lang w:eastAsia="zh-CN"/>
        </w:rPr>
        <w:t>符合性审查</w:t>
      </w:r>
    </w:p>
    <w:tbl>
      <w:tblPr>
        <w:tblStyle w:val="1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163"/>
        <w:gridCol w:w="6555"/>
      </w:tblGrid>
      <w:tr w14:paraId="0EC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901" w:type="dxa"/>
            <w:noWrap w:val="0"/>
            <w:vAlign w:val="center"/>
          </w:tcPr>
          <w:p w14:paraId="114B7B8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序号</w:t>
            </w:r>
          </w:p>
        </w:tc>
        <w:tc>
          <w:tcPr>
            <w:tcW w:w="2163" w:type="dxa"/>
            <w:noWrap w:val="0"/>
            <w:vAlign w:val="center"/>
          </w:tcPr>
          <w:p w14:paraId="4B7A2843">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评审因素</w:t>
            </w:r>
          </w:p>
        </w:tc>
        <w:tc>
          <w:tcPr>
            <w:tcW w:w="6555" w:type="dxa"/>
            <w:noWrap w:val="0"/>
            <w:vAlign w:val="center"/>
          </w:tcPr>
          <w:p w14:paraId="068899A6">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评审标准</w:t>
            </w:r>
          </w:p>
        </w:tc>
      </w:tr>
      <w:tr w14:paraId="451B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01" w:type="dxa"/>
            <w:noWrap w:val="0"/>
            <w:vAlign w:val="center"/>
          </w:tcPr>
          <w:p w14:paraId="23CC59A5">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1</w:t>
            </w:r>
          </w:p>
        </w:tc>
        <w:tc>
          <w:tcPr>
            <w:tcW w:w="2163" w:type="dxa"/>
            <w:noWrap w:val="0"/>
            <w:vAlign w:val="center"/>
          </w:tcPr>
          <w:p w14:paraId="7CB33B16">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响应文件项目名称、项目编号</w:t>
            </w:r>
          </w:p>
        </w:tc>
        <w:tc>
          <w:tcPr>
            <w:tcW w:w="6555" w:type="dxa"/>
            <w:noWrap w:val="0"/>
            <w:vAlign w:val="center"/>
          </w:tcPr>
          <w:p w14:paraId="78099DFC">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响应文件以下三处的项目名称、项目编号、标段与本项目完全一致，且无遗漏：</w:t>
            </w:r>
          </w:p>
          <w:p w14:paraId="200272A1">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（1）封面；</w:t>
            </w:r>
          </w:p>
          <w:p w14:paraId="5800DB35">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（2）磋商响应函；</w:t>
            </w:r>
          </w:p>
          <w:p w14:paraId="15E8AECF">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（3）法定代表人委托授权书。</w:t>
            </w:r>
          </w:p>
        </w:tc>
      </w:tr>
      <w:tr w14:paraId="7DFA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1" w:type="dxa"/>
            <w:noWrap w:val="0"/>
            <w:vAlign w:val="center"/>
          </w:tcPr>
          <w:p w14:paraId="0E450C00">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2</w:t>
            </w:r>
          </w:p>
        </w:tc>
        <w:tc>
          <w:tcPr>
            <w:tcW w:w="2163" w:type="dxa"/>
            <w:noWrap w:val="0"/>
            <w:vAlign w:val="center"/>
          </w:tcPr>
          <w:p w14:paraId="6DEA071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szCs w:val="22"/>
                <w:highlight w:val="none"/>
                <w:lang w:val="en-US" w:eastAsia="zh-CN"/>
              </w:rPr>
              <w:t>响应文件的签署、盖章</w:t>
            </w:r>
          </w:p>
        </w:tc>
        <w:tc>
          <w:tcPr>
            <w:tcW w:w="6555" w:type="dxa"/>
            <w:noWrap w:val="0"/>
            <w:vAlign w:val="center"/>
          </w:tcPr>
          <w:p w14:paraId="0133557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sz w:val="24"/>
                <w:szCs w:val="22"/>
                <w:highlight w:val="none"/>
                <w:lang w:val="en-US" w:eastAsia="zh-CN"/>
              </w:rPr>
              <w:t>投标供应商须按磋商文件要求签字、盖章均符合磋商文件要求，且无遗漏。</w:t>
            </w:r>
          </w:p>
        </w:tc>
      </w:tr>
      <w:tr w14:paraId="07CA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901" w:type="dxa"/>
            <w:noWrap w:val="0"/>
            <w:vAlign w:val="center"/>
          </w:tcPr>
          <w:p w14:paraId="3A907688">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3</w:t>
            </w:r>
          </w:p>
        </w:tc>
        <w:tc>
          <w:tcPr>
            <w:tcW w:w="2163" w:type="dxa"/>
            <w:noWrap w:val="0"/>
            <w:vAlign w:val="center"/>
          </w:tcPr>
          <w:p w14:paraId="5B8294D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w:t>
            </w:r>
          </w:p>
        </w:tc>
        <w:tc>
          <w:tcPr>
            <w:tcW w:w="6555" w:type="dxa"/>
            <w:noWrap w:val="0"/>
            <w:vAlign w:val="center"/>
          </w:tcPr>
          <w:p w14:paraId="79210764">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同时满足以下条款：</w:t>
            </w:r>
          </w:p>
          <w:p w14:paraId="6B1B3D8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（1）磋商报价符合唯一性要求；</w:t>
            </w:r>
          </w:p>
          <w:p w14:paraId="0F115B0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（2）第一次磋商报价表填写符合要求；</w:t>
            </w:r>
          </w:p>
          <w:p w14:paraId="4D62CB7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rPr>
            </w:pPr>
            <w:r>
              <w:rPr>
                <w:rFonts w:hint="eastAsia" w:ascii="宋体" w:hAnsi="宋体" w:eastAsia="宋体" w:cs="宋体"/>
                <w:color w:val="auto"/>
                <w:kern w:val="0"/>
                <w:sz w:val="24"/>
                <w:szCs w:val="22"/>
                <w:highlight w:val="none"/>
                <w:lang w:val="en-US" w:eastAsia="zh-CN"/>
              </w:rPr>
              <w:t>（3）报价货币符合磋商文件要求；</w:t>
            </w:r>
          </w:p>
          <w:p w14:paraId="47528AD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（4）不大于、等于采购预算或磋商文件规定的最高限价。</w:t>
            </w:r>
          </w:p>
        </w:tc>
      </w:tr>
      <w:tr w14:paraId="00CE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50B5843E">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4</w:t>
            </w:r>
          </w:p>
        </w:tc>
        <w:tc>
          <w:tcPr>
            <w:tcW w:w="2163" w:type="dxa"/>
            <w:noWrap w:val="0"/>
            <w:vAlign w:val="center"/>
          </w:tcPr>
          <w:p w14:paraId="0999780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响应文件组成</w:t>
            </w:r>
          </w:p>
        </w:tc>
        <w:tc>
          <w:tcPr>
            <w:tcW w:w="6555" w:type="dxa"/>
            <w:noWrap w:val="0"/>
            <w:vAlign w:val="center"/>
          </w:tcPr>
          <w:p w14:paraId="52659E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符合磋商文件基本格式要求。</w:t>
            </w:r>
          </w:p>
        </w:tc>
      </w:tr>
      <w:tr w14:paraId="4D26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901" w:type="dxa"/>
            <w:noWrap w:val="0"/>
            <w:vAlign w:val="center"/>
          </w:tcPr>
          <w:p w14:paraId="66E7683C">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5</w:t>
            </w:r>
          </w:p>
        </w:tc>
        <w:tc>
          <w:tcPr>
            <w:tcW w:w="2163" w:type="dxa"/>
            <w:noWrap w:val="0"/>
            <w:vAlign w:val="center"/>
          </w:tcPr>
          <w:p w14:paraId="48418B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w:t>
            </w:r>
          </w:p>
        </w:tc>
        <w:tc>
          <w:tcPr>
            <w:tcW w:w="6555" w:type="dxa"/>
            <w:noWrap w:val="0"/>
            <w:vAlign w:val="center"/>
          </w:tcPr>
          <w:p w14:paraId="61CB14B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r w14:paraId="453C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1" w:type="dxa"/>
            <w:noWrap w:val="0"/>
            <w:vAlign w:val="center"/>
          </w:tcPr>
          <w:p w14:paraId="0B3F7ED1">
            <w:pPr>
              <w:keepNext w:val="0"/>
              <w:keepLines w:val="0"/>
              <w:pageBreakBefore w:val="0"/>
              <w:widowControl w:val="0"/>
              <w:kinsoku/>
              <w:wordWrap/>
              <w:overflowPunct/>
              <w:topLinePunct w:val="0"/>
              <w:autoSpaceDE/>
              <w:autoSpaceDN/>
              <w:bidi w:val="0"/>
              <w:adjustRightInd/>
              <w:snapToGrid w:val="0"/>
              <w:spacing w:line="348" w:lineRule="auto"/>
              <w:jc w:val="center"/>
              <w:textAlignment w:val="auto"/>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6</w:t>
            </w:r>
          </w:p>
        </w:tc>
        <w:tc>
          <w:tcPr>
            <w:tcW w:w="2163" w:type="dxa"/>
            <w:noWrap w:val="0"/>
            <w:vAlign w:val="center"/>
          </w:tcPr>
          <w:p w14:paraId="407914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sz w:val="24"/>
                <w:highlight w:val="none"/>
                <w:lang w:val="en-US" w:eastAsia="zh-CN"/>
              </w:rPr>
              <w:t>服务期</w:t>
            </w:r>
          </w:p>
        </w:tc>
        <w:tc>
          <w:tcPr>
            <w:tcW w:w="6555" w:type="dxa"/>
            <w:noWrap w:val="0"/>
            <w:vAlign w:val="center"/>
          </w:tcPr>
          <w:p w14:paraId="532B0DC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宋体" w:hAnsi="宋体" w:eastAsia="宋体" w:cs="宋体"/>
                <w:color w:val="auto"/>
                <w:kern w:val="0"/>
                <w:sz w:val="24"/>
                <w:szCs w:val="22"/>
                <w:highlight w:val="none"/>
                <w:lang w:val="en-US" w:eastAsia="zh-CN" w:bidi="ar-SA"/>
              </w:rPr>
            </w:pPr>
            <w:r>
              <w:rPr>
                <w:rFonts w:hint="eastAsia" w:ascii="宋体" w:hAnsi="宋体" w:eastAsia="宋体" w:cs="宋体"/>
                <w:color w:val="auto"/>
                <w:kern w:val="0"/>
                <w:sz w:val="24"/>
                <w:szCs w:val="22"/>
                <w:highlight w:val="none"/>
                <w:lang w:val="en-US" w:eastAsia="zh-CN"/>
              </w:rPr>
              <w:t>符合磋商文件的要求。</w:t>
            </w:r>
          </w:p>
        </w:tc>
      </w:tr>
    </w:tbl>
    <w:p w14:paraId="28F42B0B">
      <w:pPr>
        <w:keepNext w:val="0"/>
        <w:keepLines w:val="0"/>
        <w:pageBreakBefore w:val="0"/>
        <w:widowControl w:val="0"/>
        <w:kinsoku/>
        <w:wordWrap/>
        <w:overflowPunct/>
        <w:topLinePunct w:val="0"/>
        <w:autoSpaceDE/>
        <w:autoSpaceDN/>
        <w:bidi w:val="0"/>
        <w:adjustRightInd w:val="0"/>
        <w:snapToGrid w:val="0"/>
        <w:spacing w:line="370" w:lineRule="auto"/>
        <w:ind w:left="0" w:leftChars="0" w:right="0" w:rightChars="0" w:firstLine="480" w:firstLineChars="200"/>
        <w:textAlignment w:val="top"/>
        <w:outlineLvl w:val="2"/>
        <w:rPr>
          <w:rFonts w:hint="eastAsia" w:ascii="宋体" w:hAnsi="宋体" w:eastAsia="宋体" w:cs="宋体"/>
          <w:b w:val="0"/>
          <w:bCs w:val="0"/>
          <w:color w:val="auto"/>
          <w:sz w:val="24"/>
          <w:highlight w:val="none"/>
          <w:lang w:val="en-US" w:eastAsia="zh-CN"/>
        </w:rPr>
      </w:pPr>
    </w:p>
    <w:p w14:paraId="0299C0E2">
      <w:pPr>
        <w:pStyle w:val="7"/>
        <w:keepNext w:val="0"/>
        <w:keepLines w:val="0"/>
        <w:pageBreakBefore w:val="0"/>
        <w:widowControl w:val="0"/>
        <w:kinsoku/>
        <w:wordWrap/>
        <w:overflowPunct/>
        <w:topLinePunct w:val="0"/>
        <w:autoSpaceDE/>
        <w:autoSpaceDN/>
        <w:bidi w:val="0"/>
        <w:snapToGrid w:val="0"/>
        <w:spacing w:after="0" w:afterLines="0" w:line="370" w:lineRule="auto"/>
        <w:ind w:firstLine="498" w:firstLineChars="200"/>
        <w:jc w:val="left"/>
        <w:rPr>
          <w:rFonts w:hint="eastAsia" w:ascii="宋体" w:hAnsi="宋体" w:eastAsia="宋体" w:cs="宋体"/>
          <w:b w:val="0"/>
          <w:color w:val="auto"/>
          <w:spacing w:val="0"/>
          <w:kern w:val="2"/>
          <w:sz w:val="24"/>
          <w:szCs w:val="22"/>
          <w:highlight w:val="none"/>
          <w:lang w:val="en-US" w:eastAsia="zh-CN" w:bidi="ar-SA"/>
        </w:rPr>
      </w:pPr>
      <w:r>
        <w:rPr>
          <w:rFonts w:hint="eastAsia" w:ascii="宋体" w:hAnsi="宋体" w:eastAsia="宋体" w:cs="宋体"/>
          <w:color w:val="000000"/>
          <w:sz w:val="24"/>
          <w:szCs w:val="22"/>
          <w:highlight w:val="none"/>
          <w:lang w:val="en-US" w:eastAsia="zh-CN"/>
        </w:rPr>
        <w:t>3</w:t>
      </w:r>
      <w:r>
        <w:rPr>
          <w:rFonts w:hint="eastAsia" w:ascii="宋体" w:hAnsi="宋体" w:eastAsia="宋体" w:cs="宋体"/>
          <w:color w:val="000000"/>
          <w:sz w:val="24"/>
          <w:szCs w:val="22"/>
          <w:highlight w:val="none"/>
        </w:rPr>
        <w:t>）</w:t>
      </w:r>
      <w:r>
        <w:rPr>
          <w:rFonts w:hint="eastAsia" w:ascii="宋体" w:hAnsi="宋体" w:eastAsia="宋体" w:cs="宋体"/>
          <w:color w:val="000000"/>
          <w:sz w:val="24"/>
          <w:szCs w:val="22"/>
          <w:highlight w:val="none"/>
          <w:lang w:eastAsia="zh-CN"/>
        </w:rPr>
        <w:t>评分细则</w:t>
      </w:r>
    </w:p>
    <w:tbl>
      <w:tblPr>
        <w:tblStyle w:val="16"/>
        <w:tblpPr w:leftFromText="180" w:rightFromText="180" w:vertAnchor="text" w:horzAnchor="page" w:tblpX="1137" w:tblpY="40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5"/>
        <w:gridCol w:w="1004"/>
        <w:gridCol w:w="7011"/>
      </w:tblGrid>
      <w:tr w14:paraId="02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976" w:type="pct"/>
            <w:vAlign w:val="center"/>
          </w:tcPr>
          <w:p w14:paraId="51C6BC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分项</w:t>
            </w:r>
          </w:p>
        </w:tc>
        <w:tc>
          <w:tcPr>
            <w:tcW w:w="504" w:type="pct"/>
            <w:vAlign w:val="center"/>
          </w:tcPr>
          <w:p w14:paraId="3669655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分值</w:t>
            </w:r>
          </w:p>
        </w:tc>
        <w:tc>
          <w:tcPr>
            <w:tcW w:w="3519" w:type="pct"/>
            <w:vAlign w:val="center"/>
          </w:tcPr>
          <w:p w14:paraId="21942E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评审</w:t>
            </w:r>
            <w:r>
              <w:rPr>
                <w:rFonts w:hint="eastAsia" w:ascii="宋体" w:hAnsi="宋体" w:eastAsia="宋体" w:cs="宋体"/>
                <w:b/>
                <w:color w:val="000000" w:themeColor="text1"/>
                <w:sz w:val="24"/>
                <w:highlight w:val="none"/>
                <w:lang w:eastAsia="zh-CN"/>
                <w14:textFill>
                  <w14:solidFill>
                    <w14:schemeClr w14:val="tx1"/>
                  </w14:solidFill>
                </w14:textFill>
              </w:rPr>
              <w:t>因素</w:t>
            </w:r>
          </w:p>
        </w:tc>
      </w:tr>
      <w:tr w14:paraId="565B9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1D2348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最终</w:t>
            </w:r>
            <w:r>
              <w:rPr>
                <w:rFonts w:hint="eastAsia" w:ascii="宋体" w:hAnsi="宋体" w:eastAsia="宋体" w:cs="宋体"/>
                <w:color w:val="000000" w:themeColor="text1"/>
                <w:sz w:val="24"/>
                <w:szCs w:val="24"/>
                <w:highlight w:val="none"/>
                <w14:textFill>
                  <w14:solidFill>
                    <w14:schemeClr w14:val="tx1"/>
                  </w14:solidFill>
                </w14:textFill>
              </w:rPr>
              <w:t>报价</w:t>
            </w:r>
          </w:p>
        </w:tc>
        <w:tc>
          <w:tcPr>
            <w:tcW w:w="504" w:type="pct"/>
            <w:vAlign w:val="center"/>
          </w:tcPr>
          <w:p w14:paraId="460252A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8E054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以满足磋商文件要求且投标价格最低的最后报价为评标基准价,其价格分为满分3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分,其他投标人的价格分按照下列公式计算:</w:t>
            </w:r>
          </w:p>
          <w:p w14:paraId="492482C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eastAsia="zh-CN"/>
                <w14:textFill>
                  <w14:solidFill>
                    <w14:schemeClr w14:val="tx1"/>
                  </w14:solidFill>
                </w14:textFill>
              </w:rPr>
              <w:t>最后报价得分=（评标基准价/最后报价）×3</w:t>
            </w:r>
            <w:r>
              <w:rPr>
                <w:rFonts w:hint="eastAsia" w:ascii="宋体" w:hAnsi="宋体" w:eastAsia="宋体" w:cs="宋体"/>
                <w:color w:val="000000" w:themeColor="text1"/>
                <w:sz w:val="24"/>
                <w:szCs w:val="22"/>
                <w:highlight w:val="none"/>
                <w:lang w:val="en-US" w:eastAsia="zh-CN"/>
                <w14:textFill>
                  <w14:solidFill>
                    <w14:schemeClr w14:val="tx1"/>
                  </w14:solidFill>
                </w14:textFill>
              </w:rPr>
              <w:t>0</w:t>
            </w:r>
            <w:r>
              <w:rPr>
                <w:rFonts w:hint="eastAsia" w:ascii="宋体" w:hAnsi="宋体" w:eastAsia="宋体" w:cs="宋体"/>
                <w:color w:val="000000" w:themeColor="text1"/>
                <w:sz w:val="24"/>
                <w:szCs w:val="22"/>
                <w:highlight w:val="none"/>
                <w:lang w:eastAsia="zh-CN"/>
                <w14:textFill>
                  <w14:solidFill>
                    <w14:schemeClr w14:val="tx1"/>
                  </w14:solidFill>
                </w14:textFill>
              </w:rPr>
              <w:t>。</w:t>
            </w:r>
          </w:p>
        </w:tc>
      </w:tr>
      <w:tr w14:paraId="3498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trPr>
        <w:tc>
          <w:tcPr>
            <w:tcW w:w="976" w:type="pct"/>
            <w:vAlign w:val="center"/>
          </w:tcPr>
          <w:p w14:paraId="4450DE7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商务响应</w:t>
            </w:r>
          </w:p>
        </w:tc>
        <w:tc>
          <w:tcPr>
            <w:tcW w:w="504" w:type="pct"/>
            <w:vAlign w:val="center"/>
          </w:tcPr>
          <w:p w14:paraId="0CF717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5分</w:t>
            </w:r>
          </w:p>
        </w:tc>
        <w:tc>
          <w:tcPr>
            <w:tcW w:w="3519" w:type="pct"/>
            <w:vAlign w:val="center"/>
          </w:tcPr>
          <w:p w14:paraId="174177B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经过有效性和符合性审核合格的投标人，对商务要求完全响应磋商文件要求的计3分。商务偏离表中每出现一处优于情况的另加1分，计满5分为止。无响应或部分响应的不计分。</w:t>
            </w:r>
          </w:p>
        </w:tc>
      </w:tr>
      <w:tr w14:paraId="4290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restart"/>
            <w:vAlign w:val="center"/>
          </w:tcPr>
          <w:p w14:paraId="412D456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DA2BC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037C93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9F8544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7CF32EBF">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6F82F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97C2F3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828C8A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2F1EEA9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535C16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4052D2A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E21181E">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0B03C1C8">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8B237A2">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施工组织</w:t>
            </w:r>
            <w:r>
              <w:rPr>
                <w:rFonts w:hint="eastAsia" w:ascii="宋体" w:hAnsi="宋体" w:eastAsia="宋体" w:cs="宋体"/>
                <w:color w:val="000000" w:themeColor="text1"/>
                <w:sz w:val="24"/>
                <w:szCs w:val="24"/>
                <w:lang w:eastAsia="zh-CN"/>
                <w14:textFill>
                  <w14:solidFill>
                    <w14:schemeClr w14:val="tx1"/>
                  </w14:solidFill>
                </w14:textFill>
              </w:rPr>
              <w:t>方案</w:t>
            </w:r>
          </w:p>
          <w:p w14:paraId="11F4F7D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（51分）</w:t>
            </w:r>
          </w:p>
          <w:p w14:paraId="3D105B8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295100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6CFE7C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A78D26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2F0E53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10B54421">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19A9B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31564F53">
            <w:pPr>
              <w:spacing w:line="360" w:lineRule="auto"/>
              <w:jc w:val="center"/>
              <w:rPr>
                <w:rFonts w:hint="eastAsia" w:ascii="宋体" w:hAnsi="宋体" w:eastAsia="宋体" w:cs="宋体"/>
                <w:bCs/>
                <w:color w:val="000000" w:themeColor="text1"/>
                <w:kern w:val="2"/>
                <w:sz w:val="24"/>
                <w:szCs w:val="24"/>
                <w:lang w:val="en-US" w:eastAsia="zh-CN" w:bidi="ar-SA"/>
                <w14:textFill>
                  <w14:solidFill>
                    <w14:schemeClr w14:val="tx1"/>
                  </w14:solidFill>
                </w14:textFill>
              </w:rPr>
            </w:pPr>
          </w:p>
        </w:tc>
        <w:tc>
          <w:tcPr>
            <w:tcW w:w="504" w:type="pct"/>
            <w:vAlign w:val="center"/>
          </w:tcPr>
          <w:p w14:paraId="3BEBF659">
            <w:pPr>
              <w:spacing w:line="24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3C7C3A4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1.施工方案：投标人应按照本项目的实际情况及工程的具体特点，提出切合实际有针对性的施工方案和方法。</w:t>
            </w:r>
          </w:p>
          <w:p w14:paraId="4346EEF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方案全面合格、完整详尽、符合本项目施工情况实际计6.1-10分；</w:t>
            </w:r>
          </w:p>
          <w:p w14:paraId="24D2494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实施方案基本完善、基本合理可行3.1-6分；</w:t>
            </w:r>
          </w:p>
          <w:p w14:paraId="27781D0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实施方案存在部分缺陷和不足计0-3分。</w:t>
            </w:r>
          </w:p>
        </w:tc>
      </w:tr>
      <w:tr w14:paraId="7717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644C4FD8">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69E375C4">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59F74FE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2.确保工程质量和安全生产的技术组织措施：投标人应按照本项目的实际情况及工程的具体特点提出科学合理的措施。</w:t>
            </w:r>
          </w:p>
          <w:p w14:paraId="27676A6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49BFB7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4433FB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5A24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976" w:type="pct"/>
            <w:vMerge w:val="continue"/>
            <w:vAlign w:val="center"/>
          </w:tcPr>
          <w:p w14:paraId="1ACD2E3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F18A142">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660105F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3.确保安全文明施工的技术组织措施及环境保护措施：投标人应按照本项目的实际情况及工程的具体特点提出科学合理的措施。</w:t>
            </w:r>
          </w:p>
          <w:p w14:paraId="70B5FDC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措施编制科学合理、完整详尽计6.1-10分；</w:t>
            </w:r>
          </w:p>
          <w:p w14:paraId="7069D0E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措施编制基本完善、基本合理可行计3.1-6分；</w:t>
            </w:r>
          </w:p>
          <w:p w14:paraId="797A6AA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措施编制存在部分缺陷和不足计0-3分。</w:t>
            </w:r>
          </w:p>
        </w:tc>
      </w:tr>
      <w:tr w14:paraId="2FCA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976" w:type="pct"/>
            <w:vMerge w:val="continue"/>
            <w:vAlign w:val="center"/>
          </w:tcPr>
          <w:p w14:paraId="60E4509B">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518FBB00">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173046F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4.确保工期的技术组织措施：投标人应按照本项目的实际情况及工程的具体特点提出科学合理的措施。</w:t>
            </w:r>
          </w:p>
          <w:p w14:paraId="28FAAFA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措施编制科学合理、完整详尽计4.1-6分；</w:t>
            </w:r>
          </w:p>
          <w:p w14:paraId="06631EF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措施编制基本完善、基本合理可行计2.1-4分；</w:t>
            </w:r>
          </w:p>
          <w:p w14:paraId="10C3A1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措施编制存在部分缺陷和不足计0-2分。</w:t>
            </w:r>
          </w:p>
        </w:tc>
      </w:tr>
      <w:tr w14:paraId="292D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trPr>
        <w:tc>
          <w:tcPr>
            <w:tcW w:w="976" w:type="pct"/>
            <w:vMerge w:val="continue"/>
            <w:vAlign w:val="center"/>
          </w:tcPr>
          <w:p w14:paraId="2ED18E7A">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4" w:type="dxa"/>
            <w:vAlign w:val="center"/>
          </w:tcPr>
          <w:p w14:paraId="11380F19">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7011" w:type="dxa"/>
            <w:vAlign w:val="center"/>
          </w:tcPr>
          <w:p w14:paraId="723105CD">
            <w:pPr>
              <w:keepNext w:val="0"/>
              <w:keepLines w:val="0"/>
              <w:pageBreakBefore w:val="0"/>
              <w:widowControl w:val="0"/>
              <w:numPr>
                <w:ilvl w:val="0"/>
                <w:numId w:val="3"/>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项目组织管理人员构成：</w:t>
            </w:r>
          </w:p>
          <w:p w14:paraId="1DBB56E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其中项目经理职称为中级及以上得 2 分，否则不得分；</w:t>
            </w:r>
          </w:p>
          <w:p w14:paraId="466B536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新宋体" w:hAnsi="新宋体" w:eastAsia="新宋体" w:cs="新宋体"/>
                <w:color w:val="000000"/>
                <w:sz w:val="24"/>
                <w:szCs w:val="22"/>
                <w:highlight w:val="none"/>
                <w:lang w:val="en-US" w:eastAsia="zh-CN"/>
              </w:rPr>
            </w:pPr>
            <w:r>
              <w:rPr>
                <w:rFonts w:hint="eastAsia" w:ascii="新宋体" w:hAnsi="新宋体" w:eastAsia="新宋体" w:cs="新宋体"/>
                <w:color w:val="000000"/>
                <w:sz w:val="24"/>
                <w:szCs w:val="22"/>
                <w:highlight w:val="none"/>
                <w:lang w:val="en-US" w:eastAsia="zh-CN"/>
              </w:rPr>
              <w:t>项目技术负责人职称为中级及以上得 2 分；</w:t>
            </w:r>
          </w:p>
          <w:p w14:paraId="5ED056C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Cs/>
                <w:color w:val="000000" w:themeColor="text1"/>
                <w:kern w:val="0"/>
                <w:sz w:val="24"/>
                <w:szCs w:val="24"/>
                <w14:textFill>
                  <w14:solidFill>
                    <w14:schemeClr w14:val="tx1"/>
                  </w14:solidFill>
                </w14:textFill>
              </w:rPr>
            </w:pPr>
            <w:r>
              <w:rPr>
                <w:rFonts w:hint="eastAsia" w:ascii="新宋体" w:hAnsi="新宋体" w:eastAsia="新宋体" w:cs="新宋体"/>
                <w:color w:val="000000"/>
                <w:sz w:val="24"/>
                <w:szCs w:val="22"/>
                <w:highlight w:val="none"/>
                <w:lang w:val="en-US" w:eastAsia="zh-CN"/>
              </w:rPr>
              <w:t>拟投入的资料员、施工员、质量员、材料员、安全员(附安全生产考核合格证书)应具有有效岗位证书，每一人计 1 分，计满 5 分为止。</w:t>
            </w:r>
          </w:p>
        </w:tc>
      </w:tr>
      <w:tr w14:paraId="60B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76" w:type="pct"/>
            <w:vMerge w:val="continue"/>
            <w:vAlign w:val="center"/>
          </w:tcPr>
          <w:p w14:paraId="7CA34483">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504" w:type="pct"/>
            <w:vAlign w:val="center"/>
          </w:tcPr>
          <w:p w14:paraId="05D28DED">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48EB41C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6.施工机械配备和材料投入计划：</w:t>
            </w:r>
          </w:p>
          <w:p w14:paraId="37628AC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机械配备科学、材料投入计划齐备合理的计 3.1-6 分；</w:t>
            </w:r>
          </w:p>
          <w:p w14:paraId="11418D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配置欠合理、材料不齐备的计 1-3 分；</w:t>
            </w:r>
          </w:p>
          <w:p w14:paraId="6D8AD2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未进行描述的本项不得分。</w:t>
            </w:r>
          </w:p>
        </w:tc>
      </w:tr>
      <w:tr w14:paraId="5630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6" w:type="pct"/>
            <w:vAlign w:val="center"/>
          </w:tcPr>
          <w:p w14:paraId="01305EFD">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服务承诺</w:t>
            </w:r>
          </w:p>
        </w:tc>
        <w:tc>
          <w:tcPr>
            <w:tcW w:w="504" w:type="pct"/>
            <w:vAlign w:val="center"/>
          </w:tcPr>
          <w:p w14:paraId="3A6FB7F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519" w:type="pct"/>
            <w:vAlign w:val="center"/>
          </w:tcPr>
          <w:p w14:paraId="24B9A81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有详细的针对本项目工程质保期内的售后服务承诺及说明，工程竣工验收合格后使用过程中因质量问题而产生的补救措施，应急预案、响应时间及措施。</w:t>
            </w:r>
          </w:p>
          <w:p w14:paraId="7951A26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承诺及配套服务措施完整详尽、可操作性强计6.1-8分；</w:t>
            </w:r>
          </w:p>
          <w:p w14:paraId="660013B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承诺及配套服务措施基本完整、基本合理计3.1-6分；</w:t>
            </w:r>
          </w:p>
          <w:p w14:paraId="2D533E5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承诺及配套服务措施存在缺陷和不足计0-3分。</w:t>
            </w:r>
          </w:p>
        </w:tc>
      </w:tr>
      <w:tr w14:paraId="58B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76" w:type="pct"/>
            <w:vAlign w:val="center"/>
          </w:tcPr>
          <w:p w14:paraId="54B82FB7">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业绩</w:t>
            </w:r>
          </w:p>
        </w:tc>
        <w:tc>
          <w:tcPr>
            <w:tcW w:w="504" w:type="pct"/>
            <w:vAlign w:val="center"/>
          </w:tcPr>
          <w:p w14:paraId="5F5F6AF2">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3519" w:type="pct"/>
            <w:vAlign w:val="center"/>
          </w:tcPr>
          <w:p w14:paraId="124A42F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提供投标人近三年（2023年</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hint="eastAsia" w:ascii="宋体" w:hAnsi="宋体" w:eastAsia="宋体" w:cs="宋体"/>
                <w:color w:val="000000" w:themeColor="text1"/>
                <w:sz w:val="24"/>
                <w:szCs w:val="22"/>
                <w:highlight w:val="none"/>
                <w:lang w:val="en-US" w:eastAsia="zh-CN"/>
                <w14:textFill>
                  <w14:solidFill>
                    <w14:schemeClr w14:val="tx1"/>
                  </w14:solidFill>
                </w14:textFill>
              </w:rPr>
              <w:t>月至今）类似业绩，每提供一份计2分，满分6分，不提供不得分。（附相关证明材料中标通知书或施工合同协议书复印件并加盖公章，时间以中标通知书或合同签订为准。）</w:t>
            </w:r>
          </w:p>
        </w:tc>
      </w:tr>
    </w:tbl>
    <w:p w14:paraId="3C211EB6">
      <w:pPr>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4.4</w:t>
      </w:r>
      <w:r>
        <w:rPr>
          <w:rFonts w:hint="eastAsia" w:ascii="宋体" w:hAnsi="宋体" w:eastAsia="宋体" w:cs="宋体"/>
          <w:sz w:val="24"/>
          <w:szCs w:val="24"/>
        </w:rPr>
        <w:t>投标人的竞争性磋商响应文件中须提供与以上评分因素相关的证明材料。如果发现有弄虚作假的，磋商小组将取消其投标资格。</w:t>
      </w:r>
    </w:p>
    <w:p w14:paraId="0DE3EB88">
      <w:pPr>
        <w:spacing w:line="480" w:lineRule="exact"/>
        <w:rPr>
          <w:rFonts w:hint="eastAsia" w:ascii="宋体" w:hAnsi="宋体" w:eastAsia="宋体" w:cs="宋体"/>
          <w:b/>
          <w:snapToGrid w:val="0"/>
          <w:sz w:val="24"/>
          <w:szCs w:val="24"/>
          <w:highlight w:val="none"/>
        </w:rPr>
      </w:pPr>
      <w:r>
        <w:rPr>
          <w:rFonts w:hint="eastAsia" w:ascii="宋体" w:hAnsi="宋体" w:eastAsia="宋体" w:cs="宋体"/>
          <w:sz w:val="24"/>
          <w:szCs w:val="24"/>
          <w:lang w:val="en-US" w:eastAsia="zh-CN"/>
        </w:rPr>
        <w:t>5.</w:t>
      </w:r>
      <w:r>
        <w:rPr>
          <w:rFonts w:hint="eastAsia" w:ascii="宋体" w:hAnsi="宋体" w:eastAsia="宋体" w:cs="宋体"/>
          <w:b/>
          <w:snapToGrid w:val="0"/>
          <w:sz w:val="24"/>
          <w:szCs w:val="24"/>
          <w:highlight w:val="none"/>
        </w:rPr>
        <w:t>采购政策</w:t>
      </w:r>
    </w:p>
    <w:p w14:paraId="77CD800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53C22F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537C90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333333"/>
          <w:sz w:val="24"/>
          <w:szCs w:val="24"/>
          <w:highlight w:val="none"/>
          <w:shd w:val="clear" w:color="auto" w:fill="FFFFFF"/>
          <w:lang w:eastAsia="zh-CN"/>
        </w:rPr>
        <w:t>给予</w:t>
      </w:r>
      <w:r>
        <w:rPr>
          <w:rFonts w:hint="eastAsia" w:ascii="宋体" w:hAnsi="宋体" w:eastAsia="宋体" w:cs="宋体"/>
          <w:color w:val="333333"/>
          <w:sz w:val="24"/>
          <w:szCs w:val="24"/>
          <w:highlight w:val="none"/>
          <w:shd w:val="clear" w:color="auto" w:fill="FFFFFF"/>
        </w:rPr>
        <w:t>10%的价格扣除，用扣除后的价格参与评审；</w:t>
      </w:r>
    </w:p>
    <w:p w14:paraId="6FA7C6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24080AA">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对既属于监狱企业、福利企业，同时又满足中小微企业规定的投标单位，其价格扣除仅适用一次。</w:t>
      </w:r>
    </w:p>
    <w:p w14:paraId="0AEBCA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根据财政部、国家发展改革委《关于印发〈节能产品政府采购实施意见〉的通知》（财库〔2004〕185号）所投产品属于节能产品政府采购清单所列产品，在技术、服务同等的条件下，应当优先采用清单中的节能产品；</w:t>
      </w:r>
    </w:p>
    <w:p w14:paraId="0001DA0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②所投产品为“环境标志产品政府采购清单”所列产品，在性能、技术、服务等指标同等的条件下，应当优先采用；</w:t>
      </w:r>
    </w:p>
    <w:p w14:paraId="334850A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③节能产品根据《国务院办公厅关于建立政府强制采购节能产品制度的通知》国办发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2007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51号的规定，以中国政府采购网（http://www.ccgp.gov.cn/）公布的最新一期节能产品政府采购清单为准；</w:t>
      </w:r>
    </w:p>
    <w:p w14:paraId="008DEE1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④环境标志产品根据《环境标志产品政府采购实施的意见》（财库[2006]90号）的规定，以中国政府采购网（http://www.ccgp.gov.cn/）公布的最新一期环境标志产品政府采购清单为准；</w:t>
      </w:r>
    </w:p>
    <w:p w14:paraId="0C5FCD7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⑤若节能、环保、环境标志清单内的产品仅是构成投标产品的部件、组件或零件的，则该投标产品不享受鼓励优惠政策；</w:t>
      </w:r>
    </w:p>
    <w:p w14:paraId="4AAEBAC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（4）关于信用记录的查询和使用</w:t>
      </w:r>
    </w:p>
    <w:p w14:paraId="2354D1E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采购人将在资格审查阶段通过【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信用中国</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"http://www.ccgp.gov.cn/cr/list"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www.ccgp.gov.cn）】网站对投标文件正本中的《投标人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7335C99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投标人在参加政府采购活动前3年内因违法经营被禁止在一定期限内参加政府采购活动，期限届满的，可以参加政府采购活动的，但投标人应提供相关证明材料；</w:t>
      </w:r>
    </w:p>
    <w:p w14:paraId="6153F73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信用记录查询的截止时点为“招标文件发售之日起至投标截止日前”。信用记录查询的结果，将以截图保存至电子介质的形式留存。投标人未如实填报《投标人书面声明函》的，视为“投标人提供虚假材料谋取中标、成交的”行为。</w:t>
      </w:r>
    </w:p>
    <w:p w14:paraId="13D5766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rPr>
        <w:t>）融资政策</w:t>
      </w:r>
    </w:p>
    <w:p w14:paraId="1383B56A">
      <w:pPr>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根据《陕西省财政厅关于加快推进我省中小企业政府采购信用融资工作的通知》（陕财办采</w:t>
      </w:r>
      <w:r>
        <w:rPr>
          <w:rFonts w:hint="eastAsia" w:ascii="宋体" w:hAnsi="宋体" w:eastAsia="宋体" w:cs="宋体"/>
          <w:sz w:val="24"/>
          <w:szCs w:val="24"/>
        </w:rPr>
        <w:t>〔</w:t>
      </w:r>
      <w:r>
        <w:rPr>
          <w:rFonts w:hint="eastAsia" w:ascii="宋体" w:hAnsi="宋体" w:eastAsia="宋体" w:cs="宋体"/>
          <w:sz w:val="24"/>
          <w:szCs w:val="24"/>
          <w:lang w:val="zh-CN"/>
        </w:rPr>
        <w:t>2020</w:t>
      </w:r>
      <w:r>
        <w:rPr>
          <w:rFonts w:hint="eastAsia" w:ascii="宋体" w:hAnsi="宋体" w:eastAsia="宋体" w:cs="宋体"/>
          <w:sz w:val="24"/>
          <w:szCs w:val="24"/>
        </w:rPr>
        <w:t>〕</w:t>
      </w:r>
      <w:r>
        <w:rPr>
          <w:rFonts w:hint="eastAsia" w:ascii="宋体" w:hAnsi="宋体" w:eastAsia="宋体" w:cs="宋体"/>
          <w:sz w:val="24"/>
          <w:szCs w:val="24"/>
          <w:lang w:val="zh-CN"/>
        </w:rPr>
        <w:t>15号）文件精神，有融资需求的</w:t>
      </w:r>
      <w:r>
        <w:rPr>
          <w:rFonts w:hint="eastAsia" w:ascii="宋体" w:hAnsi="宋体" w:eastAsia="宋体" w:cs="宋体"/>
          <w:sz w:val="24"/>
          <w:szCs w:val="24"/>
        </w:rPr>
        <w:t>中标（成交）人</w:t>
      </w:r>
      <w:r>
        <w:rPr>
          <w:rFonts w:hint="eastAsia" w:ascii="宋体" w:hAnsi="宋体" w:eastAsia="宋体" w:cs="宋体"/>
          <w:sz w:val="24"/>
          <w:szCs w:val="24"/>
          <w:lang w:val="zh-CN"/>
        </w:rPr>
        <w:t>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000000"/>
          <w:sz w:val="24"/>
          <w:szCs w:val="24"/>
          <w:lang w:val="zh-CN"/>
        </w:rPr>
        <w:fldChar w:fldCharType="begin"/>
      </w:r>
      <w:r>
        <w:rPr>
          <w:rFonts w:hint="eastAsia" w:ascii="宋体" w:hAnsi="宋体" w:eastAsia="宋体" w:cs="宋体"/>
          <w:color w:val="000000"/>
          <w:sz w:val="24"/>
          <w:szCs w:val="24"/>
          <w:lang w:val="zh-CN"/>
        </w:rPr>
        <w:instrText xml:space="preserve"> HYPERLINK "http://www.ccgp-shaanxi.gov.cn/zcdservice/zcd/shanxi/s" </w:instrText>
      </w:r>
      <w:r>
        <w:rPr>
          <w:rFonts w:hint="eastAsia" w:ascii="宋体" w:hAnsi="宋体" w:eastAsia="宋体" w:cs="宋体"/>
          <w:color w:val="000000"/>
          <w:sz w:val="24"/>
          <w:szCs w:val="24"/>
          <w:lang w:val="zh-CN"/>
        </w:rPr>
        <w:fldChar w:fldCharType="separate"/>
      </w:r>
      <w:r>
        <w:rPr>
          <w:rStyle w:val="19"/>
          <w:rFonts w:hint="eastAsia" w:ascii="宋体" w:hAnsi="宋体" w:eastAsia="宋体" w:cs="宋体"/>
          <w:color w:val="000000"/>
          <w:sz w:val="24"/>
          <w:szCs w:val="24"/>
          <w:lang w:val="zh-CN"/>
        </w:rPr>
        <w:t>http://www.ccgp-shaanxi.gov.cn/zcdservice/zcd/shanxi/s</w:t>
      </w:r>
      <w:r>
        <w:rPr>
          <w:rFonts w:hint="eastAsia" w:ascii="宋体" w:hAnsi="宋体" w:eastAsia="宋体" w:cs="宋体"/>
          <w:color w:val="000000"/>
          <w:sz w:val="24"/>
          <w:szCs w:val="24"/>
          <w:lang w:val="zh-CN"/>
        </w:rPr>
        <w:fldChar w:fldCharType="end"/>
      </w:r>
    </w:p>
    <w:p w14:paraId="7AE05A0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 确定成交单位</w:t>
      </w:r>
    </w:p>
    <w:p w14:paraId="4887D42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rPr>
        <w:t>采购人按照磋商小组推荐的成交候选人排名顺序确定成交单位。采购代理机构将成交结果通知所有未成交的投标人</w:t>
      </w:r>
      <w:r>
        <w:rPr>
          <w:rFonts w:hint="eastAsia" w:ascii="宋体" w:hAnsi="宋体" w:eastAsia="宋体" w:cs="宋体"/>
          <w:color w:val="auto"/>
          <w:sz w:val="24"/>
          <w:szCs w:val="22"/>
          <w:highlight w:val="none"/>
          <w:lang w:eastAsia="zh-CN"/>
        </w:rPr>
        <w:t>。</w:t>
      </w:r>
    </w:p>
    <w:p w14:paraId="48B921B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jc w:val="center"/>
        <w:textAlignment w:val="top"/>
        <w:outlineLvl w:val="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szCs w:val="22"/>
          <w:highlight w:val="none"/>
          <w:lang w:val="en-US" w:eastAsia="zh-CN"/>
        </w:rPr>
        <w:t>授予合同</w:t>
      </w:r>
    </w:p>
    <w:p w14:paraId="5D57011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1．</w:t>
      </w:r>
      <w:r>
        <w:rPr>
          <w:rFonts w:hint="eastAsia" w:ascii="宋体" w:hAnsi="宋体" w:eastAsia="宋体" w:cs="宋体"/>
          <w:b/>
          <w:bCs/>
          <w:color w:val="auto"/>
          <w:sz w:val="24"/>
          <w:szCs w:val="22"/>
          <w:highlight w:val="none"/>
        </w:rPr>
        <w:t>成交通知书</w:t>
      </w:r>
    </w:p>
    <w:p w14:paraId="348A3B5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w:t>
      </w:r>
      <w:r>
        <w:rPr>
          <w:rFonts w:hint="eastAsia" w:ascii="宋体" w:hAnsi="宋体" w:eastAsia="宋体" w:cs="宋体"/>
          <w:color w:val="auto"/>
          <w:sz w:val="24"/>
          <w:szCs w:val="22"/>
          <w:highlight w:val="none"/>
        </w:rPr>
        <w:t>1采购代理机构在收到采购人的成交定标复函后，按规定时间向中标人发出中标通知书。</w:t>
      </w:r>
    </w:p>
    <w:p w14:paraId="32AAAE4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1.2</w:t>
      </w:r>
      <w:r>
        <w:rPr>
          <w:rFonts w:hint="eastAsia" w:ascii="宋体" w:hAnsi="宋体" w:eastAsia="宋体" w:cs="宋体"/>
          <w:color w:val="auto"/>
          <w:sz w:val="24"/>
          <w:szCs w:val="22"/>
          <w:highlight w:val="none"/>
        </w:rPr>
        <w:t>中标通知书是合同的组成部分。</w:t>
      </w:r>
    </w:p>
    <w:p w14:paraId="0D29F54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2．成交服务费</w:t>
      </w:r>
    </w:p>
    <w:p w14:paraId="2491B65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2.1中标单位应在接到成交通知书时，依据国家计委关于印发《招标代理服务收费管理暂行办法》的通知（计价格〔2002〕1980号）、《国家发展和改革委员会办公厅关于招标代理服务收费有关问题的通知》（发改办价格〔2003〕857号）文件规定的收取标准及相应的计算办法,向陕西方得项目咨询有限公司缴纳成交服务费。</w:t>
      </w:r>
    </w:p>
    <w:p w14:paraId="3CC2B2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2.2成交服务费缴纳账户</w:t>
      </w:r>
    </w:p>
    <w:p w14:paraId="363FE7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采购代理机构开户名称：陕西方得项目咨询有限公司</w:t>
      </w:r>
    </w:p>
    <w:p w14:paraId="6E9662B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开户行名称：中国银行西安西影路支行</w:t>
      </w:r>
    </w:p>
    <w:p w14:paraId="435DC6B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帐      号：103304937302</w:t>
      </w:r>
    </w:p>
    <w:p w14:paraId="71A47C7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3．签订合同</w:t>
      </w:r>
    </w:p>
    <w:p w14:paraId="60B7AF2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3.1 成交人应按《成交通知书》指定的时间、地点与采购人签订合同。</w:t>
      </w:r>
    </w:p>
    <w:p w14:paraId="4C38D97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3.2 如果成交人没有按照上述第25.1条或第26.1条规定执行，招标采购单位将有充分理由取消该成交决定。在此情况下，招标采购单位可将合同授予综合得分排序名列下一个的投标人，或重新组织采购。</w:t>
      </w:r>
    </w:p>
    <w:p w14:paraId="6C568DC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4．</w:t>
      </w:r>
      <w:r>
        <w:rPr>
          <w:rFonts w:hint="eastAsia" w:ascii="宋体" w:hAnsi="宋体" w:eastAsia="宋体" w:cs="宋体"/>
          <w:b/>
          <w:color w:val="auto"/>
          <w:sz w:val="24"/>
          <w:highlight w:val="none"/>
          <w:shd w:val="clear" w:color="auto" w:fill="auto"/>
        </w:rPr>
        <w:t>拒绝商业贿赂</w:t>
      </w:r>
    </w:p>
    <w:p w14:paraId="71C215A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投标人必须填写一份《拒绝政府采购领域商业贿赂承诺书》（格式见附件）编制在响应文件中。</w:t>
      </w:r>
      <w:bookmarkStart w:id="38" w:name="_Toc245176658"/>
      <w:bookmarkStart w:id="39" w:name="_Toc244623584"/>
      <w:bookmarkStart w:id="40" w:name="_Toc207897909"/>
      <w:bookmarkStart w:id="41" w:name="_Toc208337157"/>
      <w:bookmarkStart w:id="42" w:name="_Toc245657546"/>
      <w:bookmarkStart w:id="43" w:name="_Toc245658527"/>
    </w:p>
    <w:bookmarkEnd w:id="38"/>
    <w:bookmarkEnd w:id="39"/>
    <w:bookmarkEnd w:id="40"/>
    <w:bookmarkEnd w:id="41"/>
    <w:bookmarkEnd w:id="42"/>
    <w:bookmarkEnd w:id="43"/>
    <w:p w14:paraId="113F72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5．保密和披露</w:t>
      </w:r>
    </w:p>
    <w:p w14:paraId="54E7759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5.1 保密 </w:t>
      </w:r>
    </w:p>
    <w:p w14:paraId="249CD1A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投标人自领取磋商文件之日起，须承诺承担对本采购项目的保密义务，不得将因本次磋商获得的信息向第三人外传。 </w:t>
      </w:r>
    </w:p>
    <w:p w14:paraId="2F85198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 披露 </w:t>
      </w:r>
    </w:p>
    <w:p w14:paraId="466ED9B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5.2.1 代理机构有权将投标人提供的所有资料向有关政府部门或评审标书的有关人员披露。 </w:t>
      </w:r>
    </w:p>
    <w:p w14:paraId="2118A5F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5.2.2 在代理机构认为适当时、国家机关调查、审查、审计时以及其他符合法律规定的情形下，代理机构无须事先征求投标人/成交人同意而可以披露关于采购过程、合同文本、签署情况的资料、投标人/成交人的名称及地址、响应文件的有关信息以及补充条款等，但应当在合理的必要范围内。对任何已经公布过的内容或与之内容相同的资料，以及投标人/成交人已经泄露或公开的，无须再承担保密责任。</w:t>
      </w:r>
    </w:p>
    <w:p w14:paraId="7B8F8F41">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6．质疑与投诉</w:t>
      </w:r>
    </w:p>
    <w:p w14:paraId="7DF3E53F">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6.1 质疑。投标人对本次招标采购活动有疑问的，应在法定质疑期内一次性提出针对同一采购程序环节的质疑。投标人提出的质疑应按照《政府采购质疑和投诉办法》（财政部令第 94 号）的规定处理。《政府采购供应商质疑函范本》链接地址： http://gks.mof.gov.cn/zhengfucaigouguanli/201802/t20180201_2804589.html。 </w:t>
      </w:r>
    </w:p>
    <w:p w14:paraId="39E2827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6.2 投诉。投标人和其他厉害关系人认为本次招标采购活动违反法律、法规和规章规定的，有权向有关行政监督机构投诉。 </w:t>
      </w:r>
    </w:p>
    <w:p w14:paraId="21FDFF8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2" w:firstLineChars="200"/>
        <w:textAlignment w:val="top"/>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7．投标人违规处罚 </w:t>
      </w:r>
    </w:p>
    <w:p w14:paraId="4350AEDC">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7.1 本项目如果发生下列情况采购代理机构将报请监督管理机构批准变更招标方式或重新组织招标：</w:t>
      </w:r>
    </w:p>
    <w:p w14:paraId="2E76E29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（1）有效投标人不足三家； </w:t>
      </w:r>
    </w:p>
    <w:p w14:paraId="22A723A3">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（2）磋商小组三分之二以上的评委认定所有投标报价存在价格不实的现象； </w:t>
      </w:r>
    </w:p>
    <w:p w14:paraId="050843B0">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（3）有证据证明有围标现象的发生；</w:t>
      </w:r>
    </w:p>
    <w:p w14:paraId="04E4C6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（4）因重大变故，招标任务取消的。 </w:t>
      </w:r>
    </w:p>
    <w:p w14:paraId="698F1E08">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7.2 投标人有下列情形之一的，成交无效，同时代理机构将提请政府采购监管部门，依据政府采购法律法规的规定作出处理。</w:t>
      </w:r>
    </w:p>
    <w:p w14:paraId="304F44D2">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（1）提供虚假材料谋取成交的； </w:t>
      </w:r>
    </w:p>
    <w:p w14:paraId="54D8EB57">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（2）采取不正当手段诋毁、排挤其他投标人的； </w:t>
      </w:r>
    </w:p>
    <w:p w14:paraId="2F3E84BD">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（3）与采购人、其他投标人恶意串通的； </w:t>
      </w:r>
    </w:p>
    <w:p w14:paraId="15D2085A">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（4）投标截止时间后投标人撤回其报价的； </w:t>
      </w:r>
    </w:p>
    <w:p w14:paraId="40A686C6">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（5）在磋商期间，影响代理机构或磋商小组正常磋商的； </w:t>
      </w:r>
    </w:p>
    <w:p w14:paraId="6113E119">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（6）成交后未按本竞争性磋商文件要求签约或与采购人订立背离合同实质性内容 </w:t>
      </w:r>
    </w:p>
    <w:p w14:paraId="292C1BE5">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的其它协议的； </w:t>
      </w:r>
    </w:p>
    <w:p w14:paraId="37746FDE">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（7）投标人未按竞争性磋商文件规定和合同约定履行义务的； </w:t>
      </w:r>
    </w:p>
    <w:p w14:paraId="4E9AA56B">
      <w:pPr>
        <w:keepNext w:val="0"/>
        <w:keepLines w:val="0"/>
        <w:pageBreakBefore w:val="0"/>
        <w:widowControl w:val="0"/>
        <w:kinsoku/>
        <w:wordWrap/>
        <w:overflowPunct/>
        <w:topLinePunct w:val="0"/>
        <w:autoSpaceDE/>
        <w:autoSpaceDN/>
        <w:bidi w:val="0"/>
        <w:adjustRightInd w:val="0"/>
        <w:snapToGrid w:val="0"/>
        <w:spacing w:line="356" w:lineRule="auto"/>
        <w:ind w:left="0" w:leftChars="0" w:right="0" w:rightChars="0" w:firstLine="480" w:firstLineChars="200"/>
        <w:textAlignment w:val="top"/>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（8）法律法规规定的其它事项。</w:t>
      </w:r>
    </w:p>
    <w:p w14:paraId="07AD165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
          <w:kern w:val="0"/>
          <w:sz w:val="24"/>
          <w:szCs w:val="24"/>
        </w:rPr>
      </w:pPr>
      <w:r>
        <w:rPr>
          <w:rFonts w:hint="eastAsia" w:ascii="宋体" w:hAnsi="宋体" w:eastAsia="宋体" w:cs="宋体"/>
          <w:color w:val="auto"/>
          <w:sz w:val="24"/>
          <w:szCs w:val="22"/>
          <w:highlight w:val="none"/>
          <w:lang w:val="en-US" w:eastAsia="zh-CN"/>
        </w:rPr>
        <w:br w:type="page"/>
      </w:r>
    </w:p>
    <w:p w14:paraId="201C87BD">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第四章  施工内容及要求</w:t>
      </w:r>
    </w:p>
    <w:p w14:paraId="1A8C7871">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bCs/>
          <w:color w:val="000000"/>
          <w:sz w:val="24"/>
          <w:szCs w:val="24"/>
          <w:highlight w:val="none"/>
          <w:lang w:val="en-US" w:eastAsia="zh-CN"/>
        </w:rPr>
        <w:t>项目概况</w:t>
      </w:r>
      <w:r>
        <w:rPr>
          <w:rFonts w:hint="eastAsia" w:ascii="宋体" w:hAnsi="宋体" w:eastAsia="宋体" w:cs="宋体"/>
          <w:b/>
          <w:bCs/>
          <w:color w:val="000000"/>
          <w:sz w:val="24"/>
          <w:szCs w:val="24"/>
          <w:highlight w:val="none"/>
        </w:rPr>
        <w:t>：</w:t>
      </w:r>
    </w:p>
    <w:p w14:paraId="50E16C45">
      <w:pPr>
        <w:adjustRightInd w:val="0"/>
        <w:snapToGrid w:val="0"/>
        <w:spacing w:line="480" w:lineRule="auto"/>
        <w:ind w:firstLine="522" w:firstLineChars="200"/>
        <w:rPr>
          <w:rFonts w:hint="eastAsia" w:ascii="宋体" w:hAnsi="宋体" w:cs="宋体"/>
          <w:b/>
          <w:bCs/>
          <w:color w:val="000000"/>
          <w:sz w:val="26"/>
          <w:szCs w:val="26"/>
          <w:lang w:eastAsia="zh-CN"/>
        </w:rPr>
      </w:pPr>
      <w:r>
        <w:rPr>
          <w:rFonts w:hint="eastAsia" w:ascii="宋体" w:hAnsi="宋体" w:eastAsia="宋体" w:cs="宋体"/>
          <w:b/>
          <w:bCs/>
          <w:color w:val="000000"/>
          <w:sz w:val="26"/>
          <w:szCs w:val="26"/>
        </w:rPr>
        <w:t>1.项目名称：</w:t>
      </w:r>
      <w:r>
        <w:rPr>
          <w:rFonts w:hint="eastAsia" w:ascii="宋体" w:hAnsi="宋体" w:cs="宋体"/>
          <w:b/>
          <w:bCs/>
          <w:color w:val="000000"/>
          <w:sz w:val="26"/>
          <w:szCs w:val="26"/>
          <w:lang w:eastAsia="zh-CN"/>
        </w:rPr>
        <w:t>神河镇台子村食用菌产业发展项目</w:t>
      </w:r>
    </w:p>
    <w:p w14:paraId="52202CEB">
      <w:pPr>
        <w:adjustRightInd w:val="0"/>
        <w:snapToGrid w:val="0"/>
        <w:spacing w:line="480" w:lineRule="auto"/>
        <w:ind w:firstLine="522" w:firstLineChars="200"/>
        <w:rPr>
          <w:rFonts w:hint="eastAsia" w:ascii="宋体" w:hAnsi="宋体" w:eastAsia="宋体" w:cs="宋体"/>
          <w:b/>
          <w:bCs/>
          <w:color w:val="000000"/>
          <w:sz w:val="26"/>
          <w:szCs w:val="26"/>
        </w:rPr>
      </w:pPr>
      <w:r>
        <w:rPr>
          <w:rFonts w:hint="eastAsia" w:ascii="宋体" w:hAnsi="宋体" w:eastAsia="宋体" w:cs="宋体"/>
          <w:b/>
          <w:bCs/>
          <w:color w:val="000000"/>
          <w:sz w:val="26"/>
          <w:szCs w:val="26"/>
        </w:rPr>
        <w:t>2.项目建设地点：</w:t>
      </w:r>
      <w:r>
        <w:rPr>
          <w:rFonts w:hint="eastAsia" w:ascii="宋体" w:hAnsi="宋体" w:cs="宋体"/>
          <w:b/>
          <w:bCs/>
          <w:color w:val="000000"/>
          <w:sz w:val="26"/>
          <w:szCs w:val="26"/>
          <w:lang w:eastAsia="zh-CN"/>
        </w:rPr>
        <w:t>神河镇</w:t>
      </w:r>
    </w:p>
    <w:p w14:paraId="45B1B931">
      <w:pPr>
        <w:adjustRightInd w:val="0"/>
        <w:snapToGrid w:val="0"/>
        <w:spacing w:line="480" w:lineRule="auto"/>
        <w:ind w:firstLine="522" w:firstLineChars="200"/>
        <w:rPr>
          <w:rFonts w:hint="eastAsia" w:ascii="宋体" w:hAnsi="宋体" w:eastAsia="宋体" w:cs="宋体"/>
          <w:color w:val="000000"/>
          <w:sz w:val="26"/>
          <w:szCs w:val="26"/>
        </w:rPr>
      </w:pPr>
      <w:r>
        <w:rPr>
          <w:rFonts w:hint="eastAsia" w:ascii="宋体" w:hAnsi="宋体" w:eastAsia="宋体" w:cs="宋体"/>
          <w:b/>
          <w:bCs/>
          <w:color w:val="000000"/>
          <w:sz w:val="26"/>
          <w:szCs w:val="26"/>
          <w:highlight w:val="none"/>
          <w:lang w:val="en-US" w:eastAsia="zh-CN"/>
        </w:rPr>
        <w:t>3</w:t>
      </w:r>
      <w:r>
        <w:rPr>
          <w:rFonts w:hint="eastAsia" w:ascii="宋体" w:hAnsi="宋体" w:eastAsia="宋体" w:cs="宋体"/>
          <w:b/>
          <w:bCs/>
          <w:color w:val="000000"/>
          <w:sz w:val="26"/>
          <w:szCs w:val="26"/>
          <w:highlight w:val="none"/>
        </w:rPr>
        <w:t>.采购限价</w:t>
      </w:r>
      <w:r>
        <w:rPr>
          <w:rFonts w:hint="eastAsia" w:ascii="宋体" w:hAnsi="宋体" w:cs="宋体"/>
          <w:b/>
          <w:bCs/>
          <w:color w:val="000000"/>
          <w:sz w:val="26"/>
          <w:szCs w:val="26"/>
          <w:highlight w:val="none"/>
          <w:lang w:eastAsia="zh-CN"/>
        </w:rPr>
        <w:t>：</w:t>
      </w:r>
      <w:r>
        <w:rPr>
          <w:rFonts w:hint="eastAsia" w:ascii="宋体" w:hAnsi="宋体" w:cs="宋体"/>
          <w:b/>
          <w:bCs/>
          <w:color w:val="000000"/>
          <w:sz w:val="26"/>
          <w:szCs w:val="26"/>
          <w:highlight w:val="none"/>
          <w:lang w:val="en-US" w:eastAsia="zh-CN"/>
        </w:rPr>
        <w:t>壹拾伍万</w:t>
      </w:r>
      <w:r>
        <w:rPr>
          <w:rFonts w:hint="eastAsia" w:ascii="宋体" w:hAnsi="宋体" w:eastAsia="宋体" w:cs="宋体"/>
          <w:b/>
          <w:bCs/>
          <w:color w:val="000000"/>
          <w:sz w:val="26"/>
          <w:szCs w:val="26"/>
          <w:highlight w:val="none"/>
          <w:lang w:val="en-US" w:eastAsia="zh-CN"/>
        </w:rPr>
        <w:t>元整</w:t>
      </w: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150000.00</w:t>
      </w:r>
      <w:r>
        <w:rPr>
          <w:rFonts w:hint="eastAsia" w:ascii="宋体" w:hAnsi="宋体" w:eastAsia="宋体" w:cs="宋体"/>
          <w:b/>
          <w:bCs/>
          <w:color w:val="000000"/>
          <w:sz w:val="24"/>
          <w:szCs w:val="24"/>
        </w:rPr>
        <w:t>元）</w:t>
      </w:r>
      <w:r>
        <w:rPr>
          <w:rFonts w:hint="eastAsia" w:ascii="宋体" w:hAnsi="宋体" w:eastAsia="宋体" w:cs="宋体"/>
          <w:color w:val="000000"/>
          <w:sz w:val="26"/>
          <w:szCs w:val="26"/>
          <w:lang w:val="en-US" w:eastAsia="zh-CN"/>
        </w:rPr>
        <w:t>，</w:t>
      </w:r>
      <w:r>
        <w:rPr>
          <w:rFonts w:hint="eastAsia" w:ascii="宋体" w:hAnsi="宋体" w:eastAsia="宋体" w:cs="宋体"/>
          <w:color w:val="000000"/>
          <w:sz w:val="26"/>
          <w:szCs w:val="26"/>
        </w:rPr>
        <w:t>磋商报价大于或等于本采购限价时，按无效投标处理。</w:t>
      </w:r>
    </w:p>
    <w:p w14:paraId="2CD2CE25">
      <w:pPr>
        <w:adjustRightInd w:val="0"/>
        <w:snapToGrid w:val="0"/>
        <w:spacing w:line="480" w:lineRule="auto"/>
        <w:ind w:firstLine="522" w:firstLineChars="200"/>
        <w:rPr>
          <w:rFonts w:hint="eastAsia"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rPr>
        <w:t>二、现场踏勘</w:t>
      </w:r>
    </w:p>
    <w:p w14:paraId="6C2B5A3A">
      <w:pPr>
        <w:numPr>
          <w:ilvl w:val="0"/>
          <w:numId w:val="0"/>
        </w:numPr>
        <w:adjustRightInd w:val="0"/>
        <w:snapToGrid w:val="0"/>
        <w:spacing w:line="480" w:lineRule="auto"/>
        <w:ind w:firstLine="520" w:firstLineChars="200"/>
        <w:jc w:val="left"/>
        <w:rPr>
          <w:rFonts w:hint="eastAsia" w:ascii="宋体" w:hAnsi="宋体" w:eastAsia="宋体" w:cs="宋体"/>
          <w:b/>
          <w:bCs/>
          <w:sz w:val="26"/>
          <w:szCs w:val="26"/>
          <w:highlight w:val="none"/>
          <w:lang w:eastAsia="zh-CN"/>
        </w:rPr>
      </w:pPr>
      <w:r>
        <w:rPr>
          <w:rFonts w:hint="eastAsia" w:ascii="宋体" w:hAnsi="宋体" w:eastAsia="宋体" w:cs="宋体"/>
          <w:b w:val="0"/>
          <w:bCs w:val="0"/>
          <w:color w:val="000000"/>
          <w:sz w:val="26"/>
          <w:szCs w:val="26"/>
          <w:highlight w:val="none"/>
        </w:rPr>
        <w:t>由投标人自行踏勘，未踏勘现场造成的一切后果由投标人自行承担。（一切费用自理）。</w:t>
      </w:r>
    </w:p>
    <w:p w14:paraId="0750F9BC">
      <w:pPr>
        <w:numPr>
          <w:ilvl w:val="0"/>
          <w:numId w:val="4"/>
        </w:numPr>
        <w:adjustRightInd w:val="0"/>
        <w:snapToGrid w:val="0"/>
        <w:spacing w:line="480" w:lineRule="auto"/>
        <w:ind w:firstLine="522" w:firstLineChars="200"/>
        <w:jc w:val="left"/>
        <w:rPr>
          <w:rFonts w:hint="eastAsia" w:ascii="宋体" w:hAnsi="宋体" w:eastAsia="宋体" w:cs="宋体"/>
          <w:b/>
          <w:bCs/>
          <w:color w:val="000000"/>
          <w:sz w:val="26"/>
          <w:szCs w:val="26"/>
          <w:highlight w:val="none"/>
          <w:lang w:eastAsia="zh-CN"/>
        </w:rPr>
      </w:pPr>
      <w:r>
        <w:rPr>
          <w:rFonts w:hint="eastAsia" w:ascii="宋体" w:hAnsi="宋体" w:eastAsia="宋体" w:cs="宋体"/>
          <w:b/>
          <w:bCs/>
          <w:color w:val="000000"/>
          <w:sz w:val="26"/>
          <w:szCs w:val="26"/>
          <w:highlight w:val="none"/>
          <w:lang w:eastAsia="zh-CN"/>
        </w:rPr>
        <w:t>工程量清单及编制说明</w:t>
      </w:r>
    </w:p>
    <w:p w14:paraId="56C9F07F">
      <w:pPr>
        <w:pStyle w:val="2"/>
        <w:keepNext/>
        <w:keepLines/>
        <w:pageBreakBefore w:val="0"/>
        <w:widowControl w:val="0"/>
        <w:kinsoku/>
        <w:wordWrap/>
        <w:overflowPunct/>
        <w:topLinePunct w:val="0"/>
        <w:autoSpaceDE/>
        <w:autoSpaceDN/>
        <w:bidi w:val="0"/>
        <w:adjustRightInd/>
        <w:snapToGrid/>
        <w:spacing w:before="0" w:after="0" w:line="460" w:lineRule="exact"/>
        <w:ind w:left="0" w:leftChars="0" w:firstLine="2088" w:firstLineChars="800"/>
        <w:jc w:val="both"/>
        <w:textAlignment w:val="auto"/>
        <w:rPr>
          <w:rFonts w:hint="eastAsia" w:ascii="宋体" w:hAnsi="宋体" w:eastAsia="宋体" w:cs="宋体"/>
          <w:sz w:val="24"/>
          <w:szCs w:val="24"/>
        </w:rPr>
      </w:pPr>
      <w:r>
        <w:rPr>
          <w:rFonts w:hint="eastAsia" w:ascii="宋体" w:hAnsi="宋体" w:eastAsia="宋体" w:cs="宋体"/>
          <w:b/>
          <w:bCs/>
          <w:color w:val="000000"/>
          <w:sz w:val="26"/>
          <w:szCs w:val="26"/>
          <w:highlight w:val="none"/>
          <w:lang w:eastAsia="zh-CN"/>
        </w:rPr>
        <w:br w:type="page"/>
      </w:r>
      <w:r>
        <w:rPr>
          <w:rFonts w:hint="eastAsia" w:ascii="宋体" w:hAnsi="宋体" w:cs="宋体"/>
          <w:b/>
          <w:bCs/>
          <w:color w:val="000000"/>
          <w:sz w:val="26"/>
          <w:szCs w:val="26"/>
          <w:highlight w:val="none"/>
          <w:lang w:val="en-US" w:eastAsia="zh-CN"/>
        </w:rPr>
        <w:t xml:space="preserve">           </w:t>
      </w:r>
      <w:r>
        <w:rPr>
          <w:rFonts w:hint="eastAsia" w:ascii="宋体" w:hAnsi="宋体" w:eastAsia="宋体" w:cs="宋体"/>
          <w:sz w:val="24"/>
          <w:szCs w:val="24"/>
        </w:rPr>
        <w:t>编制说明</w:t>
      </w:r>
    </w:p>
    <w:p w14:paraId="4D73B4A7">
      <w:pPr>
        <w:keepNext w:val="0"/>
        <w:keepLines w:val="0"/>
        <w:pageBreakBefore w:val="0"/>
        <w:widowControl w:val="0"/>
        <w:numPr>
          <w:ilvl w:val="0"/>
          <w:numId w:val="5"/>
        </w:numPr>
        <w:kinsoku/>
        <w:wordWrap/>
        <w:overflowPunct/>
        <w:topLinePunct w:val="0"/>
        <w:bidi w:val="0"/>
        <w:snapToGrid/>
        <w:spacing w:line="46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 xml:space="preserve">工程概况 </w:t>
      </w:r>
    </w:p>
    <w:p w14:paraId="302265C0">
      <w:pPr>
        <w:keepNext w:val="0"/>
        <w:keepLines w:val="0"/>
        <w:pageBreakBefore w:val="0"/>
        <w:widowControl/>
        <w:suppressLineNumbers w:val="0"/>
        <w:kinsoku/>
        <w:wordWrap/>
        <w:overflowPunct/>
        <w:topLinePunct w:val="0"/>
        <w:bidi w:val="0"/>
        <w:snapToGrid/>
        <w:spacing w:line="460" w:lineRule="exact"/>
        <w:ind w:left="0" w:leftChars="0" w:firstLine="480" w:firstLineChars="200"/>
        <w:jc w:val="left"/>
        <w:textAlignment w:val="auto"/>
        <w:rPr>
          <w:rFonts w:hint="default"/>
          <w:sz w:val="24"/>
          <w:szCs w:val="24"/>
          <w:lang w:val="en-US"/>
        </w:rPr>
      </w:pPr>
      <w:r>
        <w:rPr>
          <w:rFonts w:hint="eastAsia" w:ascii="宋体" w:hAnsi="宋体" w:eastAsia="宋体" w:cs="宋体"/>
          <w:sz w:val="24"/>
          <w:szCs w:val="24"/>
          <w:lang w:eastAsia="zh-CN"/>
        </w:rPr>
        <w:t>神河镇台子村食用菌产业发展项目主要建设内容</w:t>
      </w:r>
      <w:r>
        <w:rPr>
          <w:rFonts w:hint="eastAsia" w:ascii="宋体" w:hAnsi="宋体" w:eastAsia="宋体" w:cs="宋体"/>
          <w:sz w:val="24"/>
          <w:szCs w:val="24"/>
          <w:lang w:val="en-US" w:eastAsia="zh-CN"/>
        </w:rPr>
        <w:t>为5个标准化香菇大棚，具体内容详见工程量清单。</w:t>
      </w:r>
    </w:p>
    <w:p w14:paraId="3ECB5921">
      <w:pPr>
        <w:keepNext w:val="0"/>
        <w:keepLines w:val="0"/>
        <w:pageBreakBefore w:val="0"/>
        <w:widowControl w:val="0"/>
        <w:numPr>
          <w:ilvl w:val="0"/>
          <w:numId w:val="5"/>
        </w:numPr>
        <w:kinsoku/>
        <w:wordWrap/>
        <w:overflowPunct/>
        <w:topLinePunct w:val="0"/>
        <w:bidi w:val="0"/>
        <w:snapToGrid/>
        <w:spacing w:line="460" w:lineRule="exact"/>
        <w:ind w:left="0" w:leftChars="0"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sz w:val="24"/>
          <w:szCs w:val="24"/>
        </w:rPr>
        <w:t>编制依据</w:t>
      </w:r>
    </w:p>
    <w:p w14:paraId="7A931B05">
      <w:pPr>
        <w:keepNext w:val="0"/>
        <w:keepLines w:val="0"/>
        <w:pageBreakBefore w:val="0"/>
        <w:widowControl w:val="0"/>
        <w:numPr>
          <w:ilvl w:val="0"/>
          <w:numId w:val="0"/>
        </w:numPr>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）》。（以下简称计价标准）；</w:t>
      </w:r>
    </w:p>
    <w:p w14:paraId="73B57C19">
      <w:pPr>
        <w:keepNext w:val="0"/>
        <w:keepLines w:val="0"/>
        <w:pageBreakBefore w:val="0"/>
        <w:widowControl w:val="0"/>
        <w:numPr>
          <w:ilvl w:val="0"/>
          <w:numId w:val="0"/>
        </w:numPr>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2.施工设计图中选用的相关标准图集；</w:t>
      </w:r>
    </w:p>
    <w:p w14:paraId="79965F19">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3.依据设计施工图</w:t>
      </w:r>
      <w:r>
        <w:rPr>
          <w:rFonts w:hint="eastAsia" w:ascii="宋体" w:hAnsi="宋体" w:eastAsia="宋体" w:cs="宋体"/>
          <w:sz w:val="24"/>
          <w:szCs w:val="24"/>
          <w:lang w:eastAsia="zh-CN"/>
        </w:rPr>
        <w:t>。</w:t>
      </w:r>
    </w:p>
    <w:p w14:paraId="1B437D9C">
      <w:pPr>
        <w:keepNext w:val="0"/>
        <w:keepLines w:val="0"/>
        <w:pageBreakBefore w:val="0"/>
        <w:widowControl w:val="0"/>
        <w:kinsoku/>
        <w:wordWrap/>
        <w:overflowPunct/>
        <w:topLinePunct w:val="0"/>
        <w:autoSpaceDE w:val="0"/>
        <w:autoSpaceDN w:val="0"/>
        <w:bidi w:val="0"/>
        <w:adjustRightInd w:val="0"/>
        <w:snapToGrid/>
        <w:spacing w:line="46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三、软件版本及相关文件说明</w:t>
      </w:r>
    </w:p>
    <w:p w14:paraId="5C61FFF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eastAsia="宋体" w:cs="宋体"/>
          <w:sz w:val="24"/>
          <w:szCs w:val="24"/>
        </w:rPr>
        <w:t>.《陕西省建设工程工程量清单计价标准（2</w:t>
      </w:r>
      <w:r>
        <w:rPr>
          <w:rFonts w:hint="eastAsia" w:ascii="宋体" w:hAnsi="宋体" w:eastAsia="宋体" w:cs="宋体"/>
          <w:sz w:val="24"/>
          <w:szCs w:val="24"/>
          <w:lang w:val="en-US" w:eastAsia="zh-CN"/>
        </w:rPr>
        <w:t>025</w:t>
      </w:r>
      <w:r>
        <w:rPr>
          <w:rFonts w:hint="eastAsia" w:ascii="宋体" w:hAnsi="宋体" w:eastAsia="宋体" w:cs="宋体"/>
          <w:sz w:val="24"/>
          <w:szCs w:val="24"/>
        </w:rPr>
        <w:t>）》。</w:t>
      </w:r>
    </w:p>
    <w:p w14:paraId="64A125C4">
      <w:pPr>
        <w:keepNext w:val="0"/>
        <w:keepLines w:val="0"/>
        <w:pageBreakBefore w:val="0"/>
        <w:kinsoku/>
        <w:wordWrap/>
        <w:overflowPunct/>
        <w:topLinePunct w:val="0"/>
        <w:bidi w:val="0"/>
        <w:snapToGrid/>
        <w:spacing w:line="4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rPr>
        <w:t>消耗量定额》《20</w:t>
      </w:r>
      <w:r>
        <w:rPr>
          <w:rFonts w:hint="eastAsia" w:ascii="宋体" w:hAnsi="宋体" w:eastAsia="宋体" w:cs="宋体"/>
          <w:sz w:val="24"/>
          <w:szCs w:val="24"/>
          <w:lang w:val="en-US" w:eastAsia="zh-CN"/>
        </w:rPr>
        <w:t>25</w:t>
      </w:r>
      <w:r>
        <w:rPr>
          <w:rFonts w:hint="eastAsia" w:ascii="宋体" w:hAnsi="宋体" w:eastAsia="宋体" w:cs="宋体"/>
          <w:sz w:val="24"/>
          <w:szCs w:val="24"/>
        </w:rPr>
        <w:t>陕西省房屋建筑与装饰工程、通用安装工程、市政工程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园林绿化工程</w:t>
      </w:r>
      <w:r>
        <w:rPr>
          <w:rFonts w:hint="eastAsia" w:ascii="宋体" w:hAnsi="宋体" w:eastAsia="宋体" w:cs="宋体"/>
          <w:sz w:val="24"/>
          <w:szCs w:val="24"/>
          <w:lang w:eastAsia="zh-CN"/>
        </w:rPr>
        <w:t>基价</w:t>
      </w:r>
      <w:r>
        <w:rPr>
          <w:rFonts w:hint="eastAsia" w:ascii="宋体" w:hAnsi="宋体" w:eastAsia="宋体" w:cs="宋体"/>
          <w:sz w:val="24"/>
          <w:szCs w:val="24"/>
        </w:rPr>
        <w:t>表》以及相关配套的取费标准。</w:t>
      </w:r>
    </w:p>
    <w:p w14:paraId="6D6D2BB1">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3.执行陕建发【2019】45号文关于调整增值税税率及综合系数；</w:t>
      </w:r>
    </w:p>
    <w:p w14:paraId="2A4A985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.信息价执行《</w:t>
      </w:r>
      <w:r>
        <w:rPr>
          <w:rFonts w:hint="eastAsia" w:ascii="宋体" w:hAnsi="宋体" w:eastAsia="宋体" w:cs="宋体"/>
          <w:sz w:val="24"/>
          <w:szCs w:val="24"/>
          <w:lang w:val="en-US" w:eastAsia="zh-CN"/>
        </w:rPr>
        <w:t>安康建设工程造价信息</w:t>
      </w:r>
      <w:r>
        <w:rPr>
          <w:rFonts w:hint="eastAsia" w:ascii="宋体" w:hAnsi="宋体" w:eastAsia="宋体" w:cs="宋体"/>
          <w:sz w:val="24"/>
          <w:szCs w:val="24"/>
        </w:rPr>
        <w:t>》20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w:t>
      </w:r>
      <w:r>
        <w:rPr>
          <w:rFonts w:hint="eastAsia" w:ascii="宋体" w:hAnsi="宋体" w:eastAsia="宋体" w:cs="宋体"/>
          <w:sz w:val="24"/>
          <w:szCs w:val="24"/>
        </w:rPr>
        <w:t>期信息价</w:t>
      </w:r>
      <w:r>
        <w:rPr>
          <w:rFonts w:hint="eastAsia" w:ascii="宋体" w:hAnsi="宋体" w:eastAsia="宋体" w:cs="宋体"/>
          <w:sz w:val="24"/>
          <w:szCs w:val="24"/>
          <w:lang w:eastAsia="zh-CN"/>
        </w:rPr>
        <w:t>和</w:t>
      </w:r>
      <w:r>
        <w:rPr>
          <w:rFonts w:hint="eastAsia" w:ascii="宋体" w:hAnsi="宋体" w:eastAsia="宋体" w:cs="宋体"/>
          <w:sz w:val="24"/>
          <w:szCs w:val="24"/>
        </w:rPr>
        <w:t>《陕西工程造价管理信息》20</w:t>
      </w:r>
      <w:r>
        <w:rPr>
          <w:rFonts w:hint="eastAsia" w:ascii="宋体" w:hAnsi="宋体" w:eastAsia="宋体" w:cs="宋体"/>
          <w:sz w:val="24"/>
          <w:szCs w:val="24"/>
          <w:lang w:val="en-US" w:eastAsia="zh-CN"/>
        </w:rPr>
        <w:t>26</w:t>
      </w:r>
      <w:r>
        <w:rPr>
          <w:rFonts w:hint="eastAsia" w:ascii="宋体" w:hAnsi="宋体" w:eastAsia="宋体" w:cs="宋体"/>
          <w:sz w:val="24"/>
          <w:szCs w:val="24"/>
        </w:rPr>
        <w:t>年第</w:t>
      </w:r>
      <w:r>
        <w:rPr>
          <w:rFonts w:hint="eastAsia" w:ascii="宋体" w:hAnsi="宋体" w:eastAsia="宋体" w:cs="宋体"/>
          <w:sz w:val="24"/>
          <w:szCs w:val="24"/>
          <w:lang w:val="en-US" w:eastAsia="zh-CN"/>
        </w:rPr>
        <w:t>5月</w:t>
      </w:r>
      <w:r>
        <w:rPr>
          <w:rFonts w:hint="eastAsia" w:ascii="宋体" w:hAnsi="宋体" w:eastAsia="宋体" w:cs="宋体"/>
          <w:sz w:val="24"/>
          <w:szCs w:val="24"/>
        </w:rPr>
        <w:t>信息价</w:t>
      </w:r>
      <w:r>
        <w:rPr>
          <w:rFonts w:hint="eastAsia" w:ascii="宋体" w:hAnsi="宋体" w:eastAsia="宋体" w:cs="宋体"/>
          <w:sz w:val="24"/>
          <w:szCs w:val="24"/>
          <w:lang w:val="en-US" w:eastAsia="zh-CN"/>
        </w:rPr>
        <w:t>及</w:t>
      </w:r>
      <w:r>
        <w:rPr>
          <w:rFonts w:hint="eastAsia" w:ascii="宋体" w:hAnsi="宋体" w:eastAsia="宋体" w:cs="宋体"/>
          <w:sz w:val="24"/>
          <w:szCs w:val="24"/>
        </w:rPr>
        <w:t>市场调研</w:t>
      </w:r>
      <w:r>
        <w:rPr>
          <w:rFonts w:hint="eastAsia" w:ascii="宋体" w:hAnsi="宋体" w:eastAsia="宋体" w:cs="宋体"/>
          <w:sz w:val="24"/>
          <w:szCs w:val="24"/>
          <w:lang w:eastAsia="zh-CN"/>
        </w:rPr>
        <w:t>；</w:t>
      </w:r>
    </w:p>
    <w:p w14:paraId="3E0A600F">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5.本工程采用广联达GCCP7.0版本编制。</w:t>
      </w:r>
    </w:p>
    <w:p w14:paraId="54DB4A22">
      <w:pPr>
        <w:keepNext w:val="0"/>
        <w:keepLines w:val="0"/>
        <w:pageBreakBefore w:val="0"/>
        <w:widowControl w:val="0"/>
        <w:kinsoku/>
        <w:wordWrap/>
        <w:overflowPunct/>
        <w:topLinePunct w:val="0"/>
        <w:autoSpaceDE w:val="0"/>
        <w:autoSpaceDN w:val="0"/>
        <w:bidi w:val="0"/>
        <w:adjustRightInd w:val="0"/>
        <w:snapToGrid/>
        <w:spacing w:line="460" w:lineRule="exact"/>
        <w:ind w:left="0" w:leftChars="0"/>
        <w:jc w:val="left"/>
        <w:textAlignment w:val="auto"/>
        <w:rPr>
          <w:rFonts w:hint="eastAsia" w:ascii="宋体" w:hAnsi="宋体" w:eastAsia="宋体" w:cs="宋体"/>
          <w:b/>
          <w:sz w:val="24"/>
          <w:szCs w:val="24"/>
        </w:rPr>
      </w:pPr>
      <w:r>
        <w:rPr>
          <w:rFonts w:hint="eastAsia" w:ascii="宋体" w:hAnsi="宋体" w:eastAsia="宋体" w:cs="宋体"/>
          <w:b/>
          <w:sz w:val="24"/>
          <w:szCs w:val="24"/>
        </w:rPr>
        <w:t>四、投标人计价要求</w:t>
      </w:r>
    </w:p>
    <w:p w14:paraId="0C6086BB">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1.投标人应依据《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》规定和招标文件要求进行自主计价。工程量清单计价内容包括分部分项工程费、措施项目费、其它项目费、税金。工程量清单计价以综合单价计价，综合单价应根据《</w:t>
      </w:r>
      <w:r>
        <w:rPr>
          <w:rFonts w:hint="eastAsia" w:ascii="宋体" w:hAnsi="宋体" w:eastAsia="宋体" w:cs="宋体"/>
          <w:sz w:val="24"/>
          <w:szCs w:val="24"/>
          <w:lang w:eastAsia="zh-CN"/>
        </w:rPr>
        <w:t>计价标准</w:t>
      </w:r>
      <w:r>
        <w:rPr>
          <w:rFonts w:hint="eastAsia" w:ascii="宋体" w:hAnsi="宋体" w:eastAsia="宋体" w:cs="宋体"/>
          <w:sz w:val="24"/>
          <w:szCs w:val="24"/>
        </w:rPr>
        <w:t>》的程序组价</w:t>
      </w:r>
      <w:r>
        <w:rPr>
          <w:rFonts w:hint="eastAsia" w:ascii="宋体" w:hAnsi="宋体" w:eastAsia="宋体" w:cs="宋体"/>
          <w:sz w:val="24"/>
          <w:szCs w:val="24"/>
          <w:lang w:eastAsia="zh-CN"/>
        </w:rPr>
        <w:t>；</w:t>
      </w:r>
    </w:p>
    <w:p w14:paraId="67192C19">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2.工程量清单中的每一个项目都需填入单价，对于没有填入单价或总额价的项目，其费用应视为已包括在工程量的其它单价或总额中、承包人必须按设计文件完成工程量清单中未填入单价或总额价的工程项目</w:t>
      </w:r>
      <w:r>
        <w:rPr>
          <w:rFonts w:hint="eastAsia" w:ascii="宋体" w:hAnsi="宋体" w:eastAsia="宋体" w:cs="宋体"/>
          <w:sz w:val="24"/>
          <w:szCs w:val="24"/>
          <w:lang w:eastAsia="zh-CN"/>
        </w:rPr>
        <w:t>；</w:t>
      </w:r>
    </w:p>
    <w:p w14:paraId="505875F7">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3.本工程量清单所提供的工程项目其工程内容仅表达了主要工程做法，报价时各投标单位应依据图纸用料说明、相关图集，结合招标文件、技术规范、图纸等文件来进行组价</w:t>
      </w:r>
      <w:r>
        <w:rPr>
          <w:rFonts w:hint="eastAsia" w:ascii="宋体" w:hAnsi="宋体" w:eastAsia="宋体" w:cs="宋体"/>
          <w:sz w:val="24"/>
          <w:szCs w:val="24"/>
          <w:lang w:eastAsia="zh-CN"/>
        </w:rPr>
        <w:t>；</w:t>
      </w:r>
    </w:p>
    <w:p w14:paraId="7C06054F">
      <w:pPr>
        <w:keepNext w:val="0"/>
        <w:keepLines w:val="0"/>
        <w:pageBreakBefore w:val="0"/>
        <w:widowControl w:val="0"/>
        <w:kinsoku/>
        <w:wordWrap/>
        <w:overflowPunct/>
        <w:topLinePunct w:val="0"/>
        <w:autoSpaceDE w:val="0"/>
        <w:autoSpaceDN w:val="0"/>
        <w:bidi w:val="0"/>
        <w:adjustRightInd w:val="0"/>
        <w:snapToGrid/>
        <w:spacing w:line="46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4.投标人根据《</w:t>
      </w:r>
      <w:r>
        <w:rPr>
          <w:rFonts w:hint="eastAsia" w:ascii="宋体" w:hAnsi="宋体" w:eastAsia="宋体" w:cs="宋体"/>
          <w:sz w:val="24"/>
          <w:szCs w:val="24"/>
          <w:lang w:eastAsia="zh-CN"/>
        </w:rPr>
        <w:t>计价标准</w:t>
      </w:r>
      <w:r>
        <w:rPr>
          <w:rFonts w:hint="eastAsia" w:ascii="宋体" w:hAnsi="宋体" w:eastAsia="宋体" w:cs="宋体"/>
          <w:sz w:val="24"/>
          <w:szCs w:val="24"/>
        </w:rPr>
        <w:t>》规定和投标文件要求格式计价，其中人工费、材料费、机械费，投标人应根据施工组织设计、企业实际情况、市场信息价自主报价。组价时应充分考虑以下因素：人工费、材料费、机械费社会价格浮动因素，自然灾害及停水、停电、停窝工损失等风险费用。</w:t>
      </w:r>
    </w:p>
    <w:p w14:paraId="12D74E92">
      <w:pPr>
        <w:keepNext w:val="0"/>
        <w:keepLines w:val="0"/>
        <w:pageBreakBefore w:val="0"/>
        <w:widowControl w:val="0"/>
        <w:kinsoku/>
        <w:wordWrap/>
        <w:overflowPunct/>
        <w:topLinePunct w:val="0"/>
        <w:autoSpaceDE w:val="0"/>
        <w:autoSpaceDN w:val="0"/>
        <w:bidi w:val="0"/>
        <w:adjustRightInd w:val="0"/>
        <w:snapToGrid/>
        <w:spacing w:line="500" w:lineRule="exact"/>
        <w:ind w:firstLine="560" w:firstLineChars="200"/>
        <w:jc w:val="center"/>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工程量清单</w:t>
      </w:r>
    </w:p>
    <w:p w14:paraId="0663F0F8">
      <w:pPr>
        <w:keepNext w:val="0"/>
        <w:keepLines w:val="0"/>
        <w:pageBreakBefore w:val="0"/>
        <w:widowControl w:val="0"/>
        <w:kinsoku/>
        <w:wordWrap/>
        <w:overflowPunct/>
        <w:topLinePunct w:val="0"/>
        <w:autoSpaceDE w:val="0"/>
        <w:autoSpaceDN w:val="0"/>
        <w:bidi w:val="0"/>
        <w:adjustRightInd w:val="0"/>
        <w:snapToGrid/>
        <w:spacing w:line="240" w:lineRule="auto"/>
        <w:ind w:firstLine="560" w:firstLineChars="200"/>
        <w:jc w:val="left"/>
        <w:textAlignment w:val="auto"/>
        <w:rPr>
          <w:rFonts w:hint="eastAsia" w:ascii="宋体" w:hAnsi="宋体" w:cs="宋体"/>
          <w:b/>
          <w:bCs w:val="0"/>
          <w:color w:val="auto"/>
          <w:kern w:val="2"/>
          <w:sz w:val="36"/>
          <w:szCs w:val="36"/>
          <w:highlight w:val="none"/>
          <w:lang w:val="en-US" w:eastAsia="zh-CN" w:bidi="ar-SA"/>
        </w:rPr>
      </w:pPr>
      <w:r>
        <w:rPr>
          <w:rFonts w:hint="default" w:ascii="宋体" w:hAnsi="宋体" w:eastAsia="宋体" w:cs="宋体"/>
          <w:sz w:val="28"/>
          <w:szCs w:val="28"/>
          <w:lang w:val="en-US" w:eastAsia="zh-CN"/>
        </w:rPr>
        <w:drawing>
          <wp:inline distT="0" distB="0" distL="114300" distR="114300">
            <wp:extent cx="5384165" cy="7621270"/>
            <wp:effectExtent l="0" t="0" r="6985" b="17780"/>
            <wp:docPr id="10" name="图片 10" descr="神河镇台子村食用菌产业发展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神河镇台子村食用菌产业发展项目_02"/>
                    <pic:cNvPicPr>
                      <a:picLocks noChangeAspect="1"/>
                    </pic:cNvPicPr>
                  </pic:nvPicPr>
                  <pic:blipFill>
                    <a:blip r:embed="rId6"/>
                    <a:stretch>
                      <a:fillRect/>
                    </a:stretch>
                  </pic:blipFill>
                  <pic:spPr>
                    <a:xfrm>
                      <a:off x="0" y="0"/>
                      <a:ext cx="5384165" cy="7621270"/>
                    </a:xfrm>
                    <a:prstGeom prst="rect">
                      <a:avLst/>
                    </a:prstGeom>
                  </pic:spPr>
                </pic:pic>
              </a:graphicData>
            </a:graphic>
          </wp:inline>
        </w:drawing>
      </w:r>
      <w:r>
        <w:rPr>
          <w:rFonts w:hint="default" w:ascii="宋体" w:hAnsi="宋体" w:eastAsia="宋体" w:cs="宋体"/>
          <w:sz w:val="28"/>
          <w:szCs w:val="28"/>
          <w:lang w:val="en-US" w:eastAsia="zh-CN"/>
        </w:rPr>
        <w:drawing>
          <wp:inline distT="0" distB="0" distL="114300" distR="114300">
            <wp:extent cx="6165215" cy="8726170"/>
            <wp:effectExtent l="0" t="0" r="6985" b="17780"/>
            <wp:docPr id="9" name="图片 9" descr="神河镇台子村食用菌产业发展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神河镇台子村食用菌产业发展项目_03"/>
                    <pic:cNvPicPr>
                      <a:picLocks noChangeAspect="1"/>
                    </pic:cNvPicPr>
                  </pic:nvPicPr>
                  <pic:blipFill>
                    <a:blip r:embed="rId7"/>
                    <a:stretch>
                      <a:fillRect/>
                    </a:stretch>
                  </pic:blipFill>
                  <pic:spPr>
                    <a:xfrm>
                      <a:off x="0" y="0"/>
                      <a:ext cx="6165215" cy="8726170"/>
                    </a:xfrm>
                    <a:prstGeom prst="rect">
                      <a:avLst/>
                    </a:prstGeom>
                  </pic:spPr>
                </pic:pic>
              </a:graphicData>
            </a:graphic>
          </wp:inline>
        </w:drawing>
      </w:r>
      <w:r>
        <w:rPr>
          <w:rFonts w:hint="default" w:ascii="宋体" w:hAnsi="宋体" w:eastAsia="宋体" w:cs="宋体"/>
          <w:sz w:val="28"/>
          <w:szCs w:val="28"/>
          <w:lang w:val="en-US" w:eastAsia="zh-CN"/>
        </w:rPr>
        <w:drawing>
          <wp:inline distT="0" distB="0" distL="114300" distR="114300">
            <wp:extent cx="6165215" cy="8726170"/>
            <wp:effectExtent l="0" t="0" r="6985" b="17780"/>
            <wp:docPr id="8" name="图片 8" descr="神河镇台子村食用菌产业发展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神河镇台子村食用菌产业发展项目_04"/>
                    <pic:cNvPicPr>
                      <a:picLocks noChangeAspect="1"/>
                    </pic:cNvPicPr>
                  </pic:nvPicPr>
                  <pic:blipFill>
                    <a:blip r:embed="rId8"/>
                    <a:stretch>
                      <a:fillRect/>
                    </a:stretch>
                  </pic:blipFill>
                  <pic:spPr>
                    <a:xfrm>
                      <a:off x="0" y="0"/>
                      <a:ext cx="6165215" cy="8726170"/>
                    </a:xfrm>
                    <a:prstGeom prst="rect">
                      <a:avLst/>
                    </a:prstGeom>
                  </pic:spPr>
                </pic:pic>
              </a:graphicData>
            </a:graphic>
          </wp:inline>
        </w:drawing>
      </w:r>
      <w:r>
        <w:rPr>
          <w:rFonts w:hint="default" w:ascii="宋体" w:hAnsi="宋体" w:eastAsia="宋体" w:cs="宋体"/>
          <w:sz w:val="28"/>
          <w:szCs w:val="28"/>
          <w:lang w:val="en-US" w:eastAsia="zh-CN"/>
        </w:rPr>
        <w:drawing>
          <wp:inline distT="0" distB="0" distL="114300" distR="114300">
            <wp:extent cx="6165215" cy="8726170"/>
            <wp:effectExtent l="0" t="0" r="6985" b="17780"/>
            <wp:docPr id="7" name="图片 7" descr="神河镇台子村食用菌产业发展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神河镇台子村食用菌产业发展项目_05"/>
                    <pic:cNvPicPr>
                      <a:picLocks noChangeAspect="1"/>
                    </pic:cNvPicPr>
                  </pic:nvPicPr>
                  <pic:blipFill>
                    <a:blip r:embed="rId9"/>
                    <a:stretch>
                      <a:fillRect/>
                    </a:stretch>
                  </pic:blipFill>
                  <pic:spPr>
                    <a:xfrm>
                      <a:off x="0" y="0"/>
                      <a:ext cx="6165215" cy="8726170"/>
                    </a:xfrm>
                    <a:prstGeom prst="rect">
                      <a:avLst/>
                    </a:prstGeom>
                  </pic:spPr>
                </pic:pic>
              </a:graphicData>
            </a:graphic>
          </wp:inline>
        </w:drawing>
      </w:r>
    </w:p>
    <w:p w14:paraId="4BC0D871">
      <w:pPr>
        <w:tabs>
          <w:tab w:val="left" w:pos="7920"/>
        </w:tabs>
        <w:spacing w:line="600" w:lineRule="auto"/>
        <w:ind w:firstLine="864" w:firstLineChars="239"/>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第五章  商务条款</w:t>
      </w:r>
    </w:p>
    <w:p w14:paraId="0BD0FFF5">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一、工期</w:t>
      </w:r>
      <w:r>
        <w:rPr>
          <w:rFonts w:hint="eastAsia" w:ascii="宋体" w:hAnsi="宋体" w:eastAsia="宋体" w:cs="宋体"/>
          <w:b w:val="0"/>
          <w:bCs w:val="0"/>
          <w:color w:val="auto"/>
          <w:sz w:val="24"/>
          <w:szCs w:val="24"/>
          <w:highlight w:val="none"/>
          <w:lang w:val="en-US" w:eastAsia="zh-CN"/>
        </w:rPr>
        <w:t>：自合同签订之日起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个日历日。</w:t>
      </w:r>
    </w:p>
    <w:p w14:paraId="46361176">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二、工程范围及</w:t>
      </w:r>
      <w:r>
        <w:rPr>
          <w:rFonts w:hint="eastAsia" w:ascii="宋体" w:hAnsi="宋体" w:eastAsia="宋体" w:cs="宋体"/>
          <w:b/>
          <w:bCs/>
          <w:color w:val="auto"/>
          <w:sz w:val="24"/>
          <w:szCs w:val="24"/>
          <w:highlight w:val="none"/>
        </w:rPr>
        <w:t>质量验收标准</w:t>
      </w:r>
      <w:r>
        <w:rPr>
          <w:rFonts w:hint="eastAsia" w:ascii="宋体" w:hAnsi="宋体" w:eastAsia="宋体" w:cs="宋体"/>
          <w:b/>
          <w:bCs/>
          <w:color w:val="auto"/>
          <w:sz w:val="24"/>
          <w:szCs w:val="24"/>
          <w:highlight w:val="none"/>
          <w:lang w:val="en-US" w:eastAsia="zh-CN"/>
        </w:rPr>
        <w:t>：</w:t>
      </w:r>
    </w:p>
    <w:p w14:paraId="23815E0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神河镇台子村食用菌产业发展项目</w:t>
      </w:r>
      <w:r>
        <w:rPr>
          <w:rFonts w:hint="eastAsia" w:ascii="宋体" w:hAnsi="宋体" w:eastAsia="宋体" w:cs="宋体"/>
          <w:b w:val="0"/>
          <w:bCs w:val="0"/>
          <w:color w:val="auto"/>
          <w:sz w:val="24"/>
          <w:szCs w:val="24"/>
          <w:highlight w:val="none"/>
          <w:lang w:val="en-US" w:eastAsia="zh-CN"/>
        </w:rPr>
        <w:t>（工程量清单全部内容）</w:t>
      </w:r>
    </w:p>
    <w:p w14:paraId="09C418C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2.质量验收标准：合格，须符合国家相关政策执行标准</w:t>
      </w:r>
    </w:p>
    <w:p w14:paraId="03156ACF">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三、技术标准规范</w:t>
      </w:r>
    </w:p>
    <w:p w14:paraId="3A54F6DE">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1、本项目的施工必须符合国家有关工程建设标准强制性条文和建设部关于施工方面现行标准、规范、规程和办法等。</w:t>
      </w:r>
    </w:p>
    <w:p w14:paraId="4DA299A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2、施工单位在施工过程中使用或参考上述标准、规范以外的技术标准、规范时，应征得业主或业主指定的代表人的同意。</w:t>
      </w:r>
    </w:p>
    <w:p w14:paraId="0F01580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3、施工单位在施工中必须使用中华人民共和国《工程建设标准强制性条文》规定的标准、规范。</w:t>
      </w:r>
    </w:p>
    <w:p w14:paraId="5EACAC0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4、建设成果必须通过建设行政主管部门的组织验收。</w:t>
      </w:r>
    </w:p>
    <w:p w14:paraId="7160D773">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四、材料供应与验收</w:t>
      </w:r>
    </w:p>
    <w:p w14:paraId="50DB4DA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1、承包方供应的材料应按合同规定按时、按质、按量供应，必须附有产品合格证或质量检验证书才能用于工程。发包方采用抽检办法责成承包方分批次进行检测，费用由承包方承担。</w:t>
      </w:r>
    </w:p>
    <w:p w14:paraId="085B496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2、因材料质量不合格所造成的损失（包括仓库保管费）由材料采购方负责。 </w:t>
      </w:r>
    </w:p>
    <w:p w14:paraId="0793B33C">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3、根据工程需要，经发包人代表签证，承包方可使用代用材料。因发包方原因使用时，由发包方承担增加的经济支出，因承包方原因使用时，由承包方承担增加的费用。 </w:t>
      </w:r>
    </w:p>
    <w:p w14:paraId="3A65AE2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4、因材料供应不及时造成停工待料时，其停、窝工损失由供货责任方承担。</w:t>
      </w:r>
    </w:p>
    <w:p w14:paraId="0536080D">
      <w:pPr>
        <w:keepNext w:val="0"/>
        <w:keepLines w:val="0"/>
        <w:pageBreakBefore w:val="0"/>
        <w:widowControl w:val="0"/>
        <w:numPr>
          <w:ilvl w:val="0"/>
          <w:numId w:val="0"/>
        </w:numPr>
        <w:kinsoku/>
        <w:wordWrap/>
        <w:overflowPunct/>
        <w:topLinePunct w:val="0"/>
        <w:autoSpaceDE/>
        <w:autoSpaceDN/>
        <w:bidi w:val="0"/>
        <w:adjustRightInd w:val="0"/>
        <w:snapToGrid w:val="0"/>
        <w:spacing w:line="396" w:lineRule="auto"/>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工程质量、技术要求</w:t>
      </w:r>
    </w:p>
    <w:p w14:paraId="375674C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、本工程质量等级要求合格。</w:t>
      </w:r>
    </w:p>
    <w:p w14:paraId="3C44786B">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2、承包方必须按照招标要求及国家现行有关施工验收规范组织施工，建立健全质量保证体系，做到安全生产及文明施工，工程竣工验收质量达不到采购人要求的合格标准，发包方有权罚没质量保证金。</w:t>
      </w:r>
    </w:p>
    <w:p w14:paraId="170AD95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3、本工程所需施工材料、设备均由承包方负责供应，必须满足设计要求和国家有关标准，并应具有合格证等质量证明资料，经发包方人员认定后方可使用。</w:t>
      </w:r>
    </w:p>
    <w:p w14:paraId="33F1E3D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4、各工序应严格按施工组织设计进行质量控制，每道工序完工后，应进行检查，相关专业工种之间应及时进行交接检验，并形成记录。未经检查验收不得进行下一道工序。</w:t>
      </w:r>
    </w:p>
    <w:p w14:paraId="2229FA1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5、工程完工后，承包方应在组织有关人员进行自行检验评定后，向发包人提交工程验收报告及相关施工资料。</w:t>
      </w:r>
    </w:p>
    <w:p w14:paraId="0ADA9FCA">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803F87">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7、服务承诺：要求具有完善的保修服务体系，高效的工作作风，高水平的技术维修人员。</w:t>
      </w:r>
    </w:p>
    <w:p w14:paraId="14086C70">
      <w:pPr>
        <w:keepNext w:val="0"/>
        <w:keepLines w:val="0"/>
        <w:pageBreakBefore w:val="0"/>
        <w:widowControl w:val="0"/>
        <w:kinsoku/>
        <w:wordWrap/>
        <w:overflowPunct/>
        <w:topLinePunct w:val="0"/>
        <w:autoSpaceDE/>
        <w:autoSpaceDN/>
        <w:bidi w:val="0"/>
        <w:adjustRightInd w:val="0"/>
        <w:snapToGrid w:val="0"/>
        <w:spacing w:line="396"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六、工程施工配合要求</w:t>
      </w:r>
    </w:p>
    <w:p w14:paraId="670DEA6D">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1、发包方责任：</w:t>
      </w:r>
    </w:p>
    <w:p w14:paraId="7E8E5381">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负责工程的总体协调和管理；</w:t>
      </w:r>
    </w:p>
    <w:p w14:paraId="4EC6AB7F">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确认承包人的总体方案和施工方案；</w:t>
      </w:r>
    </w:p>
    <w:p w14:paraId="72B7B5D3">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审查承包人的施工人员并办理出入证；</w:t>
      </w:r>
    </w:p>
    <w:p w14:paraId="5F34B628">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协助承包人协调水、电及临时设施等相关事宜，为施工创造条件。</w:t>
      </w:r>
    </w:p>
    <w:p w14:paraId="3912F3B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组织对施工材料及总体工程进行验收。</w:t>
      </w:r>
    </w:p>
    <w:p w14:paraId="4B0F570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2、承包方责任：</w:t>
      </w:r>
    </w:p>
    <w:p w14:paraId="386D8299">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负责工程施工组织设计，并经发包方确认；</w:t>
      </w:r>
    </w:p>
    <w:p w14:paraId="0B0C97F6">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按照响应文件中确定的施工进度计划和工程方案进行施工，确保按期完工，工程计划及进度调整必须征得发包人同意。</w:t>
      </w:r>
    </w:p>
    <w:p w14:paraId="4AB45740">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服从发包方的管理，施工人员必须经发包方审定，遵守发包方的有关规定，服从管理，文明施工。</w:t>
      </w:r>
    </w:p>
    <w:p w14:paraId="6E8C96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负责施工区域内的安全、保卫及消防工作。</w:t>
      </w:r>
    </w:p>
    <w:p w14:paraId="794B4914">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负责交工前的产品保护工作。</w:t>
      </w:r>
    </w:p>
    <w:p w14:paraId="6E858C82">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做好安排，合理调度人员，保证连续施工，确保按期完工。</w:t>
      </w:r>
    </w:p>
    <w:p w14:paraId="3C115665">
      <w:pPr>
        <w:keepNext w:val="0"/>
        <w:keepLines w:val="0"/>
        <w:pageBreakBefore w:val="0"/>
        <w:widowControl w:val="0"/>
        <w:kinsoku/>
        <w:wordWrap/>
        <w:overflowPunct/>
        <w:topLinePunct w:val="0"/>
        <w:autoSpaceDE/>
        <w:autoSpaceDN/>
        <w:bidi w:val="0"/>
        <w:adjustRightInd w:val="0"/>
        <w:snapToGrid w:val="0"/>
        <w:spacing w:line="396"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施工期间水、电等相关事宜的协调及费用由中标单位承担。 </w:t>
      </w:r>
    </w:p>
    <w:p w14:paraId="571117F3">
      <w:pPr>
        <w:spacing w:line="440" w:lineRule="exact"/>
        <w:ind w:firstLine="482" w:firstLineChars="200"/>
        <w:rPr>
          <w:rFonts w:hint="eastAsia" w:ascii="宋体" w:hAnsi="宋体" w:eastAsia="宋体" w:cs="宋体"/>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8E3628E">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1.按《中华人民共和国民法典》中的相关条款执行。</w:t>
      </w:r>
    </w:p>
    <w:p w14:paraId="6CC2B3FF">
      <w:pPr>
        <w:spacing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2.未按合同要求提供工程或工程质量不能满足采购人要求，采购人有权终止合同，同时报请建设行政主管部门对其违约行为进行追究。</w:t>
      </w:r>
    </w:p>
    <w:p w14:paraId="48E98C6D">
      <w:pP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br w:type="page"/>
      </w:r>
    </w:p>
    <w:p w14:paraId="6A439D98">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ind w:firstLine="853" w:firstLineChars="236"/>
        <w:jc w:val="center"/>
        <w:textAlignment w:val="auto"/>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合同条款及格式</w:t>
      </w:r>
    </w:p>
    <w:p w14:paraId="035491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（注：本合同仅供参考，具体条款内容由采购人和中标单位协商确定，但不得改变采购文件、响应文件、中标通知书等实质性内容）</w:t>
      </w:r>
    </w:p>
    <w:p w14:paraId="51CC4210">
      <w:pPr>
        <w:tabs>
          <w:tab w:val="left" w:pos="7920"/>
        </w:tabs>
        <w:spacing w:line="600" w:lineRule="auto"/>
        <w:ind w:firstLine="864" w:firstLineChars="239"/>
        <w:rPr>
          <w:rFonts w:hint="eastAsia" w:ascii="宋体" w:hAnsi="宋体" w:eastAsia="宋体" w:cs="宋体"/>
          <w:b/>
          <w:bCs w:val="0"/>
          <w:color w:val="auto"/>
          <w:kern w:val="2"/>
          <w:sz w:val="36"/>
          <w:szCs w:val="36"/>
          <w:highlight w:val="none"/>
          <w:lang w:val="en-US" w:eastAsia="zh-CN" w:bidi="ar-SA"/>
        </w:rPr>
      </w:pPr>
    </w:p>
    <w:p w14:paraId="058ABC76">
      <w:pPr>
        <w:rPr>
          <w:rFonts w:hint="eastAsia" w:ascii="宋体" w:hAnsi="宋体" w:eastAsia="宋体" w:cs="宋体"/>
          <w:sz w:val="28"/>
          <w:szCs w:val="28"/>
        </w:rPr>
        <w:sectPr>
          <w:footerReference r:id="rId4" w:type="first"/>
          <w:footerReference r:id="rId3"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b/>
          <w:bCs/>
          <w:kern w:val="2"/>
          <w:sz w:val="52"/>
          <w:szCs w:val="52"/>
          <w:u w:val="single"/>
          <w:lang w:val="en-US" w:eastAsia="zh-CN"/>
        </w:rPr>
        <w:br w:type="page"/>
      </w:r>
      <w:bookmarkStart w:id="44" w:name="_Toc296503025"/>
      <w:bookmarkStart w:id="45" w:name="_Toc296890982"/>
      <w:bookmarkStart w:id="46" w:name="_Toc351203480"/>
    </w:p>
    <w:bookmarkEnd w:id="44"/>
    <w:bookmarkEnd w:id="45"/>
    <w:bookmarkEnd w:id="46"/>
    <w:p w14:paraId="565BAB95">
      <w:pPr>
        <w:spacing w:line="254" w:lineRule="auto"/>
        <w:rPr>
          <w:rFonts w:hint="eastAsia" w:ascii="宋体" w:hAnsi="宋体" w:eastAsia="宋体" w:cs="宋体"/>
          <w:sz w:val="21"/>
        </w:rPr>
      </w:pPr>
    </w:p>
    <w:p w14:paraId="7208BAE1">
      <w:pPr>
        <w:jc w:val="center"/>
        <w:rPr>
          <w:rFonts w:hint="eastAsia"/>
          <w:b/>
          <w:bCs/>
          <w:sz w:val="52"/>
          <w:szCs w:val="52"/>
          <w:lang w:eastAsia="zh-CN"/>
        </w:rPr>
      </w:pPr>
      <w:r>
        <w:rPr>
          <w:rFonts w:hint="eastAsia"/>
          <w:b/>
          <w:bCs/>
          <w:sz w:val="52"/>
          <w:szCs w:val="52"/>
          <w:lang w:eastAsia="zh-CN"/>
        </w:rPr>
        <w:t>合同主要条款</w:t>
      </w:r>
    </w:p>
    <w:p w14:paraId="38F8CA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8"/>
          <w:szCs w:val="28"/>
          <w:lang w:eastAsia="zh-CN"/>
        </w:rPr>
        <w:t>（</w:t>
      </w:r>
      <w:r>
        <w:rPr>
          <w:rFonts w:hint="eastAsia"/>
          <w:sz w:val="24"/>
          <w:szCs w:val="24"/>
          <w:lang w:eastAsia="zh-CN"/>
        </w:rPr>
        <w:t>本合同仅供参考，合同签订双方可根据项目具体情况进行调整）</w:t>
      </w:r>
    </w:p>
    <w:p w14:paraId="532F56E2">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lang w:eastAsia="zh-CN"/>
        </w:rPr>
        <w:t>承包范围：</w:t>
      </w:r>
    </w:p>
    <w:p w14:paraId="040323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lang w:eastAsia="zh-CN"/>
        </w:rPr>
        <w:t>工期：</w:t>
      </w:r>
      <w:r>
        <w:rPr>
          <w:rFonts w:hint="eastAsia"/>
          <w:sz w:val="24"/>
          <w:szCs w:val="24"/>
          <w:lang w:val="en-US" w:eastAsia="zh-CN"/>
        </w:rPr>
        <w:t xml:space="preserve">签订合同后 </w:t>
      </w:r>
      <w:r>
        <w:rPr>
          <w:rFonts w:hint="eastAsia"/>
          <w:sz w:val="24"/>
          <w:szCs w:val="24"/>
          <w:u w:val="single"/>
          <w:lang w:val="en-US" w:eastAsia="zh-CN"/>
        </w:rPr>
        <w:t xml:space="preserve">    </w:t>
      </w:r>
      <w:r>
        <w:rPr>
          <w:rFonts w:hint="eastAsia"/>
          <w:sz w:val="24"/>
          <w:szCs w:val="24"/>
          <w:u w:val="none"/>
          <w:lang w:val="en-US" w:eastAsia="zh-CN"/>
        </w:rPr>
        <w:t xml:space="preserve"> 日历天内。</w:t>
      </w:r>
    </w:p>
    <w:p w14:paraId="15085A6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工程质量：合格</w:t>
      </w:r>
    </w:p>
    <w:p w14:paraId="3739824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承发包方式：包公包料、包工期、包质量、包安全文明施工的施工总承包。</w:t>
      </w:r>
    </w:p>
    <w:p w14:paraId="05B0A60D">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本工程严禁转包，不得肢解分包。</w:t>
      </w:r>
    </w:p>
    <w:p w14:paraId="7C7DF50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u w:val="none"/>
          <w:lang w:val="en-US" w:eastAsia="zh-CN"/>
        </w:rPr>
      </w:pPr>
      <w:r>
        <w:rPr>
          <w:rFonts w:hint="eastAsia"/>
          <w:sz w:val="24"/>
          <w:szCs w:val="24"/>
          <w:u w:val="none"/>
          <w:lang w:val="en-US" w:eastAsia="zh-CN"/>
        </w:rPr>
        <w:t>适用法律和法规：《中华人民共和国建筑法》、《中华人民共和国合同法》、《中华人民共和国政府采购法》、国务院《建设工程质量管理条例》、国务院《建设工程安全生产管理条例》等国家、地方部门有关法律法规。</w:t>
      </w:r>
    </w:p>
    <w:p w14:paraId="3D5A1FA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安全生产</w:t>
      </w:r>
    </w:p>
    <w:p w14:paraId="42990D5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787B8CA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80" w:firstLineChars="200"/>
        <w:textAlignment w:val="auto"/>
        <w:rPr>
          <w:rFonts w:hint="eastAsia"/>
          <w:sz w:val="24"/>
          <w:szCs w:val="24"/>
          <w:u w:val="none"/>
          <w:lang w:val="en-US" w:eastAsia="zh-CN"/>
        </w:rPr>
      </w:pPr>
      <w:r>
        <w:rPr>
          <w:rFonts w:hint="eastAsia"/>
          <w:sz w:val="24"/>
          <w:szCs w:val="24"/>
          <w:u w:val="none"/>
          <w:lang w:val="en-US" w:eastAsia="zh-CN"/>
        </w:rPr>
        <w:t>2、乙方为实施本合同工程所需人员、机械设备及其它物品向保险公司足额投保，保险费用纳入工程总价之中，由乙方支付。</w:t>
      </w:r>
    </w:p>
    <w:p w14:paraId="062936E0">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合同价款、支付、调整及竣工结算</w:t>
      </w:r>
    </w:p>
    <w:p w14:paraId="596C5728">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本工程合同价款为：</w:t>
      </w:r>
    </w:p>
    <w:p w14:paraId="0B04CD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大写：</w:t>
      </w:r>
      <w:r>
        <w:rPr>
          <w:rFonts w:hint="eastAsia"/>
          <w:sz w:val="24"/>
          <w:szCs w:val="24"/>
          <w:u w:val="single"/>
          <w:lang w:val="en-US" w:eastAsia="zh-CN"/>
        </w:rPr>
        <w:t xml:space="preserve">                  </w:t>
      </w:r>
      <w:r>
        <w:rPr>
          <w:rFonts w:hint="eastAsia"/>
          <w:sz w:val="24"/>
          <w:szCs w:val="24"/>
          <w:u w:val="none"/>
          <w:lang w:val="en-US" w:eastAsia="zh-CN"/>
        </w:rPr>
        <w:t>人民币；（</w:t>
      </w:r>
      <w:r>
        <w:rPr>
          <w:rFonts w:hint="default" w:ascii="Arial" w:hAnsi="Arial" w:cs="Arial"/>
          <w:sz w:val="24"/>
          <w:szCs w:val="24"/>
          <w:u w:val="none"/>
          <w:lang w:val="en-US" w:eastAsia="zh-CN"/>
        </w:rPr>
        <w:t>¥</w:t>
      </w:r>
      <w:r>
        <w:rPr>
          <w:rFonts w:hint="eastAsia" w:asciiTheme="minorEastAsia" w:hAnsiTheme="minorEastAsia" w:cstheme="minorEastAsia"/>
          <w:sz w:val="24"/>
          <w:szCs w:val="24"/>
          <w:u w:val="none"/>
          <w:lang w:val="en-US" w:eastAsia="zh-CN"/>
        </w:rPr>
        <w:t>：</w:t>
      </w:r>
      <w:r>
        <w:rPr>
          <w:rFonts w:hint="eastAsia"/>
          <w:sz w:val="24"/>
          <w:szCs w:val="24"/>
          <w:u w:val="single"/>
          <w:lang w:val="en-US" w:eastAsia="zh-CN"/>
        </w:rPr>
        <w:t xml:space="preserve">            </w:t>
      </w:r>
      <w:r>
        <w:rPr>
          <w:rFonts w:hint="eastAsia"/>
          <w:sz w:val="24"/>
          <w:szCs w:val="24"/>
          <w:u w:val="none"/>
          <w:lang w:val="en-US" w:eastAsia="zh-CN"/>
        </w:rPr>
        <w:t>元）。</w:t>
      </w:r>
    </w:p>
    <w:p w14:paraId="4027E222">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u w:val="none"/>
          <w:lang w:val="en-US" w:eastAsia="zh-CN"/>
        </w:rPr>
      </w:pPr>
      <w:r>
        <w:rPr>
          <w:rFonts w:hint="eastAsia"/>
          <w:sz w:val="24"/>
          <w:szCs w:val="24"/>
          <w:u w:val="none"/>
          <w:lang w:val="en-US" w:eastAsia="zh-CN"/>
        </w:rPr>
        <w:t>工程款的支付</w:t>
      </w:r>
    </w:p>
    <w:p w14:paraId="1D7ACF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按工程进度拨付工程款，具体以合同约定。</w:t>
      </w:r>
    </w:p>
    <w:p w14:paraId="5A29106A">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合同价款的调整</w:t>
      </w:r>
    </w:p>
    <w:p w14:paraId="2AB169C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3.1承包人在报价时已考虑了施工期间可能出现的政策、施工环境和市场的变化可能影响工程造价的因素，除发生下述情况按实调整外，承包人不得再以其他任何原因提出调整工程造价。</w:t>
      </w:r>
    </w:p>
    <w:p w14:paraId="56EBA1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3.1.1发包人工地代表确认的工程量增减</w:t>
      </w:r>
    </w:p>
    <w:p w14:paraId="12CAE82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3.1.1发包人工地代表确认的涉及变更或工程洽谈</w:t>
      </w:r>
    </w:p>
    <w:p w14:paraId="00DCF7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3.2合同价款调整计算办法</w:t>
      </w:r>
    </w:p>
    <w:p w14:paraId="3EC3F98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 w:val="24"/>
          <w:szCs w:val="24"/>
          <w:u w:val="none"/>
          <w:lang w:val="en-US" w:eastAsia="zh-CN"/>
        </w:rPr>
      </w:pPr>
      <w:r>
        <w:rPr>
          <w:rFonts w:hint="eastAsia"/>
          <w:sz w:val="24"/>
          <w:szCs w:val="24"/>
          <w:u w:val="none"/>
          <w:lang w:val="en-US" w:eastAsia="zh-CN"/>
        </w:rPr>
        <w:t>发包人指定或暂定单价的材料和设备，按发包人现场签署的认质认价单进行合同价款的调整；但承包人投标时根据市场行情自主报价的材料和设备的实际采购价格与原报价有差异的不予调整。</w:t>
      </w:r>
    </w:p>
    <w:p w14:paraId="05E1F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4、竣工结算</w:t>
      </w:r>
    </w:p>
    <w:p w14:paraId="23FB1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4.1 工程通过竣工验收并交付使用后承包人与发包人递交竣工结算报告及完整的结算资料，发包人收到承包人递交的竣工结算报告及完整的结算资料后进行初审，并提出修改意见。</w:t>
      </w:r>
    </w:p>
    <w:p w14:paraId="0CCCDF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sz w:val="24"/>
          <w:szCs w:val="24"/>
          <w:u w:val="none"/>
          <w:lang w:val="en-US" w:eastAsia="zh-CN"/>
        </w:rPr>
      </w:pPr>
      <w:r>
        <w:rPr>
          <w:rFonts w:hint="eastAsia"/>
          <w:sz w:val="24"/>
          <w:szCs w:val="24"/>
          <w:u w:val="none"/>
          <w:lang w:val="en-US" w:eastAsia="zh-CN"/>
        </w:rPr>
        <w:t>4.2 审计或造价咨询机构对工程竣工价款的最终审定应在双方对初审结论达成共识后；工程竣工结算价款经审计或造价咨询机构审核确定后，按以上工程款支付方式支付</w:t>
      </w:r>
    </w:p>
    <w:p w14:paraId="764AEC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u w:val="none"/>
          <w:lang w:val="en-US" w:eastAsia="zh-CN"/>
        </w:rPr>
      </w:pPr>
      <w:r>
        <w:rPr>
          <w:rFonts w:hint="eastAsia"/>
          <w:sz w:val="24"/>
          <w:szCs w:val="24"/>
          <w:u w:val="none"/>
          <w:lang w:val="en-US" w:eastAsia="zh-CN"/>
        </w:rPr>
        <w:t>九、承包人采购的材料、设备均应满足设计和规范要求的质量等级和环保要求，并应向发包人和监理机构提供产品合格证明和检验资料，因材料质量引起的工程质量、环境污染问题，由承包人承担所造成的一切损失。</w:t>
      </w:r>
    </w:p>
    <w:p w14:paraId="7B1CB6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甲方（签章）：</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乙方（签章）</w:t>
      </w:r>
    </w:p>
    <w:p w14:paraId="21ABAE2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Arial" w:hAnsi="Arial" w:eastAsia="宋体" w:cs="Arial"/>
          <w:i w:val="0"/>
          <w:caps w:val="0"/>
          <w:color w:val="333333"/>
          <w:spacing w:val="0"/>
          <w:sz w:val="24"/>
          <w:szCs w:val="24"/>
          <w:lang w:val="en-US" w:eastAsia="zh-CN"/>
        </w:rPr>
      </w:pP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日期： 年</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 xml:space="preserve"> 月 </w:t>
      </w:r>
      <w:r>
        <w:rPr>
          <w:rFonts w:hint="eastAsia" w:ascii="Arial" w:hAnsi="Arial" w:cs="Arial"/>
          <w:i w:val="0"/>
          <w:caps w:val="0"/>
          <w:color w:val="333333"/>
          <w:spacing w:val="0"/>
          <w:sz w:val="24"/>
          <w:szCs w:val="24"/>
          <w:shd w:val="clear" w:color="auto" w:fill="FFFFFF"/>
          <w:lang w:val="en-US" w:eastAsia="zh-CN"/>
        </w:rPr>
        <w:t xml:space="preserve"> </w:t>
      </w:r>
      <w:r>
        <w:rPr>
          <w:rFonts w:hint="default" w:ascii="Arial" w:hAnsi="Arial" w:cs="Arial"/>
          <w:i w:val="0"/>
          <w:caps w:val="0"/>
          <w:color w:val="333333"/>
          <w:spacing w:val="0"/>
          <w:sz w:val="24"/>
          <w:szCs w:val="24"/>
          <w:shd w:val="clear" w:color="auto" w:fill="FFFFFF"/>
        </w:rPr>
        <w:t>日</w:t>
      </w:r>
    </w:p>
    <w:p w14:paraId="1CEBCF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Arial" w:hAnsi="Arial" w:cs="Arial"/>
          <w:i w:val="0"/>
          <w:caps w:val="0"/>
          <w:color w:val="333333"/>
          <w:spacing w:val="0"/>
          <w:sz w:val="24"/>
          <w:szCs w:val="24"/>
        </w:rPr>
      </w:pPr>
      <w:r>
        <w:rPr>
          <w:rFonts w:hint="default" w:ascii="Arial" w:hAnsi="Arial" w:cs="Arial"/>
          <w:i w:val="0"/>
          <w:caps w:val="0"/>
          <w:color w:val="333333"/>
          <w:spacing w:val="0"/>
          <w:sz w:val="24"/>
          <w:szCs w:val="24"/>
          <w:shd w:val="clear" w:color="auto" w:fill="FFFFFF"/>
        </w:rPr>
        <w:t>合同签订地：</w:t>
      </w:r>
    </w:p>
    <w:p w14:paraId="63B3F620">
      <w:pPr>
        <w:rPr>
          <w:rFonts w:hint="eastAsia" w:ascii="宋体" w:hAnsi="宋体" w:eastAsia="宋体" w:cs="宋体"/>
          <w:sz w:val="24"/>
          <w:szCs w:val="24"/>
        </w:rPr>
      </w:pPr>
    </w:p>
    <w:p w14:paraId="2DEB01DA">
      <w:pPr>
        <w:rPr>
          <w:rFonts w:hint="eastAsia" w:ascii="宋体" w:hAnsi="宋体" w:eastAsia="宋体" w:cs="宋体"/>
          <w:sz w:val="24"/>
          <w:szCs w:val="24"/>
        </w:rPr>
      </w:pPr>
      <w:r>
        <w:rPr>
          <w:rFonts w:hint="eastAsia" w:ascii="宋体" w:hAnsi="宋体" w:eastAsia="宋体" w:cs="宋体"/>
          <w:sz w:val="24"/>
          <w:szCs w:val="24"/>
        </w:rPr>
        <w:br w:type="page"/>
      </w:r>
    </w:p>
    <w:p w14:paraId="57064202">
      <w:pPr>
        <w:ind w:firstLine="480" w:firstLineChars="200"/>
        <w:rPr>
          <w:rFonts w:hint="eastAsia" w:ascii="宋体" w:hAnsi="宋体" w:eastAsia="宋体" w:cs="宋体"/>
          <w:sz w:val="24"/>
          <w:szCs w:val="24"/>
        </w:rPr>
      </w:pPr>
    </w:p>
    <w:p w14:paraId="35D1EFC5">
      <w:pPr>
        <w:rPr>
          <w:rFonts w:hint="eastAsia" w:ascii="宋体" w:hAnsi="宋体" w:eastAsia="宋体" w:cs="宋体"/>
          <w:color w:val="333333"/>
          <w:sz w:val="30"/>
          <w:szCs w:val="30"/>
          <w:u w:val="none"/>
        </w:rPr>
      </w:pPr>
    </w:p>
    <w:p w14:paraId="51FE8445">
      <w:pPr>
        <w:numPr>
          <w:ilvl w:val="0"/>
          <w:numId w:val="6"/>
        </w:numPr>
        <w:ind w:left="0" w:leftChars="0" w:firstLine="853" w:firstLineChars="236"/>
        <w:jc w:val="center"/>
        <w:rPr>
          <w:rFonts w:hint="eastAsia" w:ascii="宋体" w:hAnsi="宋体" w:eastAsia="宋体" w:cs="宋体"/>
          <w:b/>
          <w:bCs w:val="0"/>
          <w:color w:val="auto"/>
          <w:kern w:val="2"/>
          <w:sz w:val="36"/>
          <w:szCs w:val="36"/>
          <w:highlight w:val="none"/>
          <w:lang w:val="en-US" w:eastAsia="zh-CN" w:bidi="ar-SA"/>
        </w:rPr>
      </w:pPr>
      <w:r>
        <w:rPr>
          <w:rFonts w:hint="eastAsia" w:ascii="宋体" w:hAnsi="宋体" w:eastAsia="宋体" w:cs="宋体"/>
          <w:b/>
          <w:bCs w:val="0"/>
          <w:color w:val="auto"/>
          <w:kern w:val="2"/>
          <w:sz w:val="36"/>
          <w:szCs w:val="36"/>
          <w:highlight w:val="none"/>
          <w:lang w:val="en-US" w:eastAsia="zh-CN" w:bidi="ar-SA"/>
        </w:rPr>
        <w:t>磋商响应文件格式</w:t>
      </w:r>
    </w:p>
    <w:p w14:paraId="3777238E">
      <w:pPr>
        <w:keepNext w:val="0"/>
        <w:keepLines w:val="0"/>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bCs w:val="0"/>
          <w:color w:val="auto"/>
          <w:kern w:val="2"/>
          <w:sz w:val="32"/>
          <w:szCs w:val="32"/>
          <w:highlight w:val="none"/>
          <w:lang w:val="en-US" w:eastAsia="zh-CN" w:bidi="ar-SA"/>
        </w:rPr>
      </w:pPr>
    </w:p>
    <w:p w14:paraId="4DCD505D">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r>
        <w:rPr>
          <w:rFonts w:hint="eastAsia" w:ascii="宋体" w:hAnsi="宋体" w:cs="宋体"/>
          <w:b w:val="0"/>
          <w:bCs/>
          <w:color w:val="auto"/>
          <w:sz w:val="52"/>
          <w:szCs w:val="52"/>
          <w:highlight w:val="none"/>
          <w:lang w:eastAsia="zh-CN"/>
        </w:rPr>
        <w:t>神河镇台子村食用菌产业发展项目</w:t>
      </w:r>
    </w:p>
    <w:p w14:paraId="1541DDD6">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63CE0D8E">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cs="宋体"/>
          <w:b w:val="0"/>
          <w:bCs/>
          <w:color w:val="auto"/>
          <w:sz w:val="52"/>
          <w:szCs w:val="52"/>
          <w:highlight w:val="none"/>
          <w:lang w:eastAsia="zh-CN"/>
        </w:rPr>
      </w:pPr>
    </w:p>
    <w:p w14:paraId="38E11592">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56"/>
          <w:szCs w:val="56"/>
          <w:highlight w:val="none"/>
          <w:lang w:eastAsia="zh-CN"/>
        </w:rPr>
        <w:t>磋商响应</w:t>
      </w:r>
      <w:r>
        <w:rPr>
          <w:rFonts w:hint="eastAsia" w:ascii="宋体" w:hAnsi="宋体" w:eastAsia="宋体" w:cs="宋体"/>
          <w:b w:val="0"/>
          <w:bCs/>
          <w:color w:val="auto"/>
          <w:sz w:val="56"/>
          <w:szCs w:val="56"/>
          <w:highlight w:val="none"/>
        </w:rPr>
        <w:t>文件</w:t>
      </w:r>
    </w:p>
    <w:p w14:paraId="70BBDD93">
      <w:pPr>
        <w:spacing w:line="440" w:lineRule="exact"/>
        <w:jc w:val="center"/>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sz w:val="28"/>
          <w:szCs w:val="28"/>
          <w:highlight w:val="none"/>
        </w:rPr>
        <w:t>项目编号：</w:t>
      </w:r>
      <w:r>
        <w:rPr>
          <w:rFonts w:hint="eastAsia" w:ascii="宋体" w:hAnsi="宋体" w:cs="宋体"/>
          <w:b w:val="0"/>
          <w:bCs/>
          <w:color w:val="auto"/>
          <w:sz w:val="28"/>
          <w:szCs w:val="28"/>
          <w:highlight w:val="none"/>
          <w:lang w:eastAsia="zh-CN"/>
        </w:rPr>
        <w:t>SXFD20260615005</w:t>
      </w:r>
    </w:p>
    <w:p w14:paraId="5123B653">
      <w:pPr>
        <w:spacing w:line="440" w:lineRule="exact"/>
        <w:jc w:val="center"/>
        <w:rPr>
          <w:rFonts w:hint="eastAsia" w:ascii="宋体" w:hAnsi="宋体" w:eastAsia="宋体" w:cs="宋体"/>
          <w:b w:val="0"/>
          <w:bCs/>
          <w:color w:val="auto"/>
          <w:highlight w:val="none"/>
          <w:lang w:eastAsia="zh-CN"/>
        </w:rPr>
      </w:pPr>
    </w:p>
    <w:p w14:paraId="1FA4E367">
      <w:pPr>
        <w:spacing w:line="440" w:lineRule="exact"/>
        <w:rPr>
          <w:rFonts w:hint="eastAsia" w:ascii="宋体" w:hAnsi="宋体" w:eastAsia="宋体" w:cs="宋体"/>
          <w:b w:val="0"/>
          <w:bCs/>
          <w:color w:val="auto"/>
          <w:sz w:val="160"/>
          <w:szCs w:val="56"/>
          <w:highlight w:val="none"/>
        </w:rPr>
      </w:pPr>
    </w:p>
    <w:p w14:paraId="11643015">
      <w:pPr>
        <w:spacing w:line="240" w:lineRule="auto"/>
        <w:rPr>
          <w:rFonts w:hint="eastAsia" w:ascii="宋体" w:hAnsi="宋体" w:eastAsia="宋体" w:cs="宋体"/>
          <w:b w:val="0"/>
          <w:bCs/>
          <w:color w:val="auto"/>
          <w:sz w:val="21"/>
          <w:szCs w:val="15"/>
          <w:highlight w:val="none"/>
        </w:rPr>
      </w:pPr>
    </w:p>
    <w:p w14:paraId="5C9E2819">
      <w:pPr>
        <w:pStyle w:val="7"/>
        <w:rPr>
          <w:rFonts w:hint="eastAsia" w:ascii="宋体" w:hAnsi="宋体" w:eastAsia="宋体" w:cs="宋体"/>
          <w:b w:val="0"/>
          <w:bCs/>
          <w:color w:val="auto"/>
          <w:sz w:val="52"/>
          <w:szCs w:val="15"/>
          <w:highlight w:val="none"/>
        </w:rPr>
      </w:pPr>
    </w:p>
    <w:p w14:paraId="09EF45B6">
      <w:pPr>
        <w:spacing w:line="240" w:lineRule="auto"/>
        <w:rPr>
          <w:rFonts w:hint="eastAsia" w:ascii="宋体" w:hAnsi="宋体" w:eastAsia="宋体" w:cs="宋体"/>
          <w:b w:val="0"/>
          <w:bCs/>
          <w:color w:val="auto"/>
          <w:sz w:val="21"/>
          <w:szCs w:val="15"/>
          <w:highlight w:val="none"/>
        </w:rPr>
      </w:pPr>
    </w:p>
    <w:p w14:paraId="4E596B87">
      <w:pPr>
        <w:rPr>
          <w:rFonts w:hint="eastAsia" w:ascii="宋体" w:hAnsi="宋体" w:eastAsia="宋体" w:cs="宋体"/>
          <w:b w:val="0"/>
          <w:bCs/>
          <w:color w:val="auto"/>
          <w:highlight w:val="none"/>
        </w:rPr>
      </w:pPr>
    </w:p>
    <w:p w14:paraId="1BDF039D">
      <w:pPr>
        <w:spacing w:line="440" w:lineRule="exact"/>
        <w:rPr>
          <w:rFonts w:hint="eastAsia" w:ascii="宋体" w:hAnsi="宋体" w:eastAsia="宋体" w:cs="宋体"/>
          <w:b w:val="0"/>
          <w:bCs/>
          <w:color w:val="auto"/>
          <w:highlight w:val="none"/>
        </w:rPr>
      </w:pPr>
    </w:p>
    <w:p w14:paraId="2F0B4BE7">
      <w:pPr>
        <w:spacing w:line="480" w:lineRule="auto"/>
        <w:ind w:firstLine="1280" w:firstLineChars="400"/>
        <w:rPr>
          <w:rFonts w:hint="eastAsia" w:ascii="宋体" w:hAnsi="宋体" w:eastAsia="宋体" w:cs="宋体"/>
          <w:b w:val="0"/>
          <w:bCs/>
          <w:color w:val="auto"/>
          <w:sz w:val="32"/>
          <w:szCs w:val="18"/>
          <w:highlight w:val="none"/>
          <w:lang w:eastAsia="zh-CN"/>
        </w:rPr>
      </w:pPr>
    </w:p>
    <w:p w14:paraId="369A01BB">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lang w:eastAsia="zh-CN"/>
        </w:rPr>
        <w:t>供</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应</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lang w:eastAsia="zh-CN"/>
        </w:rPr>
        <w:t>商</w:t>
      </w:r>
      <w:r>
        <w:rPr>
          <w:rFonts w:hint="eastAsia" w:ascii="宋体" w:hAnsi="宋体" w:eastAsia="宋体" w:cs="宋体"/>
          <w:b w:val="0"/>
          <w:bCs/>
          <w:color w:val="auto"/>
          <w:sz w:val="32"/>
          <w:szCs w:val="18"/>
          <w:highlight w:val="none"/>
        </w:rPr>
        <w:t>：</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（盖章）</w:t>
      </w:r>
    </w:p>
    <w:p w14:paraId="1F94B3B4">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法定代表人或委托人：</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eastAsia="zh-CN"/>
        </w:rPr>
        <w:t>（签字或盖章）</w:t>
      </w:r>
    </w:p>
    <w:p w14:paraId="69B8DB71">
      <w:pPr>
        <w:spacing w:line="480" w:lineRule="auto"/>
        <w:ind w:firstLine="1280" w:firstLineChars="400"/>
        <w:rPr>
          <w:rFonts w:hint="eastAsia" w:ascii="宋体" w:hAnsi="宋体" w:eastAsia="宋体" w:cs="宋体"/>
          <w:b w:val="0"/>
          <w:bCs/>
          <w:color w:val="auto"/>
          <w:sz w:val="32"/>
          <w:szCs w:val="18"/>
          <w:highlight w:val="none"/>
          <w:u w:val="single"/>
        </w:rPr>
      </w:pPr>
      <w:r>
        <w:rPr>
          <w:rFonts w:hint="eastAsia" w:ascii="宋体" w:hAnsi="宋体" w:eastAsia="宋体" w:cs="宋体"/>
          <w:b w:val="0"/>
          <w:bCs/>
          <w:color w:val="auto"/>
          <w:sz w:val="32"/>
          <w:szCs w:val="18"/>
          <w:highlight w:val="none"/>
        </w:rPr>
        <w:t>时</w:t>
      </w:r>
      <w:r>
        <w:rPr>
          <w:rFonts w:hint="eastAsia" w:ascii="宋体" w:hAnsi="宋体" w:eastAsia="宋体" w:cs="宋体"/>
          <w:b w:val="0"/>
          <w:bCs/>
          <w:color w:val="auto"/>
          <w:sz w:val="32"/>
          <w:szCs w:val="18"/>
          <w:highlight w:val="none"/>
          <w:lang w:val="en-US" w:eastAsia="zh-CN"/>
        </w:rPr>
        <w:t xml:space="preserve">    </w:t>
      </w:r>
      <w:r>
        <w:rPr>
          <w:rFonts w:hint="eastAsia" w:ascii="宋体" w:hAnsi="宋体" w:eastAsia="宋体" w:cs="宋体"/>
          <w:b w:val="0"/>
          <w:bCs/>
          <w:color w:val="auto"/>
          <w:sz w:val="32"/>
          <w:szCs w:val="18"/>
          <w:highlight w:val="none"/>
        </w:rPr>
        <w:t>间：</w:t>
      </w:r>
      <w:r>
        <w:rPr>
          <w:rFonts w:hint="eastAsia" w:ascii="宋体" w:hAnsi="宋体" w:eastAsia="宋体" w:cs="宋体"/>
          <w:b w:val="0"/>
          <w:bCs/>
          <w:color w:val="auto"/>
          <w:sz w:val="32"/>
          <w:szCs w:val="18"/>
          <w:highlight w:val="none"/>
          <w:u w:val="single"/>
        </w:rPr>
        <w:t xml:space="preserve">             </w:t>
      </w:r>
      <w:r>
        <w:rPr>
          <w:rFonts w:hint="eastAsia" w:ascii="宋体" w:hAnsi="宋体" w:eastAsia="宋体" w:cs="宋体"/>
          <w:b w:val="0"/>
          <w:bCs/>
          <w:color w:val="auto"/>
          <w:sz w:val="32"/>
          <w:szCs w:val="18"/>
          <w:highlight w:val="none"/>
          <w:u w:val="single"/>
          <w:lang w:val="en-US" w:eastAsia="zh-CN"/>
        </w:rPr>
        <w:t xml:space="preserve">         </w:t>
      </w:r>
      <w:r>
        <w:rPr>
          <w:rFonts w:hint="eastAsia" w:ascii="宋体" w:hAnsi="宋体" w:eastAsia="宋体" w:cs="宋体"/>
          <w:b w:val="0"/>
          <w:bCs/>
          <w:color w:val="auto"/>
          <w:sz w:val="32"/>
          <w:szCs w:val="18"/>
          <w:highlight w:val="none"/>
          <w:u w:val="single"/>
        </w:rPr>
        <w:t xml:space="preserve">       </w:t>
      </w:r>
    </w:p>
    <w:p w14:paraId="42181972">
      <w:pPr>
        <w:pageBreakBefore w:val="0"/>
        <w:kinsoku/>
        <w:overflowPunct/>
        <w:topLinePunct w:val="0"/>
        <w:bidi w:val="0"/>
        <w:spacing w:line="480" w:lineRule="exact"/>
        <w:ind w:left="0" w:leftChars="0" w:right="0" w:rightChars="0" w:firstLine="56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4CBAA6A">
      <w:pPr>
        <w:pageBreakBefore w:val="0"/>
        <w:kinsoku/>
        <w:overflowPunct/>
        <w:topLinePunct w:val="0"/>
        <w:bidi w:val="0"/>
        <w:spacing w:line="480" w:lineRule="exact"/>
        <w:ind w:right="0" w:rightChars="0"/>
        <w:jc w:val="center"/>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u w:val="none"/>
          <w:lang w:val="en-US" w:eastAsia="zh-CN"/>
        </w:rPr>
        <w:t>一、磋商响应函</w:t>
      </w:r>
    </w:p>
    <w:p w14:paraId="59EF7CB0">
      <w:pPr>
        <w:pageBreakBefore w:val="0"/>
        <w:kinsoku/>
        <w:overflowPunct/>
        <w:topLinePunct w:val="0"/>
        <w:bidi w:val="0"/>
        <w:spacing w:line="480" w:lineRule="exact"/>
        <w:ind w:right="0" w:rightChars="0"/>
        <w:jc w:val="left"/>
        <w:rPr>
          <w:rFonts w:hint="eastAsia" w:ascii="宋体" w:hAnsi="宋体" w:eastAsia="宋体" w:cs="宋体"/>
          <w:color w:val="auto"/>
          <w:highlight w:val="none"/>
        </w:rPr>
      </w:pPr>
      <w:r>
        <w:rPr>
          <w:rFonts w:hint="eastAsia" w:ascii="宋体" w:hAnsi="宋体" w:cs="宋体"/>
          <w:color w:val="auto"/>
          <w:sz w:val="24"/>
          <w:szCs w:val="24"/>
          <w:highlight w:val="none"/>
          <w:u w:val="single"/>
          <w:lang w:eastAsia="zh-CN"/>
        </w:rPr>
        <w:t>旬阳市神河镇人民政府</w:t>
      </w:r>
      <w:r>
        <w:rPr>
          <w:rFonts w:hint="eastAsia" w:ascii="宋体" w:hAnsi="宋体" w:eastAsia="宋体" w:cs="宋体"/>
          <w:color w:val="auto"/>
          <w:sz w:val="24"/>
          <w:szCs w:val="24"/>
          <w:highlight w:val="none"/>
          <w:u w:val="single"/>
          <w:lang w:val="en-US" w:eastAsia="zh-CN"/>
        </w:rPr>
        <w:t xml:space="preserve"> : </w:t>
      </w:r>
    </w:p>
    <w:p w14:paraId="1DB7166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rPr>
        <w:t>根据贵方为</w:t>
      </w:r>
      <w:r>
        <w:rPr>
          <w:rFonts w:hint="eastAsia" w:ascii="宋体" w:hAnsi="宋体" w:eastAsia="宋体" w:cs="宋体"/>
          <w:sz w:val="24"/>
          <w:szCs w:val="24"/>
          <w:u w:val="single"/>
        </w:rPr>
        <w:t xml:space="preserve">    （采购项目名称）（项目编号）</w:t>
      </w:r>
      <w:r>
        <w:rPr>
          <w:rFonts w:hint="eastAsia" w:ascii="宋体" w:hAnsi="宋体" w:eastAsia="宋体" w:cs="宋体"/>
          <w:sz w:val="24"/>
          <w:szCs w:val="24"/>
        </w:rPr>
        <w:t>招标采购的竞争性</w:t>
      </w:r>
      <w:r>
        <w:rPr>
          <w:rFonts w:hint="eastAsia" w:ascii="宋体" w:hAnsi="宋体" w:eastAsia="宋体" w:cs="宋体"/>
          <w:sz w:val="24"/>
          <w:szCs w:val="24"/>
          <w:lang w:eastAsia="zh-CN"/>
        </w:rPr>
        <w:t>磋商</w:t>
      </w:r>
      <w:r>
        <w:rPr>
          <w:rFonts w:hint="eastAsia" w:ascii="宋体" w:hAnsi="宋体" w:eastAsia="宋体" w:cs="宋体"/>
          <w:sz w:val="24"/>
          <w:szCs w:val="24"/>
        </w:rPr>
        <w:t>公告，</w:t>
      </w:r>
      <w:r>
        <w:rPr>
          <w:rFonts w:hint="eastAsia" w:ascii="宋体" w:hAnsi="宋体" w:eastAsia="宋体" w:cs="宋体"/>
          <w:sz w:val="24"/>
          <w:szCs w:val="24"/>
          <w:u w:val="single"/>
        </w:rPr>
        <w:t xml:space="preserve">        （姓名、职务）</w:t>
      </w:r>
      <w:r>
        <w:rPr>
          <w:rFonts w:hint="eastAsia" w:ascii="宋体" w:hAnsi="宋体" w:eastAsia="宋体" w:cs="宋体"/>
          <w:sz w:val="24"/>
          <w:szCs w:val="24"/>
        </w:rPr>
        <w:t>经正式授权并代表投标人</w:t>
      </w:r>
      <w:r>
        <w:rPr>
          <w:rFonts w:hint="eastAsia" w:ascii="宋体" w:hAnsi="宋体" w:eastAsia="宋体" w:cs="宋体"/>
          <w:sz w:val="24"/>
          <w:szCs w:val="24"/>
          <w:u w:val="single"/>
        </w:rPr>
        <w:t xml:space="preserve">              （投标人名称、地址）</w:t>
      </w:r>
      <w:r>
        <w:rPr>
          <w:rFonts w:hint="eastAsia" w:ascii="宋体" w:hAnsi="宋体" w:eastAsia="宋体" w:cs="宋体"/>
          <w:sz w:val="24"/>
          <w:szCs w:val="24"/>
        </w:rPr>
        <w:t>，提交响应文件</w:t>
      </w:r>
      <w:r>
        <w:rPr>
          <w:rFonts w:hint="eastAsia" w:ascii="宋体" w:hAnsi="宋体" w:eastAsia="宋体" w:cs="宋体"/>
          <w:color w:val="000000" w:themeColor="text1"/>
          <w:sz w:val="24"/>
          <w:szCs w:val="24"/>
          <w14:textFill>
            <w14:solidFill>
              <w14:schemeClr w14:val="tx1"/>
            </w14:solidFill>
          </w14:textFill>
        </w:rPr>
        <w:t>正本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份，副本</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份，电子文件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p w14:paraId="51C757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在此，签字代表宣布同意如下：</w:t>
      </w:r>
    </w:p>
    <w:p w14:paraId="46567011">
      <w:pPr>
        <w:pageBreakBefore w:val="0"/>
        <w:numPr>
          <w:ilvl w:val="0"/>
          <w:numId w:val="11"/>
        </w:numPr>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所附报价表中规定的应提交和交付的总报价为</w:t>
      </w:r>
      <w:r>
        <w:rPr>
          <w:rFonts w:hint="eastAsia" w:ascii="宋体" w:hAnsi="宋体" w:eastAsia="宋体" w:cs="宋体"/>
          <w:sz w:val="24"/>
          <w:szCs w:val="24"/>
          <w:u w:val="single"/>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86171B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2、我们将按竞争性</w:t>
      </w:r>
      <w:r>
        <w:rPr>
          <w:rFonts w:hint="eastAsia" w:ascii="宋体" w:hAnsi="宋体" w:eastAsia="宋体" w:cs="宋体"/>
          <w:sz w:val="24"/>
          <w:szCs w:val="24"/>
          <w:lang w:eastAsia="zh-CN"/>
        </w:rPr>
        <w:t>磋商</w:t>
      </w:r>
      <w:r>
        <w:rPr>
          <w:rFonts w:hint="eastAsia" w:ascii="宋体" w:hAnsi="宋体" w:eastAsia="宋体" w:cs="宋体"/>
          <w:sz w:val="24"/>
          <w:szCs w:val="24"/>
        </w:rPr>
        <w:t>文件的规定履行合同责任和义务。</w:t>
      </w:r>
    </w:p>
    <w:p w14:paraId="50857991">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3、我们已详细审查全部竞争性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文件。我们完全理解并同意放弃对这方面有不明及误解的权力。</w:t>
      </w:r>
    </w:p>
    <w:p w14:paraId="353F399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4、本</w:t>
      </w:r>
      <w:r>
        <w:rPr>
          <w:rFonts w:hint="eastAsia" w:ascii="宋体" w:hAnsi="宋体" w:eastAsia="宋体" w:cs="宋体"/>
          <w:sz w:val="24"/>
          <w:szCs w:val="24"/>
          <w:lang w:eastAsia="zh-CN"/>
        </w:rPr>
        <w:t>磋商</w:t>
      </w:r>
      <w:r>
        <w:rPr>
          <w:rFonts w:hint="eastAsia" w:ascii="宋体" w:hAnsi="宋体" w:eastAsia="宋体" w:cs="宋体"/>
          <w:sz w:val="24"/>
          <w:szCs w:val="24"/>
        </w:rPr>
        <w:t>有效期为自</w:t>
      </w:r>
      <w:r>
        <w:rPr>
          <w:rFonts w:hint="eastAsia" w:ascii="宋体" w:hAnsi="宋体" w:eastAsia="宋体" w:cs="宋体"/>
          <w:sz w:val="24"/>
          <w:szCs w:val="24"/>
          <w:lang w:eastAsia="zh-CN"/>
        </w:rPr>
        <w:t>磋商</w:t>
      </w:r>
      <w:r>
        <w:rPr>
          <w:rFonts w:hint="eastAsia" w:ascii="宋体" w:hAnsi="宋体" w:eastAsia="宋体" w:cs="宋体"/>
          <w:sz w:val="24"/>
          <w:szCs w:val="24"/>
        </w:rPr>
        <w:t>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个日历日（成交单位的响应文件有效期延长为与合同有效期一致）。</w:t>
      </w:r>
    </w:p>
    <w:p w14:paraId="3D3103BF">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5、我们完全理解并同意贵方在竞争性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文件中的有关拒绝</w:t>
      </w:r>
      <w:r>
        <w:rPr>
          <w:rFonts w:hint="eastAsia" w:ascii="宋体" w:hAnsi="宋体" w:eastAsia="宋体" w:cs="宋体"/>
          <w:sz w:val="24"/>
          <w:szCs w:val="24"/>
          <w:lang w:eastAsia="zh-CN"/>
        </w:rPr>
        <w:t>磋商</w:t>
      </w:r>
      <w:r>
        <w:rPr>
          <w:rFonts w:hint="eastAsia" w:ascii="宋体" w:hAnsi="宋体" w:eastAsia="宋体" w:cs="宋体"/>
          <w:sz w:val="24"/>
          <w:szCs w:val="24"/>
        </w:rPr>
        <w:t>的条款。</w:t>
      </w:r>
    </w:p>
    <w:p w14:paraId="4304778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6、我们完全理解并完全响应贵方在竞争性</w:t>
      </w:r>
      <w:r>
        <w:rPr>
          <w:rFonts w:hint="eastAsia" w:ascii="宋体" w:hAnsi="宋体" w:eastAsia="宋体" w:cs="宋体"/>
          <w:sz w:val="24"/>
          <w:szCs w:val="24"/>
          <w:lang w:eastAsia="zh-CN"/>
        </w:rPr>
        <w:t>磋商</w:t>
      </w:r>
      <w:r>
        <w:rPr>
          <w:rFonts w:hint="eastAsia" w:ascii="宋体" w:hAnsi="宋体" w:eastAsia="宋体" w:cs="宋体"/>
          <w:sz w:val="24"/>
          <w:szCs w:val="24"/>
        </w:rPr>
        <w:t>文件中的有关合同条款的内容及要求。</w:t>
      </w:r>
    </w:p>
    <w:p w14:paraId="32856BC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7、我们同意提供按照贵方可能要求的与其</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有关的一切数据或资料。</w:t>
      </w:r>
    </w:p>
    <w:p w14:paraId="5CF0740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8、若我方获得成交，我方保证按有关规定向贵方支付成交服务费。</w:t>
      </w:r>
    </w:p>
    <w:p w14:paraId="4E1A1112">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9、与本</w:t>
      </w:r>
      <w:r>
        <w:rPr>
          <w:rFonts w:hint="eastAsia" w:ascii="宋体" w:hAnsi="宋体" w:eastAsia="宋体" w:cs="宋体"/>
          <w:sz w:val="24"/>
          <w:szCs w:val="24"/>
          <w:lang w:eastAsia="zh-CN"/>
        </w:rPr>
        <w:t>磋商</w:t>
      </w:r>
      <w:r>
        <w:rPr>
          <w:rFonts w:hint="eastAsia" w:ascii="宋体" w:hAnsi="宋体" w:eastAsia="宋体" w:cs="宋体"/>
          <w:sz w:val="24"/>
          <w:szCs w:val="24"/>
        </w:rPr>
        <w:t>有关的一切正式往来信函请寄：</w:t>
      </w:r>
    </w:p>
    <w:p w14:paraId="03EDEB78">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投标人名称（</w:t>
      </w:r>
      <w:r>
        <w:rPr>
          <w:rFonts w:hint="eastAsia" w:ascii="宋体" w:hAnsi="宋体" w:eastAsia="宋体" w:cs="宋体"/>
          <w:color w:val="000000" w:themeColor="text1"/>
          <w:sz w:val="24"/>
          <w:szCs w:val="24"/>
          <w14:textFill>
            <w14:solidFill>
              <w14:schemeClr w14:val="tx1"/>
            </w14:solidFill>
          </w14:textFill>
        </w:rPr>
        <w:t>单位名称及</w:t>
      </w:r>
      <w:r>
        <w:rPr>
          <w:rFonts w:hint="eastAsia" w:ascii="宋体" w:hAnsi="宋体" w:eastAsia="宋体" w:cs="宋体"/>
          <w:sz w:val="24"/>
          <w:szCs w:val="24"/>
        </w:rPr>
        <w:t>公章）：</w:t>
      </w:r>
    </w:p>
    <w:p w14:paraId="0F27FCE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7E3B75A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详   细   地   址：</w:t>
      </w:r>
    </w:p>
    <w:p w14:paraId="24F4CDC4">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邮   政   编   码：</w:t>
      </w:r>
    </w:p>
    <w:p w14:paraId="14F783EE">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话：</w:t>
      </w:r>
    </w:p>
    <w:p w14:paraId="0D224EA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传             真：</w:t>
      </w:r>
    </w:p>
    <w:p w14:paraId="1D32391D">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电 子 邮 件 地 址：</w:t>
      </w:r>
    </w:p>
    <w:p w14:paraId="782484F0">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开   户   银   行：</w:t>
      </w:r>
    </w:p>
    <w:p w14:paraId="2C319C35">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帐             号：</w:t>
      </w:r>
    </w:p>
    <w:p w14:paraId="000D3FAA">
      <w:pPr>
        <w:pageBreakBefore w:val="0"/>
        <w:kinsoku/>
        <w:overflowPunct/>
        <w:topLinePunct w:val="0"/>
        <w:bidi w:val="0"/>
        <w:spacing w:line="48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年    月    日</w:t>
      </w:r>
    </w:p>
    <w:p w14:paraId="1359C804">
      <w:pPr>
        <w:pStyle w:val="6"/>
        <w:pageBreakBefore w:val="0"/>
        <w:kinsoku/>
        <w:overflowPunct/>
        <w:topLinePunct w:val="0"/>
        <w:bidi w:val="0"/>
        <w:ind w:left="0" w:leftChars="0" w:right="0" w:rightChars="0" w:firstLine="560" w:firstLineChars="200"/>
        <w:jc w:val="left"/>
        <w:rPr>
          <w:rFonts w:hint="eastAsia" w:ascii="宋体" w:hAnsi="宋体" w:eastAsia="宋体" w:cs="宋体"/>
        </w:rPr>
      </w:pPr>
    </w:p>
    <w:p w14:paraId="7F0BF61C">
      <w:pPr>
        <w:pageBreakBefore w:val="0"/>
        <w:numPr>
          <w:ilvl w:val="0"/>
          <w:numId w:val="12"/>
        </w:numPr>
        <w:kinsoku/>
        <w:overflowPunct/>
        <w:topLinePunct w:val="0"/>
        <w:autoSpaceDE w:val="0"/>
        <w:autoSpaceDN w:val="0"/>
        <w:bidi w:val="0"/>
        <w:adjustRightInd w:val="0"/>
        <w:snapToGrid w:val="0"/>
        <w:spacing w:line="440" w:lineRule="exact"/>
        <w:ind w:left="0" w:leftChars="0" w:right="0" w:rightChars="0"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第一次磋商报价</w:t>
      </w:r>
    </w:p>
    <w:p w14:paraId="056C99FE">
      <w:pPr>
        <w:pageBreakBefore w:val="0"/>
        <w:kinsoku/>
        <w:overflowPunct/>
        <w:topLinePunct w:val="0"/>
        <w:autoSpaceDE w:val="0"/>
        <w:autoSpaceDN w:val="0"/>
        <w:bidi w:val="0"/>
        <w:adjustRightInd w:val="0"/>
        <w:snapToGrid w:val="0"/>
        <w:spacing w:line="440" w:lineRule="exact"/>
        <w:ind w:left="0" w:leftChars="0" w:right="0" w:rightChars="0" w:firstLine="482" w:firstLineChars="200"/>
        <w:jc w:val="left"/>
        <w:rPr>
          <w:rFonts w:hint="eastAsia" w:ascii="宋体" w:hAnsi="宋体" w:eastAsia="宋体" w:cs="宋体"/>
          <w:b/>
          <w:sz w:val="24"/>
          <w:szCs w:val="24"/>
        </w:rPr>
      </w:pPr>
    </w:p>
    <w:p w14:paraId="67688EE2">
      <w:pPr>
        <w:pageBreakBefore w:val="0"/>
        <w:kinsoku/>
        <w:overflowPunct/>
        <w:topLinePunct w:val="0"/>
        <w:bidi w:val="0"/>
        <w:spacing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w:t>
      </w:r>
      <w:r>
        <w:rPr>
          <w:rFonts w:hint="eastAsia" w:ascii="宋体" w:hAnsi="宋体" w:eastAsia="宋体" w:cs="宋体"/>
          <w:b/>
          <w:sz w:val="22"/>
          <w:szCs w:val="6"/>
          <w:lang w:val="en-US" w:eastAsia="zh-CN"/>
        </w:rPr>
        <w:t>一）报价表</w:t>
      </w:r>
    </w:p>
    <w:p w14:paraId="47C9DDFF">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cs="宋体"/>
          <w:b/>
          <w:sz w:val="22"/>
          <w:szCs w:val="6"/>
          <w:lang w:eastAsia="zh-CN"/>
        </w:rPr>
      </w:pPr>
      <w:r>
        <w:rPr>
          <w:rFonts w:hint="eastAsia" w:ascii="宋体" w:hAnsi="宋体" w:eastAsia="宋体" w:cs="宋体"/>
          <w:b/>
          <w:sz w:val="22"/>
          <w:szCs w:val="6"/>
          <w:lang w:eastAsia="zh-CN"/>
        </w:rPr>
        <w:t>项目名称：</w:t>
      </w:r>
      <w:r>
        <w:rPr>
          <w:rFonts w:hint="eastAsia" w:ascii="宋体" w:hAnsi="宋体" w:cs="宋体"/>
          <w:b/>
          <w:sz w:val="22"/>
          <w:szCs w:val="6"/>
          <w:lang w:eastAsia="zh-CN"/>
        </w:rPr>
        <w:t>神河镇台子村食用菌产业发展项目</w:t>
      </w:r>
    </w:p>
    <w:p w14:paraId="48353602">
      <w:pPr>
        <w:pageBreakBefore w:val="0"/>
        <w:kinsoku/>
        <w:overflowPunct/>
        <w:topLinePunct w:val="0"/>
        <w:bidi w:val="0"/>
        <w:spacing w:before="166" w:beforeLines="50" w:beforeAutospacing="0" w:after="166" w:afterLines="50" w:afterAutospacing="0"/>
        <w:ind w:left="0" w:leftChars="0" w:right="0" w:rightChars="0" w:firstLine="442" w:firstLineChars="200"/>
        <w:jc w:val="left"/>
        <w:rPr>
          <w:rFonts w:hint="eastAsia" w:ascii="宋体" w:hAnsi="宋体" w:eastAsia="宋体" w:cs="宋体"/>
          <w:b/>
          <w:sz w:val="22"/>
          <w:szCs w:val="6"/>
          <w:lang w:val="en-US" w:eastAsia="zh-CN"/>
        </w:rPr>
      </w:pPr>
      <w:r>
        <w:rPr>
          <w:rFonts w:hint="eastAsia" w:ascii="宋体" w:hAnsi="宋体" w:eastAsia="宋体" w:cs="宋体"/>
          <w:b/>
          <w:sz w:val="22"/>
          <w:szCs w:val="6"/>
          <w:lang w:eastAsia="zh-CN"/>
        </w:rPr>
        <w:t>项目编号：</w:t>
      </w:r>
      <w:r>
        <w:rPr>
          <w:rFonts w:hint="eastAsia" w:ascii="宋体" w:hAnsi="宋体" w:cs="宋体"/>
          <w:b/>
          <w:sz w:val="22"/>
          <w:szCs w:val="6"/>
          <w:lang w:eastAsia="zh-CN"/>
        </w:rPr>
        <w:t>SXFD20260615005</w:t>
      </w:r>
    </w:p>
    <w:tbl>
      <w:tblPr>
        <w:tblStyle w:val="16"/>
        <w:tblW w:w="10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1"/>
        <w:gridCol w:w="2285"/>
        <w:gridCol w:w="2416"/>
        <w:gridCol w:w="3065"/>
      </w:tblGrid>
      <w:tr w14:paraId="131D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2491" w:type="dxa"/>
            <w:vAlign w:val="center"/>
          </w:tcPr>
          <w:p w14:paraId="26DD2907">
            <w:pPr>
              <w:pageBreakBefore w:val="0"/>
              <w:kinsoku/>
              <w:overflowPunct/>
              <w:topLinePunct w:val="0"/>
              <w:bidi w:val="0"/>
              <w:spacing w:beforeAutospacing="0"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投标人名称</w:t>
            </w:r>
          </w:p>
        </w:tc>
        <w:tc>
          <w:tcPr>
            <w:tcW w:w="2285" w:type="dxa"/>
            <w:vAlign w:val="center"/>
          </w:tcPr>
          <w:p w14:paraId="043362D5">
            <w:pPr>
              <w:pageBreakBefore w:val="0"/>
              <w:kinsoku/>
              <w:overflowPunct/>
              <w:topLinePunct w:val="0"/>
              <w:bidi w:val="0"/>
              <w:spacing w:line="360" w:lineRule="auto"/>
              <w:ind w:left="0" w:leftChars="0" w:right="0" w:rightChars="0" w:firstLine="0" w:firstLineChars="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投标总报价（元）</w:t>
            </w:r>
          </w:p>
        </w:tc>
        <w:tc>
          <w:tcPr>
            <w:tcW w:w="2416" w:type="dxa"/>
            <w:vAlign w:val="center"/>
          </w:tcPr>
          <w:p w14:paraId="43D256A6">
            <w:pPr>
              <w:pageBreakBefore w:val="0"/>
              <w:kinsoku/>
              <w:overflowPunct/>
              <w:topLinePunct w:val="0"/>
              <w:bidi w:val="0"/>
              <w:spacing w:line="360" w:lineRule="auto"/>
              <w:ind w:left="0" w:leftChars="0" w:right="0" w:rightChars="0" w:firstLine="720" w:firstLineChars="3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工期</w:t>
            </w:r>
          </w:p>
        </w:tc>
        <w:tc>
          <w:tcPr>
            <w:tcW w:w="3065" w:type="dxa"/>
            <w:vAlign w:val="center"/>
          </w:tcPr>
          <w:p w14:paraId="67F32081">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质量标准</w:t>
            </w:r>
          </w:p>
        </w:tc>
      </w:tr>
      <w:tr w14:paraId="09F5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7" w:hRule="atLeast"/>
          <w:jc w:val="center"/>
        </w:trPr>
        <w:tc>
          <w:tcPr>
            <w:tcW w:w="2491" w:type="dxa"/>
            <w:vAlign w:val="center"/>
          </w:tcPr>
          <w:p w14:paraId="0388D0F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285" w:type="dxa"/>
            <w:vAlign w:val="center"/>
          </w:tcPr>
          <w:p w14:paraId="7F931788">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c>
          <w:tcPr>
            <w:tcW w:w="2416" w:type="dxa"/>
            <w:vAlign w:val="center"/>
          </w:tcPr>
          <w:p w14:paraId="27B0896C">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（日历日）</w:t>
            </w:r>
          </w:p>
        </w:tc>
        <w:tc>
          <w:tcPr>
            <w:tcW w:w="3065" w:type="dxa"/>
            <w:vAlign w:val="center"/>
          </w:tcPr>
          <w:p w14:paraId="4716E339">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r w14:paraId="23B6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2491" w:type="dxa"/>
            <w:vAlign w:val="center"/>
          </w:tcPr>
          <w:p w14:paraId="22819960">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大写：</w:t>
            </w:r>
          </w:p>
        </w:tc>
        <w:tc>
          <w:tcPr>
            <w:tcW w:w="7766" w:type="dxa"/>
            <w:gridSpan w:val="3"/>
            <w:vAlign w:val="center"/>
          </w:tcPr>
          <w:p w14:paraId="2FC207BE">
            <w:pPr>
              <w:pageBreakBefore w:val="0"/>
              <w:kinsoku/>
              <w:overflowPunct/>
              <w:topLinePunct w:val="0"/>
              <w:bidi w:val="0"/>
              <w:spacing w:line="360" w:lineRule="auto"/>
              <w:ind w:left="0" w:leftChars="0" w:right="0" w:rightChars="0" w:firstLine="480" w:firstLineChars="200"/>
              <w:jc w:val="left"/>
              <w:rPr>
                <w:rFonts w:hint="eastAsia" w:ascii="宋体" w:hAnsi="宋体" w:eastAsia="宋体" w:cs="宋体"/>
                <w:bCs/>
                <w:color w:val="000000" w:themeColor="text1"/>
                <w:sz w:val="24"/>
                <w:szCs w:val="24"/>
                <w14:textFill>
                  <w14:solidFill>
                    <w14:schemeClr w14:val="tx1"/>
                  </w14:solidFill>
                </w14:textFill>
              </w:rPr>
            </w:pPr>
          </w:p>
        </w:tc>
      </w:tr>
    </w:tbl>
    <w:p w14:paraId="4062162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color w:val="FF0000"/>
          <w:sz w:val="24"/>
          <w:szCs w:val="24"/>
        </w:rPr>
      </w:pPr>
    </w:p>
    <w:p w14:paraId="6B6E5F95">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注：报价精确到小数点后两位。</w:t>
      </w:r>
    </w:p>
    <w:p w14:paraId="54ED721B">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50F2355F">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23E9D4EA">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投标人 ：（盖章）</w:t>
      </w:r>
    </w:p>
    <w:p w14:paraId="481DBAE9">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315D68CE">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1498636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zh-CN"/>
          <w14:textFill>
            <w14:solidFill>
              <w14:schemeClr w14:val="tx1"/>
            </w14:solidFill>
          </w14:textFill>
        </w:rPr>
        <w:t>签字</w:t>
      </w:r>
      <w:r>
        <w:rPr>
          <w:rFonts w:hint="eastAsia" w:ascii="宋体" w:hAnsi="宋体" w:eastAsia="宋体" w:cs="宋体"/>
          <w:color w:val="000000" w:themeColor="text1"/>
          <w:sz w:val="24"/>
          <w:szCs w:val="24"/>
          <w:lang w:val="en-US" w:eastAsia="zh-CN"/>
          <w14:textFill>
            <w14:solidFill>
              <w14:schemeClr w14:val="tx1"/>
            </w14:solidFill>
          </w14:textFill>
        </w:rPr>
        <w:t>或盖章</w:t>
      </w:r>
      <w:r>
        <w:rPr>
          <w:rFonts w:hint="eastAsia" w:ascii="宋体" w:hAnsi="宋体" w:eastAsia="宋体" w:cs="宋体"/>
          <w:color w:val="000000" w:themeColor="text1"/>
          <w:sz w:val="24"/>
          <w:szCs w:val="24"/>
          <w14:textFill>
            <w14:solidFill>
              <w14:schemeClr w14:val="tx1"/>
            </w14:solidFill>
          </w14:textFill>
        </w:rPr>
        <w:t>）</w:t>
      </w:r>
    </w:p>
    <w:p w14:paraId="14E6E812">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441400BC">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p>
    <w:p w14:paraId="031AC3DD">
      <w:pPr>
        <w:pageBreakBefore w:val="0"/>
        <w:kinsoku/>
        <w:overflowPunct/>
        <w:topLinePunct w:val="0"/>
        <w:bidi w:val="0"/>
        <w:spacing w:line="440" w:lineRule="exact"/>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75411E75">
      <w:pPr>
        <w:pageBreakBefore w:val="0"/>
        <w:kinsoku/>
        <w:overflowPunct/>
        <w:topLinePunct w:val="0"/>
        <w:bidi w:val="0"/>
        <w:ind w:left="0" w:leftChars="0" w:right="0" w:rightChars="0" w:firstLine="482" w:firstLineChars="200"/>
        <w:jc w:val="left"/>
        <w:rPr>
          <w:rFonts w:hint="eastAsia" w:ascii="宋体" w:hAnsi="宋体" w:eastAsia="宋体" w:cs="宋体"/>
          <w:b/>
          <w:sz w:val="24"/>
          <w:szCs w:val="24"/>
        </w:rPr>
      </w:pPr>
      <w:r>
        <w:rPr>
          <w:rFonts w:hint="eastAsia" w:ascii="宋体" w:hAnsi="宋体" w:eastAsia="宋体" w:cs="宋体"/>
          <w:b/>
          <w:sz w:val="24"/>
          <w:szCs w:val="24"/>
        </w:rPr>
        <w:br w:type="page"/>
      </w:r>
    </w:p>
    <w:p w14:paraId="3C22AE0B">
      <w:pPr>
        <w:pageBreakBefore w:val="0"/>
        <w:widowControl/>
        <w:kinsoku/>
        <w:overflowPunct/>
        <w:topLinePunct w:val="0"/>
        <w:bidi w:val="0"/>
        <w:spacing w:before="385" w:beforeLines="120" w:beforeAutospacing="0" w:afterAutospacing="0"/>
        <w:ind w:left="0" w:leftChars="0" w:right="0" w:rightChars="0" w:firstLine="482" w:firstLineChars="200"/>
        <w:jc w:val="left"/>
        <w:rPr>
          <w:rFonts w:hint="eastAsia" w:ascii="宋体" w:hAnsi="宋体" w:eastAsia="宋体" w:cs="宋体"/>
          <w:b/>
          <w:color w:val="000000" w:themeColor="text1"/>
          <w:sz w:val="24"/>
          <w:szCs w:val="24"/>
          <w14:textFill>
            <w14:solidFill>
              <w14:schemeClr w14:val="tx1"/>
            </w14:solidFill>
          </w14:textFill>
        </w:rPr>
      </w:pPr>
    </w:p>
    <w:p w14:paraId="22E8312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w:t>
      </w:r>
      <w:r>
        <w:rPr>
          <w:rFonts w:hint="eastAsia" w:ascii="宋体" w:hAnsi="宋体" w:eastAsia="宋体" w:cs="宋体"/>
          <w:b/>
          <w:color w:val="000000" w:themeColor="text1"/>
          <w:sz w:val="24"/>
          <w:szCs w:val="24"/>
          <w:lang w:val="en-US" w:eastAsia="zh-CN"/>
          <w14:textFill>
            <w14:solidFill>
              <w14:schemeClr w14:val="tx1"/>
            </w14:solidFill>
          </w14:textFill>
        </w:rPr>
        <w:t>二）</w:t>
      </w:r>
      <w:r>
        <w:rPr>
          <w:rFonts w:hint="eastAsia" w:ascii="宋体" w:hAnsi="宋体" w:eastAsia="宋体" w:cs="宋体"/>
          <w:b/>
          <w:color w:val="000000" w:themeColor="text1"/>
          <w:sz w:val="24"/>
          <w:szCs w:val="24"/>
          <w14:textFill>
            <w14:solidFill>
              <w14:schemeClr w14:val="tx1"/>
            </w14:solidFill>
          </w14:textFill>
        </w:rPr>
        <w:t>、</w:t>
      </w:r>
      <w:r>
        <w:rPr>
          <w:rFonts w:hint="eastAsia" w:ascii="宋体" w:hAnsi="宋体" w:eastAsia="宋体" w:cs="宋体"/>
          <w:b/>
          <w:color w:val="000000" w:themeColor="text1"/>
          <w:sz w:val="24"/>
          <w:szCs w:val="24"/>
          <w:lang w:eastAsia="zh-CN"/>
          <w14:textFill>
            <w14:solidFill>
              <w14:schemeClr w14:val="tx1"/>
            </w14:solidFill>
          </w14:textFill>
        </w:rPr>
        <w:t>已标价工程量清单</w:t>
      </w:r>
    </w:p>
    <w:p w14:paraId="7972F2CC">
      <w:pPr>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br w:type="page"/>
      </w:r>
    </w:p>
    <w:p w14:paraId="0DFC968C">
      <w:pPr>
        <w:pageBreakBefore w:val="0"/>
        <w:widowControl/>
        <w:kinsoku/>
        <w:overflowPunct/>
        <w:topLinePunct w:val="0"/>
        <w:bidi w:val="0"/>
        <w:spacing w:before="86" w:beforeLines="26" w:beforeAutospacing="0" w:afterAutospacing="0"/>
        <w:ind w:left="0" w:leftChars="0" w:right="0" w:rightChars="0" w:firstLine="482" w:firstLineChars="200"/>
        <w:jc w:val="left"/>
        <w:rPr>
          <w:rFonts w:hint="eastAsia" w:ascii="宋体" w:hAnsi="宋体" w:eastAsia="宋体" w:cs="宋体"/>
          <w:b/>
          <w:color w:val="000000" w:themeColor="text1"/>
          <w:sz w:val="24"/>
          <w:szCs w:val="24"/>
          <w:lang w:eastAsia="zh-CN"/>
          <w14:textFill>
            <w14:solidFill>
              <w14:schemeClr w14:val="tx1"/>
            </w14:solidFill>
          </w14:textFill>
        </w:rPr>
      </w:pPr>
    </w:p>
    <w:p w14:paraId="1489BF46">
      <w:pPr>
        <w:pStyle w:val="13"/>
        <w:keepNext w:val="0"/>
        <w:keepLines w:val="0"/>
        <w:widowControl/>
        <w:numPr>
          <w:ilvl w:val="0"/>
          <w:numId w:val="1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leftChars="0" w:right="0" w:firstLine="643" w:firstLineChars="200"/>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资格证明文件</w:t>
      </w:r>
    </w:p>
    <w:p w14:paraId="3DF93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(2)提供法定代表人授权书（附法定代表人身份证复印件）及被授权代理人身份证复印件（法定代表人直接参加只须提供法定代表人身份证复印件）；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(3)财务报告：提供2024年或2025年财务审计报告(新成立的企业提供公司成立后相应的财务会计报表或财务情况说明书)或开标前六个月内银行出具的资信证明；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(4)社会保障资金缴纳证明：提供2025年5月至今任意一个月的有效社会保障资金缴纳证明。依法不需要缴纳社会保障资金的单位应提供相关证明材料；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(5)税收缴纳证明：提供2025年5月至今任意一个月的纳税证明或完税证明，依法免税的单位应提供相关证明材料；</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(6)供应商须具备国家建设行政主管部门颁发建筑工程或市政公用工程施工总承包三级（含三级）以上资质和有效的安全生产许可证；</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(7)拟派项目经理须具有建筑工程或市政公用工程专业二级（含二级）以上注册建造师资格，注册证、安全生产考核合格证齐全有效，且无在建工程；</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(8)参加政府采购活动前三年内，在经营活动中没有重大违法记录声明；</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(9)供应商通过“信用中国”网站(www.creditchina.gov.cn)和中国政府采购网(www.ccgp.gov.cn)查询相关主体无失信记录；</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(10)本项目为专门面向中小企业项目，本项目采购标的对应的中小企业划分标准所属行业为：建筑业；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w:t>
      </w:r>
    </w:p>
    <w:p w14:paraId="188175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r>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br w:type="page"/>
      </w:r>
    </w:p>
    <w:p w14:paraId="72D8814B">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法定代表人证明书</w:t>
      </w:r>
    </w:p>
    <w:p w14:paraId="382E9633">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1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4519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noWrap w:val="0"/>
            <w:vAlign w:val="center"/>
          </w:tcPr>
          <w:p w14:paraId="3020759D">
            <w:pPr>
              <w:tabs>
                <w:tab w:val="left" w:pos="210"/>
              </w:tabs>
              <w:spacing w:line="320" w:lineRule="exac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cs="宋体"/>
                <w:color w:val="auto"/>
                <w:kern w:val="0"/>
                <w:sz w:val="24"/>
                <w:highlight w:val="none"/>
                <w:lang w:eastAsia="zh-CN"/>
              </w:rPr>
              <w:t>旬阳市神河镇人民政府</w:t>
            </w:r>
            <w:r>
              <w:rPr>
                <w:rFonts w:hint="eastAsia" w:ascii="宋体" w:hAnsi="宋体" w:eastAsia="宋体" w:cs="宋体"/>
                <w:color w:val="auto"/>
                <w:kern w:val="0"/>
                <w:sz w:val="24"/>
                <w:highlight w:val="none"/>
                <w:lang w:eastAsia="zh-CN"/>
              </w:rPr>
              <w:t>、陕西方得项目咨询有限公司</w:t>
            </w:r>
          </w:p>
        </w:tc>
      </w:tr>
      <w:tr w14:paraId="343C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3ED8A6D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268E18FC">
            <w:pPr>
              <w:tabs>
                <w:tab w:val="left" w:pos="210"/>
              </w:tabs>
              <w:spacing w:line="320" w:lineRule="exact"/>
              <w:jc w:val="center"/>
              <w:rPr>
                <w:rFonts w:hint="eastAsia" w:ascii="宋体" w:hAnsi="宋体" w:eastAsia="宋体" w:cs="宋体"/>
                <w:color w:val="auto"/>
                <w:kern w:val="0"/>
                <w:sz w:val="24"/>
                <w:highlight w:val="none"/>
              </w:rPr>
            </w:pPr>
          </w:p>
          <w:p w14:paraId="2451C21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021EFDCC">
            <w:pPr>
              <w:tabs>
                <w:tab w:val="left" w:pos="210"/>
              </w:tabs>
              <w:spacing w:line="320" w:lineRule="exact"/>
              <w:jc w:val="center"/>
              <w:rPr>
                <w:rFonts w:hint="eastAsia" w:ascii="宋体" w:hAnsi="宋体" w:eastAsia="宋体" w:cs="宋体"/>
                <w:color w:val="auto"/>
                <w:kern w:val="0"/>
                <w:sz w:val="24"/>
                <w:highlight w:val="none"/>
              </w:rPr>
            </w:pPr>
          </w:p>
          <w:p w14:paraId="1272F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DEB5BD0">
            <w:pPr>
              <w:tabs>
                <w:tab w:val="left" w:pos="210"/>
              </w:tabs>
              <w:spacing w:line="320" w:lineRule="exact"/>
              <w:jc w:val="center"/>
              <w:rPr>
                <w:rFonts w:hint="eastAsia" w:ascii="宋体" w:hAnsi="宋体" w:eastAsia="宋体" w:cs="宋体"/>
                <w:color w:val="auto"/>
                <w:kern w:val="0"/>
                <w:sz w:val="24"/>
                <w:highlight w:val="none"/>
              </w:rPr>
            </w:pPr>
          </w:p>
          <w:p w14:paraId="0936919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064" w:type="dxa"/>
            <w:noWrap w:val="0"/>
            <w:vAlign w:val="center"/>
          </w:tcPr>
          <w:p w14:paraId="5EF38A8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356" w:type="dxa"/>
            <w:gridSpan w:val="4"/>
            <w:noWrap w:val="0"/>
            <w:vAlign w:val="center"/>
          </w:tcPr>
          <w:p w14:paraId="0FCCFE72">
            <w:pPr>
              <w:tabs>
                <w:tab w:val="left" w:pos="210"/>
              </w:tabs>
              <w:spacing w:line="320" w:lineRule="exact"/>
              <w:jc w:val="center"/>
              <w:rPr>
                <w:rFonts w:hint="eastAsia" w:ascii="宋体" w:hAnsi="宋体" w:eastAsia="宋体" w:cs="宋体"/>
                <w:color w:val="auto"/>
                <w:kern w:val="0"/>
                <w:sz w:val="24"/>
                <w:highlight w:val="none"/>
              </w:rPr>
            </w:pPr>
          </w:p>
        </w:tc>
      </w:tr>
      <w:tr w14:paraId="366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5523CD4E">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F0A2658">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356" w:type="dxa"/>
            <w:gridSpan w:val="4"/>
            <w:noWrap w:val="0"/>
            <w:vAlign w:val="center"/>
          </w:tcPr>
          <w:p w14:paraId="23AC76F7">
            <w:pPr>
              <w:tabs>
                <w:tab w:val="left" w:pos="210"/>
              </w:tabs>
              <w:spacing w:line="320" w:lineRule="exact"/>
              <w:jc w:val="center"/>
              <w:rPr>
                <w:rFonts w:hint="eastAsia" w:ascii="宋体" w:hAnsi="宋体" w:eastAsia="宋体" w:cs="宋体"/>
                <w:color w:val="auto"/>
                <w:kern w:val="0"/>
                <w:sz w:val="24"/>
                <w:highlight w:val="none"/>
              </w:rPr>
            </w:pPr>
          </w:p>
        </w:tc>
      </w:tr>
      <w:tr w14:paraId="2FD3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679C6B48">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AA653D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356" w:type="dxa"/>
            <w:gridSpan w:val="4"/>
            <w:noWrap w:val="0"/>
            <w:vAlign w:val="center"/>
          </w:tcPr>
          <w:p w14:paraId="1E1FE503">
            <w:pPr>
              <w:tabs>
                <w:tab w:val="left" w:pos="210"/>
              </w:tabs>
              <w:spacing w:line="320" w:lineRule="exact"/>
              <w:jc w:val="center"/>
              <w:rPr>
                <w:rFonts w:hint="eastAsia" w:ascii="宋体" w:hAnsi="宋体" w:eastAsia="宋体" w:cs="宋体"/>
                <w:color w:val="auto"/>
                <w:kern w:val="0"/>
                <w:sz w:val="24"/>
                <w:highlight w:val="none"/>
              </w:rPr>
            </w:pPr>
          </w:p>
        </w:tc>
      </w:tr>
      <w:tr w14:paraId="0D337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3A7FEE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6064128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登记机关</w:t>
            </w:r>
          </w:p>
        </w:tc>
        <w:tc>
          <w:tcPr>
            <w:tcW w:w="6356" w:type="dxa"/>
            <w:gridSpan w:val="4"/>
            <w:noWrap w:val="0"/>
            <w:vAlign w:val="center"/>
          </w:tcPr>
          <w:p w14:paraId="19FBF2DE">
            <w:pPr>
              <w:tabs>
                <w:tab w:val="left" w:pos="210"/>
              </w:tabs>
              <w:spacing w:line="320" w:lineRule="exact"/>
              <w:jc w:val="center"/>
              <w:rPr>
                <w:rFonts w:hint="eastAsia" w:ascii="宋体" w:hAnsi="宋体" w:eastAsia="宋体" w:cs="宋体"/>
                <w:color w:val="auto"/>
                <w:kern w:val="0"/>
                <w:sz w:val="24"/>
                <w:highlight w:val="none"/>
              </w:rPr>
            </w:pPr>
          </w:p>
        </w:tc>
      </w:tr>
      <w:tr w14:paraId="28FE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700F3093">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103704E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机构代码证号</w:t>
            </w:r>
          </w:p>
        </w:tc>
        <w:tc>
          <w:tcPr>
            <w:tcW w:w="6356" w:type="dxa"/>
            <w:gridSpan w:val="4"/>
            <w:noWrap w:val="0"/>
            <w:vAlign w:val="center"/>
          </w:tcPr>
          <w:p w14:paraId="7DBD7F73">
            <w:pPr>
              <w:tabs>
                <w:tab w:val="left" w:pos="210"/>
              </w:tabs>
              <w:spacing w:line="320" w:lineRule="exact"/>
              <w:jc w:val="center"/>
              <w:rPr>
                <w:rFonts w:hint="eastAsia" w:ascii="宋体" w:hAnsi="宋体" w:eastAsia="宋体" w:cs="宋体"/>
                <w:color w:val="auto"/>
                <w:kern w:val="0"/>
                <w:sz w:val="24"/>
                <w:highlight w:val="none"/>
              </w:rPr>
            </w:pPr>
          </w:p>
        </w:tc>
      </w:tr>
      <w:tr w14:paraId="77EA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noWrap w:val="0"/>
            <w:vAlign w:val="center"/>
          </w:tcPr>
          <w:p w14:paraId="42C67FE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064" w:type="dxa"/>
            <w:noWrap w:val="0"/>
            <w:vAlign w:val="center"/>
          </w:tcPr>
          <w:p w14:paraId="0D47DE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2235" w:type="dxa"/>
            <w:gridSpan w:val="2"/>
            <w:noWrap w:val="0"/>
            <w:vAlign w:val="center"/>
          </w:tcPr>
          <w:p w14:paraId="2C0929C4">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255532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2" w:type="dxa"/>
            <w:noWrap w:val="0"/>
            <w:vAlign w:val="center"/>
          </w:tcPr>
          <w:p w14:paraId="39004AFB">
            <w:pPr>
              <w:tabs>
                <w:tab w:val="left" w:pos="210"/>
              </w:tabs>
              <w:spacing w:line="320" w:lineRule="exact"/>
              <w:jc w:val="center"/>
              <w:rPr>
                <w:rFonts w:hint="eastAsia" w:ascii="宋体" w:hAnsi="宋体" w:eastAsia="宋体" w:cs="宋体"/>
                <w:color w:val="auto"/>
                <w:kern w:val="0"/>
                <w:sz w:val="24"/>
                <w:highlight w:val="none"/>
              </w:rPr>
            </w:pPr>
          </w:p>
        </w:tc>
      </w:tr>
      <w:tr w14:paraId="3A66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noWrap w:val="0"/>
            <w:vAlign w:val="center"/>
          </w:tcPr>
          <w:p w14:paraId="24079787">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451DB44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2235" w:type="dxa"/>
            <w:gridSpan w:val="2"/>
            <w:noWrap w:val="0"/>
            <w:vAlign w:val="center"/>
          </w:tcPr>
          <w:p w14:paraId="1A9F141F">
            <w:pPr>
              <w:tabs>
                <w:tab w:val="left" w:pos="210"/>
              </w:tabs>
              <w:spacing w:line="320" w:lineRule="exact"/>
              <w:jc w:val="center"/>
              <w:rPr>
                <w:rFonts w:hint="eastAsia" w:ascii="宋体" w:hAnsi="宋体" w:eastAsia="宋体" w:cs="宋体"/>
                <w:color w:val="auto"/>
                <w:kern w:val="0"/>
                <w:sz w:val="24"/>
                <w:highlight w:val="none"/>
              </w:rPr>
            </w:pPr>
          </w:p>
        </w:tc>
        <w:tc>
          <w:tcPr>
            <w:tcW w:w="2059" w:type="dxa"/>
            <w:noWrap w:val="0"/>
            <w:vAlign w:val="center"/>
          </w:tcPr>
          <w:p w14:paraId="6DD9B1F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2" w:type="dxa"/>
            <w:noWrap w:val="0"/>
            <w:vAlign w:val="center"/>
          </w:tcPr>
          <w:p w14:paraId="0F030C87">
            <w:pPr>
              <w:tabs>
                <w:tab w:val="left" w:pos="210"/>
              </w:tabs>
              <w:spacing w:line="320" w:lineRule="exact"/>
              <w:jc w:val="center"/>
              <w:rPr>
                <w:rFonts w:hint="eastAsia" w:ascii="宋体" w:hAnsi="宋体" w:eastAsia="宋体" w:cs="宋体"/>
                <w:color w:val="auto"/>
                <w:kern w:val="0"/>
                <w:sz w:val="24"/>
                <w:highlight w:val="none"/>
              </w:rPr>
            </w:pPr>
          </w:p>
        </w:tc>
      </w:tr>
      <w:tr w14:paraId="3610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noWrap w:val="0"/>
            <w:vAlign w:val="center"/>
          </w:tcPr>
          <w:p w14:paraId="014B2741">
            <w:pPr>
              <w:tabs>
                <w:tab w:val="left" w:pos="210"/>
              </w:tabs>
              <w:spacing w:line="320" w:lineRule="exact"/>
              <w:jc w:val="center"/>
              <w:rPr>
                <w:rFonts w:hint="eastAsia" w:ascii="宋体" w:hAnsi="宋体" w:eastAsia="宋体" w:cs="宋体"/>
                <w:color w:val="auto"/>
                <w:kern w:val="0"/>
                <w:sz w:val="24"/>
                <w:highlight w:val="none"/>
              </w:rPr>
            </w:pPr>
          </w:p>
        </w:tc>
        <w:tc>
          <w:tcPr>
            <w:tcW w:w="2064" w:type="dxa"/>
            <w:noWrap w:val="0"/>
            <w:vAlign w:val="center"/>
          </w:tcPr>
          <w:p w14:paraId="56380B3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356" w:type="dxa"/>
            <w:gridSpan w:val="4"/>
            <w:noWrap w:val="0"/>
            <w:vAlign w:val="center"/>
          </w:tcPr>
          <w:p w14:paraId="192F308C">
            <w:pPr>
              <w:tabs>
                <w:tab w:val="left" w:pos="210"/>
              </w:tabs>
              <w:spacing w:line="320" w:lineRule="exact"/>
              <w:jc w:val="center"/>
              <w:rPr>
                <w:rFonts w:hint="eastAsia" w:ascii="宋体" w:hAnsi="宋体" w:eastAsia="宋体" w:cs="宋体"/>
                <w:color w:val="auto"/>
                <w:kern w:val="0"/>
                <w:sz w:val="24"/>
                <w:highlight w:val="none"/>
              </w:rPr>
            </w:pPr>
          </w:p>
        </w:tc>
      </w:tr>
      <w:tr w14:paraId="0F1F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jc w:val="center"/>
        </w:trPr>
        <w:tc>
          <w:tcPr>
            <w:tcW w:w="860" w:type="dxa"/>
            <w:vMerge w:val="restart"/>
            <w:noWrap w:val="0"/>
            <w:vAlign w:val="center"/>
          </w:tcPr>
          <w:p w14:paraId="4057DC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4122" w:type="dxa"/>
            <w:gridSpan w:val="2"/>
            <w:vMerge w:val="restart"/>
            <w:noWrap w:val="0"/>
            <w:vAlign w:val="center"/>
          </w:tcPr>
          <w:p w14:paraId="14943D4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298" w:type="dxa"/>
            <w:gridSpan w:val="3"/>
            <w:noWrap w:val="0"/>
            <w:vAlign w:val="center"/>
          </w:tcPr>
          <w:p w14:paraId="54F50E4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tc>
      </w:tr>
      <w:tr w14:paraId="7D9B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jc w:val="center"/>
        </w:trPr>
        <w:tc>
          <w:tcPr>
            <w:tcW w:w="860" w:type="dxa"/>
            <w:vMerge w:val="continue"/>
            <w:noWrap w:val="0"/>
            <w:vAlign w:val="center"/>
          </w:tcPr>
          <w:p w14:paraId="19E1EE66">
            <w:pPr>
              <w:tabs>
                <w:tab w:val="left" w:pos="210"/>
              </w:tabs>
              <w:spacing w:line="320" w:lineRule="exact"/>
              <w:jc w:val="center"/>
              <w:rPr>
                <w:rFonts w:hint="eastAsia" w:ascii="宋体" w:hAnsi="宋体" w:eastAsia="宋体" w:cs="宋体"/>
                <w:color w:val="auto"/>
                <w:kern w:val="0"/>
                <w:sz w:val="24"/>
                <w:highlight w:val="none"/>
              </w:rPr>
            </w:pPr>
          </w:p>
        </w:tc>
        <w:tc>
          <w:tcPr>
            <w:tcW w:w="4122" w:type="dxa"/>
            <w:gridSpan w:val="2"/>
            <w:vMerge w:val="continue"/>
            <w:noWrap w:val="0"/>
            <w:vAlign w:val="center"/>
          </w:tcPr>
          <w:p w14:paraId="18701E77">
            <w:pPr>
              <w:tabs>
                <w:tab w:val="left" w:pos="210"/>
              </w:tabs>
              <w:spacing w:line="320" w:lineRule="exact"/>
              <w:jc w:val="center"/>
              <w:rPr>
                <w:rFonts w:hint="eastAsia" w:ascii="宋体" w:hAnsi="宋体" w:eastAsia="宋体" w:cs="宋体"/>
                <w:color w:val="auto"/>
                <w:kern w:val="0"/>
                <w:sz w:val="24"/>
                <w:highlight w:val="none"/>
              </w:rPr>
            </w:pPr>
          </w:p>
        </w:tc>
        <w:tc>
          <w:tcPr>
            <w:tcW w:w="4298" w:type="dxa"/>
            <w:gridSpan w:val="3"/>
            <w:noWrap w:val="0"/>
            <w:vAlign w:val="bottom"/>
          </w:tcPr>
          <w:p w14:paraId="7A882DF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05263FD6">
            <w:pPr>
              <w:tabs>
                <w:tab w:val="left" w:pos="210"/>
              </w:tabs>
              <w:spacing w:line="320" w:lineRule="exact"/>
              <w:jc w:val="center"/>
              <w:rPr>
                <w:rFonts w:hint="eastAsia" w:ascii="宋体" w:hAnsi="宋体" w:eastAsia="宋体" w:cs="宋体"/>
                <w:color w:val="auto"/>
                <w:kern w:val="0"/>
                <w:sz w:val="24"/>
                <w:highlight w:val="none"/>
              </w:rPr>
            </w:pPr>
          </w:p>
          <w:p w14:paraId="0EF4A966">
            <w:pPr>
              <w:tabs>
                <w:tab w:val="left" w:pos="210"/>
              </w:tabs>
              <w:spacing w:line="320" w:lineRule="exact"/>
              <w:jc w:val="center"/>
              <w:rPr>
                <w:rFonts w:hint="eastAsia" w:ascii="宋体" w:hAnsi="宋体" w:eastAsia="宋体" w:cs="宋体"/>
                <w:color w:val="auto"/>
                <w:kern w:val="0"/>
                <w:sz w:val="24"/>
                <w:highlight w:val="none"/>
              </w:rPr>
            </w:pPr>
          </w:p>
          <w:p w14:paraId="5FF40CDD">
            <w:pPr>
              <w:tabs>
                <w:tab w:val="left" w:pos="210"/>
              </w:tabs>
              <w:spacing w:line="320" w:lineRule="exact"/>
              <w:jc w:val="center"/>
              <w:rPr>
                <w:rFonts w:hint="eastAsia" w:ascii="宋体" w:hAnsi="宋体" w:eastAsia="宋体" w:cs="宋体"/>
                <w:color w:val="auto"/>
                <w:kern w:val="0"/>
                <w:sz w:val="24"/>
                <w:highlight w:val="none"/>
              </w:rPr>
            </w:pPr>
          </w:p>
          <w:p w14:paraId="4239503B">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0F5CB22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（注：参会人员非公司法定代表人的，适用法定代表人授权委托书；参会人员为公司法定代表人的，适用法定代表人证明书。）</w:t>
      </w:r>
    </w:p>
    <w:p w14:paraId="7CB27DB2">
      <w:pPr>
        <w:spacing w:line="480" w:lineRule="auto"/>
        <w:jc w:val="center"/>
        <w:rPr>
          <w:rFonts w:hint="eastAsia" w:ascii="宋体" w:hAnsi="宋体" w:eastAsia="宋体" w:cs="宋体"/>
          <w:color w:val="auto"/>
          <w:sz w:val="24"/>
          <w:highlight w:val="none"/>
        </w:rPr>
      </w:pPr>
    </w:p>
    <w:p w14:paraId="609F0605">
      <w:pPr>
        <w:spacing w:line="480" w:lineRule="auto"/>
        <w:jc w:val="center"/>
        <w:rPr>
          <w:rFonts w:hint="eastAsia" w:ascii="宋体" w:hAnsi="宋体" w:eastAsia="宋体" w:cs="宋体"/>
          <w:b/>
          <w:color w:val="auto"/>
          <w:spacing w:val="4"/>
          <w:sz w:val="30"/>
          <w:szCs w:val="30"/>
          <w:highlight w:val="none"/>
          <w:lang w:eastAsia="zh-CN"/>
        </w:rPr>
      </w:pPr>
    </w:p>
    <w:p w14:paraId="7F843205">
      <w:pP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br w:type="page"/>
      </w:r>
    </w:p>
    <w:p w14:paraId="42DAB23F">
      <w:pPr>
        <w:spacing w:line="480" w:lineRule="auto"/>
        <w:jc w:val="center"/>
        <w:rPr>
          <w:rFonts w:hint="eastAsia" w:ascii="宋体" w:hAnsi="宋体" w:eastAsia="宋体" w:cs="宋体"/>
          <w:b/>
          <w:color w:val="auto"/>
          <w:spacing w:val="4"/>
          <w:sz w:val="30"/>
          <w:szCs w:val="30"/>
          <w:highlight w:val="none"/>
          <w:lang w:eastAsia="zh-CN"/>
        </w:rPr>
      </w:pPr>
      <w:r>
        <w:rPr>
          <w:rFonts w:hint="eastAsia" w:ascii="宋体" w:hAnsi="宋体" w:eastAsia="宋体" w:cs="宋体"/>
          <w:b/>
          <w:color w:val="auto"/>
          <w:spacing w:val="4"/>
          <w:sz w:val="30"/>
          <w:szCs w:val="30"/>
          <w:highlight w:val="none"/>
          <w:lang w:eastAsia="zh-CN"/>
        </w:rPr>
        <w:t>法定代表人授权书</w:t>
      </w:r>
    </w:p>
    <w:p w14:paraId="4403B783">
      <w:pPr>
        <w:pStyle w:val="8"/>
        <w:spacing w:line="360" w:lineRule="auto"/>
        <w:ind w:left="0" w:leftChars="0" w:firstLine="480" w:firstLineChars="200"/>
        <w:rPr>
          <w:rFonts w:hint="eastAsia" w:ascii="宋体" w:hAnsi="宋体" w:eastAsia="宋体" w:cs="宋体"/>
          <w:color w:val="auto"/>
          <w:spacing w:val="4"/>
          <w:sz w:val="24"/>
          <w:szCs w:val="24"/>
          <w:highlight w:val="none"/>
        </w:rPr>
      </w:pPr>
      <w:r>
        <w:rPr>
          <w:rFonts w:hint="eastAsia" w:ascii="宋体" w:hAnsi="宋体" w:eastAsia="宋体" w:cs="宋体"/>
          <w:color w:val="auto"/>
          <w:sz w:val="24"/>
          <w:highlight w:val="none"/>
        </w:rPr>
        <w:t>本授权书声明：注册于中华人民共和国的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（法定代表人姓名）</w:t>
      </w:r>
      <w:r>
        <w:rPr>
          <w:rFonts w:hint="eastAsia" w:ascii="宋体" w:hAnsi="宋体" w:eastAsia="宋体" w:cs="宋体"/>
          <w:color w:val="auto"/>
          <w:sz w:val="24"/>
          <w:highlight w:val="none"/>
        </w:rPr>
        <w:t>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（被授权人的姓名</w:t>
      </w:r>
      <w:r>
        <w:rPr>
          <w:rFonts w:hint="eastAsia" w:ascii="宋体" w:hAnsi="宋体" w:eastAsia="宋体" w:cs="宋体"/>
          <w:color w:val="auto"/>
          <w:sz w:val="24"/>
          <w:highlight w:val="none"/>
          <w:u w:val="single"/>
          <w:lang w:eastAsia="zh-CN"/>
        </w:rPr>
        <w:t>、职务</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为本公司的合法代理人，就项目编号为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（项目编号）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(采购项目名称)      </w:t>
      </w:r>
      <w:r>
        <w:rPr>
          <w:rFonts w:hint="eastAsia" w:ascii="宋体" w:hAnsi="宋体" w:eastAsia="宋体" w:cs="宋体"/>
          <w:color w:val="auto"/>
          <w:sz w:val="24"/>
          <w:highlight w:val="none"/>
        </w:rPr>
        <w:t>的投标，以本公司名义处理一切与之有关的事务。</w:t>
      </w:r>
    </w:p>
    <w:p w14:paraId="6C0556C2">
      <w:pPr>
        <w:spacing w:after="156" w:afterLines="50" w:line="440" w:lineRule="exact"/>
        <w:ind w:firstLine="480" w:firstLineChars="200"/>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highlight w:val="none"/>
        </w:rPr>
        <w:t>本授权书于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盖章</w:t>
      </w:r>
      <w:r>
        <w:rPr>
          <w:rFonts w:hint="eastAsia" w:ascii="宋体" w:hAnsi="宋体" w:eastAsia="宋体" w:cs="宋体"/>
          <w:color w:val="auto"/>
          <w:sz w:val="24"/>
          <w:highlight w:val="none"/>
        </w:rPr>
        <w:t>生效，</w:t>
      </w:r>
      <w:r>
        <w:rPr>
          <w:rFonts w:hint="eastAsia" w:ascii="宋体" w:hAnsi="宋体" w:eastAsia="宋体" w:cs="宋体"/>
          <w:color w:val="auto"/>
          <w:sz w:val="24"/>
          <w:highlight w:val="none"/>
          <w:lang w:val="en-US" w:eastAsia="zh-CN"/>
        </w:rPr>
        <w:t>有效期为自磋商之日起90个日历日。</w:t>
      </w:r>
      <w:r>
        <w:rPr>
          <w:rFonts w:hint="eastAsia" w:ascii="宋体" w:hAnsi="宋体" w:eastAsia="宋体" w:cs="宋体"/>
          <w:color w:val="auto"/>
          <w:spacing w:val="4"/>
          <w:sz w:val="24"/>
          <w:szCs w:val="24"/>
          <w:highlight w:val="none"/>
        </w:rPr>
        <w:t>代理人</w:t>
      </w:r>
      <w:r>
        <w:rPr>
          <w:rFonts w:hint="eastAsia" w:ascii="宋体" w:hAnsi="宋体" w:eastAsia="宋体" w:cs="宋体"/>
          <w:color w:val="auto"/>
          <w:spacing w:val="4"/>
          <w:sz w:val="24"/>
          <w:szCs w:val="24"/>
          <w:highlight w:val="none"/>
          <w:lang w:val="en-US" w:eastAsia="zh-CN"/>
        </w:rPr>
        <w:t>无权再委托，</w:t>
      </w:r>
      <w:r>
        <w:rPr>
          <w:rFonts w:hint="eastAsia" w:ascii="宋体" w:hAnsi="宋体" w:eastAsia="宋体" w:cs="宋体"/>
          <w:color w:val="auto"/>
          <w:spacing w:val="4"/>
          <w:sz w:val="24"/>
          <w:szCs w:val="24"/>
          <w:highlight w:val="none"/>
        </w:rPr>
        <w:t>特此</w:t>
      </w:r>
      <w:r>
        <w:rPr>
          <w:rFonts w:hint="eastAsia" w:ascii="宋体" w:hAnsi="宋体" w:eastAsia="宋体" w:cs="宋体"/>
          <w:color w:val="auto"/>
          <w:spacing w:val="4"/>
          <w:sz w:val="24"/>
          <w:szCs w:val="24"/>
          <w:highlight w:val="none"/>
          <w:lang w:val="en-US" w:eastAsia="zh-CN"/>
        </w:rPr>
        <w:t>声明</w:t>
      </w:r>
      <w:r>
        <w:rPr>
          <w:rFonts w:hint="eastAsia" w:ascii="宋体" w:hAnsi="宋体" w:eastAsia="宋体" w:cs="宋体"/>
          <w:color w:val="auto"/>
          <w:spacing w:val="4"/>
          <w:sz w:val="24"/>
          <w:szCs w:val="24"/>
          <w:highlight w:val="none"/>
        </w:rPr>
        <w:t>。</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9"/>
        <w:gridCol w:w="4401"/>
      </w:tblGrid>
      <w:tr w14:paraId="4026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2" w:hRule="exact"/>
          <w:jc w:val="center"/>
        </w:trPr>
        <w:tc>
          <w:tcPr>
            <w:tcW w:w="4379" w:type="dxa"/>
            <w:tcBorders>
              <w:top w:val="single" w:color="auto" w:sz="4" w:space="0"/>
              <w:left w:val="single" w:color="auto" w:sz="4" w:space="0"/>
              <w:bottom w:val="single" w:color="auto" w:sz="4" w:space="0"/>
              <w:right w:val="single" w:color="auto" w:sz="4" w:space="0"/>
            </w:tcBorders>
            <w:noWrap w:val="0"/>
            <w:vAlign w:val="top"/>
          </w:tcPr>
          <w:p w14:paraId="3B030B09">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B5D00F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法人代表签名：</w:t>
            </w:r>
            <w:r>
              <w:rPr>
                <w:rFonts w:hint="eastAsia" w:ascii="宋体" w:hAnsi="宋体" w:eastAsia="宋体" w:cs="宋体"/>
                <w:color w:val="auto"/>
                <w:kern w:val="2"/>
                <w:sz w:val="24"/>
                <w:szCs w:val="24"/>
                <w:highlight w:val="none"/>
                <w:u w:val="single"/>
                <w:lang w:val="en-US" w:eastAsia="zh-CN" w:bidi="ar"/>
              </w:rPr>
              <w:t xml:space="preserve">                      </w:t>
            </w:r>
          </w:p>
          <w:p w14:paraId="0407F70F">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02ABEF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（公章）：</w:t>
            </w:r>
          </w:p>
          <w:p w14:paraId="39E2C51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3C351DF8">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401" w:type="dxa"/>
            <w:tcBorders>
              <w:top w:val="single" w:color="auto" w:sz="4" w:space="0"/>
              <w:left w:val="single" w:color="auto" w:sz="4" w:space="0"/>
              <w:bottom w:val="single" w:color="auto" w:sz="4" w:space="0"/>
              <w:right w:val="single" w:color="auto" w:sz="4" w:space="0"/>
            </w:tcBorders>
            <w:noWrap w:val="0"/>
            <w:vAlign w:val="center"/>
          </w:tcPr>
          <w:p w14:paraId="3B02FB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（法人代表身份证复印件正反面）</w:t>
            </w:r>
          </w:p>
        </w:tc>
      </w:tr>
    </w:tbl>
    <w:p w14:paraId="7E25174C">
      <w:pPr>
        <w:keepNext w:val="0"/>
        <w:keepLines w:val="0"/>
        <w:widowControl w:val="0"/>
        <w:suppressLineNumbers w:val="0"/>
        <w:autoSpaceDE w:val="0"/>
        <w:autoSpaceDN w:val="0"/>
        <w:adjustRightInd w:val="0"/>
        <w:spacing w:before="0" w:beforeAutospacing="0" w:after="0" w:afterAutospacing="0"/>
        <w:ind w:left="0" w:right="0"/>
        <w:jc w:val="both"/>
        <w:rPr>
          <w:rFonts w:hint="eastAsia" w:ascii="宋体" w:hAnsi="宋体" w:eastAsia="宋体" w:cs="宋体"/>
          <w:color w:val="auto"/>
          <w:sz w:val="24"/>
          <w:szCs w:val="24"/>
          <w:highlight w:val="none"/>
          <w:lang w:val="en-US"/>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81"/>
      </w:tblGrid>
      <w:tr w14:paraId="6A2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exact"/>
          <w:jc w:val="center"/>
        </w:trPr>
        <w:tc>
          <w:tcPr>
            <w:tcW w:w="4359" w:type="dxa"/>
            <w:tcBorders>
              <w:top w:val="single" w:color="auto" w:sz="4" w:space="0"/>
              <w:left w:val="single" w:color="auto" w:sz="4" w:space="0"/>
              <w:bottom w:val="single" w:color="auto" w:sz="4" w:space="0"/>
              <w:right w:val="single" w:color="auto" w:sz="4" w:space="0"/>
            </w:tcBorders>
            <w:noWrap w:val="0"/>
            <w:vAlign w:val="top"/>
          </w:tcPr>
          <w:p w14:paraId="5780461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5EA618D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代理人（被授权人）签字：</w:t>
            </w:r>
            <w:r>
              <w:rPr>
                <w:rFonts w:hint="eastAsia" w:ascii="宋体" w:hAnsi="宋体" w:eastAsia="宋体" w:cs="宋体"/>
                <w:color w:val="auto"/>
                <w:kern w:val="2"/>
                <w:sz w:val="24"/>
                <w:szCs w:val="24"/>
                <w:highlight w:val="none"/>
                <w:u w:val="single"/>
                <w:lang w:val="en-US" w:eastAsia="zh-CN" w:bidi="ar"/>
              </w:rPr>
              <w:t xml:space="preserve">                       </w:t>
            </w:r>
          </w:p>
          <w:p w14:paraId="62C3413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4A01685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职务：</w:t>
            </w:r>
            <w:r>
              <w:rPr>
                <w:rFonts w:hint="eastAsia" w:ascii="宋体" w:hAnsi="宋体" w:eastAsia="宋体" w:cs="宋体"/>
                <w:color w:val="auto"/>
                <w:kern w:val="2"/>
                <w:sz w:val="24"/>
                <w:szCs w:val="24"/>
                <w:highlight w:val="none"/>
                <w:u w:val="single"/>
                <w:lang w:val="en-US" w:eastAsia="zh-CN" w:bidi="ar"/>
              </w:rPr>
              <w:t xml:space="preserve">                         </w:t>
            </w:r>
          </w:p>
          <w:p w14:paraId="20297B7A">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u w:val="single"/>
                <w:lang w:val="en-US"/>
              </w:rPr>
            </w:pPr>
          </w:p>
          <w:p w14:paraId="5F72C050">
            <w:pPr>
              <w:keepNext w:val="0"/>
              <w:keepLines w:val="0"/>
              <w:widowControl w:val="0"/>
              <w:suppressLineNumbers w:val="0"/>
              <w:spacing w:before="0" w:beforeAutospacing="0" w:after="0" w:afterAutospacing="0"/>
              <w:ind w:left="0" w:right="0" w:firstLine="2280" w:firstLineChars="9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年   月   日</w:t>
            </w:r>
          </w:p>
        </w:tc>
        <w:tc>
          <w:tcPr>
            <w:tcW w:w="4381" w:type="dxa"/>
            <w:tcBorders>
              <w:top w:val="single" w:color="auto" w:sz="4" w:space="0"/>
              <w:left w:val="single" w:color="auto" w:sz="4" w:space="0"/>
              <w:bottom w:val="single" w:color="auto" w:sz="4" w:space="0"/>
              <w:right w:val="single" w:color="auto" w:sz="4" w:space="0"/>
            </w:tcBorders>
            <w:noWrap w:val="0"/>
            <w:vAlign w:val="center"/>
          </w:tcPr>
          <w:p w14:paraId="7A70303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4"/>
                <w:szCs w:val="24"/>
                <w:highlight w:val="none"/>
                <w:u w:val="single"/>
                <w:lang w:val="en-US"/>
              </w:rPr>
            </w:pPr>
            <w:r>
              <w:rPr>
                <w:rFonts w:hint="eastAsia" w:ascii="宋体" w:hAnsi="宋体" w:eastAsia="宋体" w:cs="宋体"/>
                <w:color w:val="auto"/>
                <w:kern w:val="2"/>
                <w:sz w:val="24"/>
                <w:szCs w:val="24"/>
                <w:highlight w:val="none"/>
                <w:lang w:val="en-US" w:eastAsia="zh-CN" w:bidi="ar"/>
              </w:rPr>
              <w:t>（被授权人身份证复印件正反面）</w:t>
            </w:r>
          </w:p>
        </w:tc>
      </w:tr>
    </w:tbl>
    <w:p w14:paraId="23749EF4">
      <w:pPr>
        <w:spacing w:line="480" w:lineRule="auto"/>
        <w:jc w:val="center"/>
        <w:rPr>
          <w:rFonts w:hint="eastAsia" w:ascii="宋体" w:hAnsi="宋体" w:eastAsia="宋体" w:cs="宋体"/>
          <w:b/>
          <w:color w:val="auto"/>
          <w:spacing w:val="4"/>
          <w:sz w:val="30"/>
          <w:szCs w:val="30"/>
          <w:highlight w:val="none"/>
          <w:lang w:eastAsia="zh-CN"/>
        </w:rPr>
      </w:pPr>
    </w:p>
    <w:p w14:paraId="6D3196F7">
      <w:pPr>
        <w:jc w:val="left"/>
        <w:rPr>
          <w:rFonts w:hint="eastAsia" w:ascii="宋体" w:hAnsi="宋体" w:eastAsia="宋体" w:cs="宋体"/>
          <w:color w:val="000000"/>
          <w:sz w:val="21"/>
          <w:szCs w:val="21"/>
        </w:rPr>
      </w:pPr>
      <w:r>
        <w:rPr>
          <w:rFonts w:hint="eastAsia" w:ascii="宋体" w:hAnsi="宋体" w:eastAsia="宋体" w:cs="宋体"/>
          <w:b/>
          <w:color w:val="auto"/>
          <w:spacing w:val="4"/>
          <w:sz w:val="30"/>
          <w:szCs w:val="30"/>
          <w:highlight w:val="none"/>
          <w:lang w:val="en-US" w:eastAsia="zh-CN"/>
        </w:rPr>
        <w:br w:type="page"/>
      </w:r>
    </w:p>
    <w:p w14:paraId="02FAA4CD">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书面声明函（格式）</w:t>
      </w:r>
    </w:p>
    <w:p w14:paraId="4EF8F89F">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w:t>
      </w:r>
    </w:p>
    <w:p w14:paraId="270F4231">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我方作为</w:t>
      </w:r>
      <w:r>
        <w:rPr>
          <w:rFonts w:hint="eastAsia" w:ascii="宋体" w:hAnsi="宋体" w:eastAsia="宋体" w:cs="宋体"/>
          <w:sz w:val="24"/>
          <w:szCs w:val="24"/>
        </w:rPr>
        <w:t>《</w:t>
      </w:r>
      <w:r>
        <w:rPr>
          <w:rFonts w:hint="eastAsia" w:ascii="宋体" w:hAnsi="宋体" w:eastAsia="宋体" w:cs="宋体"/>
          <w:sz w:val="24"/>
          <w:szCs w:val="24"/>
          <w:u w:val="single"/>
        </w:rPr>
        <w:t>项目名称</w:t>
      </w:r>
      <w:r>
        <w:rPr>
          <w:rFonts w:hint="eastAsia" w:ascii="宋体" w:hAnsi="宋体" w:eastAsia="宋体" w:cs="宋体"/>
          <w:sz w:val="24"/>
          <w:szCs w:val="24"/>
        </w:rPr>
        <w:t>》（项目编号：）（标段名称：）（标段编号：）</w:t>
      </w:r>
      <w:r>
        <w:rPr>
          <w:rFonts w:hint="eastAsia" w:ascii="宋体" w:hAnsi="宋体" w:eastAsia="宋体" w:cs="宋体"/>
          <w:color w:val="000000"/>
          <w:sz w:val="24"/>
          <w:szCs w:val="24"/>
        </w:rPr>
        <w:t>的投标人，在此郑重声明：</w:t>
      </w:r>
    </w:p>
    <w:p w14:paraId="2158468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1.在参加本次政府采购活动前3年内的经营活动中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（填“没有”或“有”）重大违法记录。（投标人在参加政府采购活动前3年内因违法经营被禁止在一定期限内参加政府采购活动，期限届满的，可以参加政府采购活动，但应提供期限届满的证明材料。）</w:t>
      </w:r>
    </w:p>
    <w:p w14:paraId="5BD20AB6">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（填“未被列入”或“被列入”）严重失信主体名单。</w:t>
      </w:r>
    </w:p>
    <w:p w14:paraId="0F870AD2">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（填“未被列入”或“被列入”）重大税收违法失信主体名单。</w:t>
      </w:r>
    </w:p>
    <w:p w14:paraId="439F531A">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（填“未被列入”或“被列入”）政府采购严重违法失信行为记录名单。</w:t>
      </w:r>
    </w:p>
    <w:p w14:paraId="36714C5B">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如有不实，我方将无条件地退出本项目的采购活动，并遵照《政府采购法》有关“提供虚假材料的规定”接受处罚。</w:t>
      </w:r>
    </w:p>
    <w:p w14:paraId="3E4568EE">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0237F04D">
      <w:pPr>
        <w:spacing w:line="360" w:lineRule="auto"/>
        <w:ind w:firstLine="480" w:firstLineChars="200"/>
        <w:jc w:val="left"/>
        <w:rPr>
          <w:rFonts w:hint="eastAsia" w:ascii="宋体" w:hAnsi="宋体" w:eastAsia="宋体" w:cs="宋体"/>
          <w:color w:val="000000"/>
          <w:sz w:val="24"/>
          <w:szCs w:val="24"/>
        </w:rPr>
      </w:pPr>
    </w:p>
    <w:p w14:paraId="15576B59">
      <w:pPr>
        <w:spacing w:line="288" w:lineRule="auto"/>
        <w:ind w:firstLine="480" w:firstLineChars="200"/>
        <w:jc w:val="left"/>
        <w:rPr>
          <w:rFonts w:hint="eastAsia" w:ascii="宋体" w:hAnsi="宋体" w:eastAsia="宋体" w:cs="宋体"/>
          <w:color w:val="000000"/>
          <w:sz w:val="24"/>
          <w:szCs w:val="24"/>
        </w:rPr>
      </w:pPr>
    </w:p>
    <w:p w14:paraId="665D4E31">
      <w:pPr>
        <w:spacing w:line="288" w:lineRule="auto"/>
        <w:ind w:firstLine="480" w:firstLineChars="200"/>
        <w:jc w:val="left"/>
        <w:rPr>
          <w:rFonts w:hint="eastAsia" w:ascii="宋体" w:hAnsi="宋体" w:eastAsia="宋体" w:cs="宋体"/>
          <w:color w:val="000000"/>
          <w:sz w:val="24"/>
          <w:szCs w:val="24"/>
        </w:rPr>
      </w:pPr>
    </w:p>
    <w:p w14:paraId="186B579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投标供应商：</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（盖单位章）</w:t>
      </w:r>
    </w:p>
    <w:p w14:paraId="6CA86465">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法定代表人或其委托代理人：</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（签字或盖章）</w:t>
      </w:r>
    </w:p>
    <w:p w14:paraId="70756EBB">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                                                年     月    日</w:t>
      </w:r>
    </w:p>
    <w:p w14:paraId="3093AC4C">
      <w:pPr>
        <w:keepNext w:val="0"/>
        <w:keepLines w:val="0"/>
        <w:widowControl/>
        <w:suppressLineNumbers w:val="0"/>
        <w:spacing w:line="480" w:lineRule="auto"/>
        <w:jc w:val="both"/>
        <w:rPr>
          <w:rFonts w:hint="eastAsia" w:ascii="宋体" w:hAnsi="宋体" w:eastAsia="宋体" w:cs="宋体"/>
          <w:kern w:val="0"/>
          <w:sz w:val="24"/>
          <w:szCs w:val="24"/>
          <w:lang w:val="en-US" w:eastAsia="zh-CN" w:bidi="ar"/>
        </w:rPr>
      </w:pPr>
    </w:p>
    <w:p w14:paraId="0C64CE37">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75150EBE">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52C1F684">
      <w:pPr>
        <w:spacing w:line="360" w:lineRule="auto"/>
        <w:jc w:val="center"/>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t>供应商无重大违法记录的书面声明（格式）</w:t>
      </w:r>
    </w:p>
    <w:p w14:paraId="0D891A29">
      <w:pPr>
        <w:pStyle w:val="6"/>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（采购人名称）： </w:t>
      </w:r>
    </w:p>
    <w:p w14:paraId="7630695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我公司 </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，就参加</w:t>
      </w:r>
      <w:r>
        <w:rPr>
          <w:rFonts w:hint="eastAsia" w:ascii="宋体" w:hAnsi="宋体" w:eastAsia="宋体" w:cs="宋体"/>
          <w:sz w:val="24"/>
          <w:szCs w:val="24"/>
          <w:u w:val="single"/>
        </w:rPr>
        <w:t xml:space="preserve">     （项目名称）</w:t>
      </w:r>
      <w:r>
        <w:rPr>
          <w:rFonts w:hint="eastAsia" w:ascii="宋体" w:hAnsi="宋体" w:eastAsia="宋体" w:cs="宋体"/>
          <w:sz w:val="24"/>
          <w:szCs w:val="24"/>
        </w:rPr>
        <w:t>（采购项目编号：）磋商事宜，在此郑重声明：</w:t>
      </w:r>
    </w:p>
    <w:p w14:paraId="6B0075A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1、我公司所提交的竞争性磋商响应文件全部真实有效；</w:t>
      </w:r>
    </w:p>
    <w:p w14:paraId="0BD6B95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97C73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1ABA9FC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392BC62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5、我公司承诺在磋商过程中，保证不予其他单位围标、串标，不出让投标资格，不采取不正当手段诋毁、排挤其他投标人，不向采购人、评标委员会成员行贿。</w:t>
      </w:r>
    </w:p>
    <w:p w14:paraId="62FF07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5BFA057E">
      <w:pPr>
        <w:spacing w:line="360" w:lineRule="auto"/>
        <w:ind w:firstLine="480" w:firstLineChars="200"/>
        <w:rPr>
          <w:rFonts w:hint="eastAsia" w:ascii="宋体" w:hAnsi="宋体" w:eastAsia="宋体" w:cs="宋体"/>
          <w:sz w:val="24"/>
          <w:szCs w:val="24"/>
        </w:rPr>
      </w:pPr>
    </w:p>
    <w:p w14:paraId="1A7BC09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2A45F2DB">
      <w:pPr>
        <w:spacing w:line="360" w:lineRule="auto"/>
        <w:ind w:firstLine="480" w:firstLineChars="200"/>
        <w:rPr>
          <w:rFonts w:hint="eastAsia" w:ascii="宋体" w:hAnsi="宋体" w:eastAsia="宋体" w:cs="宋体"/>
          <w:sz w:val="24"/>
          <w:szCs w:val="24"/>
        </w:rPr>
      </w:pPr>
    </w:p>
    <w:p w14:paraId="1D9D45B6">
      <w:pPr>
        <w:rPr>
          <w:rFonts w:hint="eastAsia" w:ascii="宋体" w:hAnsi="宋体" w:eastAsia="宋体" w:cs="宋体"/>
          <w:b/>
          <w:sz w:val="24"/>
          <w:szCs w:val="24"/>
        </w:rPr>
      </w:pPr>
    </w:p>
    <w:p w14:paraId="23E0DAA3">
      <w:pPr>
        <w:spacing w:line="360" w:lineRule="auto"/>
        <w:ind w:firstLine="480" w:firstLineChars="200"/>
        <w:rPr>
          <w:rFonts w:hint="eastAsia" w:ascii="宋体" w:hAnsi="宋体" w:eastAsia="宋体" w:cs="宋体"/>
          <w:color w:val="auto"/>
          <w:sz w:val="24"/>
          <w:szCs w:val="24"/>
          <w:highlight w:val="none"/>
        </w:rPr>
      </w:pPr>
    </w:p>
    <w:p w14:paraId="0073E51F">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磋商供应商：</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（盖单位章）</w:t>
      </w:r>
    </w:p>
    <w:p w14:paraId="4F74D857">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6D11C562">
      <w:pPr>
        <w:keepNext w:val="0"/>
        <w:keepLines w:val="0"/>
        <w:widowControl/>
        <w:suppressLineNumbers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2B8B57C4">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color w:val="auto"/>
          <w:sz w:val="32"/>
          <w:szCs w:val="32"/>
          <w:highlight w:val="none"/>
        </w:rPr>
      </w:pPr>
    </w:p>
    <w:p w14:paraId="2B382ED2">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宋体" w:hAnsi="宋体" w:eastAsia="宋体" w:cs="宋体"/>
          <w:b/>
          <w:color w:val="auto"/>
          <w:spacing w:val="4"/>
          <w:sz w:val="30"/>
          <w:szCs w:val="30"/>
          <w:highlight w:val="none"/>
          <w:lang w:val="en-US" w:eastAsia="zh-CN"/>
        </w:rPr>
      </w:pPr>
    </w:p>
    <w:p w14:paraId="2ED7F76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color w:val="auto"/>
          <w:spacing w:val="4"/>
          <w:sz w:val="30"/>
          <w:szCs w:val="30"/>
          <w:highlight w:val="none"/>
          <w:lang w:val="en-US" w:eastAsia="zh-CN"/>
        </w:rPr>
      </w:pPr>
    </w:p>
    <w:p w14:paraId="7E79DD9B">
      <w:pPr>
        <w:rPr>
          <w:rFonts w:hint="eastAsia" w:ascii="宋体" w:hAnsi="宋体" w:eastAsia="宋体" w:cs="宋体"/>
          <w:b/>
          <w:bCs/>
          <w:color w:val="auto"/>
          <w:sz w:val="30"/>
          <w:szCs w:val="30"/>
          <w:highlight w:val="none"/>
          <w:shd w:val="clear" w:color="auto" w:fill="auto"/>
        </w:rPr>
      </w:pPr>
      <w:r>
        <w:rPr>
          <w:rFonts w:hint="eastAsia" w:ascii="宋体" w:hAnsi="宋体" w:eastAsia="宋体" w:cs="宋体"/>
          <w:b/>
          <w:bCs/>
          <w:color w:val="auto"/>
          <w:sz w:val="30"/>
          <w:szCs w:val="30"/>
          <w:highlight w:val="none"/>
          <w:shd w:val="clear" w:color="auto" w:fill="auto"/>
        </w:rPr>
        <w:br w:type="page"/>
      </w:r>
    </w:p>
    <w:p w14:paraId="052AA5B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0"/>
          <w:szCs w:val="30"/>
          <w:highlight w:val="none"/>
          <w:shd w:val="clear" w:color="auto" w:fill="auto"/>
        </w:rPr>
        <w:t>中小企业声明函（工程、服务）</w:t>
      </w:r>
    </w:p>
    <w:p w14:paraId="2475CB8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6662D4CB">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（单位名称）的</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（项目名称）</w:t>
      </w:r>
      <w:r>
        <w:rPr>
          <w:rFonts w:hint="eastAsia" w:ascii="宋体" w:hAnsi="宋体" w:eastAsia="宋体" w:cs="宋体"/>
          <w:color w:val="auto"/>
          <w:sz w:val="24"/>
          <w:highlight w:val="none"/>
          <w:shd w:val="clear" w:color="auto" w:fill="auto"/>
        </w:rPr>
        <w:t>采购活动，服务全部由符合政策要求的中小企业承接。相关企业（含联合体中的中小企业、签订分包意向协议的中小企业）的具体情况如下：</w:t>
      </w:r>
    </w:p>
    <w:p w14:paraId="083C73DC">
      <w:pPr>
        <w:keepNext w:val="0"/>
        <w:keepLines w:val="0"/>
        <w:pageBreakBefore w:val="0"/>
        <w:widowControl/>
        <w:numPr>
          <w:ilvl w:val="0"/>
          <w:numId w:val="13"/>
        </w:numPr>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u w:val="single"/>
          <w:shd w:val="clear" w:color="auto" w:fill="auto"/>
          <w:lang w:val="en-US" w:eastAsia="zh-CN"/>
        </w:rPr>
        <w:t>建筑业</w:t>
      </w:r>
      <w:r>
        <w:rPr>
          <w:rFonts w:hint="eastAsia" w:ascii="宋体" w:hAnsi="宋体" w:eastAsia="宋体" w:cs="宋体"/>
          <w:color w:val="auto"/>
          <w:sz w:val="24"/>
          <w:highlight w:val="none"/>
          <w:u w:val="single"/>
          <w:shd w:val="clear" w:color="auto" w:fill="auto"/>
        </w:rPr>
        <w:t>）</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0CB993A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2.</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（标的名称）</w:t>
      </w:r>
      <w:r>
        <w:rPr>
          <w:rFonts w:hint="eastAsia" w:ascii="宋体" w:hAnsi="宋体" w:eastAsia="宋体" w:cs="宋体"/>
          <w:color w:val="auto"/>
          <w:sz w:val="24"/>
          <w:highlight w:val="none"/>
          <w:shd w:val="clear" w:color="auto" w:fill="auto"/>
        </w:rPr>
        <w:t>，属于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（采购文件中明确的所属行业）</w:t>
      </w:r>
      <w:r>
        <w:rPr>
          <w:rFonts w:hint="eastAsia" w:ascii="宋体" w:hAnsi="宋体" w:eastAsia="宋体" w:cs="宋体"/>
          <w:color w:val="auto"/>
          <w:sz w:val="24"/>
          <w:highlight w:val="none"/>
          <w:shd w:val="clear" w:color="auto" w:fill="auto"/>
        </w:rPr>
        <w:t xml:space="preserve"> ；承建（承接）企业为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u w:val="single"/>
          <w:shd w:val="clear" w:color="auto" w:fill="auto"/>
        </w:rPr>
        <w:t>（企业名称）</w:t>
      </w:r>
      <w:r>
        <w:rPr>
          <w:rFonts w:hint="eastAsia" w:ascii="宋体" w:hAnsi="宋体" w:eastAsia="宋体" w:cs="宋体"/>
          <w:color w:val="auto"/>
          <w:sz w:val="24"/>
          <w:highlight w:val="none"/>
          <w:shd w:val="clear" w:color="auto" w:fill="auto"/>
        </w:rPr>
        <w:t xml:space="preserve"> ，从业人员</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人，营业收入为</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万元，资产总额为</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万元 ，属于</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u w:val="single"/>
          <w:shd w:val="clear" w:color="auto" w:fill="auto"/>
        </w:rPr>
        <w:tab/>
      </w:r>
      <w:r>
        <w:rPr>
          <w:rFonts w:hint="eastAsia" w:ascii="宋体" w:hAnsi="宋体" w:eastAsia="宋体" w:cs="宋体"/>
          <w:color w:val="auto"/>
          <w:sz w:val="24"/>
          <w:highlight w:val="none"/>
          <w:shd w:val="clear" w:color="auto" w:fill="auto"/>
        </w:rPr>
        <w:t>（中型企业、小型企业、微型企业）；</w:t>
      </w:r>
    </w:p>
    <w:p w14:paraId="74B242B1">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p w14:paraId="2174C4F5">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以上企业，不属于大企业的分支机构，不存在控股股东为大企业的情形，也不存在与大企业的负责人为同一人的情形。</w:t>
      </w:r>
    </w:p>
    <w:p w14:paraId="244613E2">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本企业对上述声明内容的真实性负责。如有虚假，将依法承担相应责任。</w:t>
      </w:r>
    </w:p>
    <w:p w14:paraId="4B822ACA">
      <w:pPr>
        <w:keepNext w:val="0"/>
        <w:keepLines w:val="0"/>
        <w:pageBreakBefore w:val="0"/>
        <w:widowControl/>
        <w:kinsoku/>
        <w:wordWrap/>
        <w:overflowPunct/>
        <w:topLinePunct w:val="0"/>
        <w:autoSpaceDE/>
        <w:autoSpaceDN/>
        <w:bidi w:val="0"/>
        <w:adjustRightInd/>
        <w:snapToGrid w:val="0"/>
        <w:spacing w:line="384" w:lineRule="auto"/>
        <w:ind w:firstLine="480" w:firstLineChars="200"/>
        <w:jc w:val="left"/>
        <w:textAlignment w:val="auto"/>
        <w:rPr>
          <w:rFonts w:hint="eastAsia" w:ascii="宋体" w:hAnsi="宋体" w:eastAsia="宋体" w:cs="宋体"/>
          <w:color w:val="auto"/>
          <w:sz w:val="24"/>
          <w:highlight w:val="none"/>
          <w:shd w:val="clear" w:color="auto" w:fill="auto"/>
        </w:rPr>
      </w:pPr>
    </w:p>
    <w:p w14:paraId="737B531F">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企业名称（盖章）： </w:t>
      </w:r>
    </w:p>
    <w:p w14:paraId="25394394">
      <w:pPr>
        <w:keepNext w:val="0"/>
        <w:keepLines w:val="0"/>
        <w:pageBreakBefore w:val="0"/>
        <w:widowControl/>
        <w:kinsoku/>
        <w:wordWrap/>
        <w:overflowPunct/>
        <w:topLinePunct w:val="0"/>
        <w:autoSpaceDE/>
        <w:autoSpaceDN/>
        <w:bidi w:val="0"/>
        <w:adjustRightInd/>
        <w:snapToGrid w:val="0"/>
        <w:spacing w:line="384" w:lineRule="auto"/>
        <w:ind w:firstLine="5520" w:firstLineChars="230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日</w:t>
      </w:r>
      <w:r>
        <w:rPr>
          <w:rFonts w:hint="eastAsia" w:ascii="宋体" w:hAnsi="宋体" w:eastAsia="宋体" w:cs="宋体"/>
          <w:color w:val="auto"/>
          <w:sz w:val="24"/>
          <w:highlight w:val="none"/>
          <w:shd w:val="clear" w:color="auto" w:fill="auto"/>
        </w:rPr>
        <w:tab/>
      </w:r>
      <w:r>
        <w:rPr>
          <w:rFonts w:hint="eastAsia" w:ascii="宋体" w:hAnsi="宋体" w:eastAsia="宋体" w:cs="宋体"/>
          <w:color w:val="auto"/>
          <w:sz w:val="24"/>
          <w:highlight w:val="none"/>
          <w:shd w:val="clear" w:color="auto" w:fill="auto"/>
        </w:rPr>
        <w:t>期：</w:t>
      </w:r>
    </w:p>
    <w:p w14:paraId="4CC086B2">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z w:val="24"/>
          <w:highlight w:val="none"/>
          <w:shd w:val="clear" w:color="auto" w:fill="auto"/>
        </w:rPr>
      </w:pPr>
    </w:p>
    <w:p w14:paraId="134D283F">
      <w:pPr>
        <w:keepNext w:val="0"/>
        <w:keepLines w:val="0"/>
        <w:pageBreakBefore w:val="0"/>
        <w:widowControl/>
        <w:kinsoku/>
        <w:wordWrap/>
        <w:overflowPunct/>
        <w:topLinePunct w:val="0"/>
        <w:autoSpaceDE/>
        <w:autoSpaceDN/>
        <w:bidi w:val="0"/>
        <w:adjustRightInd/>
        <w:snapToGrid w:val="0"/>
        <w:spacing w:line="360" w:lineRule="auto"/>
        <w:ind w:firstLine="440" w:firstLineChars="200"/>
        <w:jc w:val="left"/>
        <w:textAlignment w:val="auto"/>
        <w:rPr>
          <w:rFonts w:hint="eastAsia" w:ascii="宋体" w:hAnsi="宋体" w:eastAsia="宋体" w:cs="宋体"/>
          <w:color w:val="auto"/>
          <w:sz w:val="22"/>
          <w:szCs w:val="18"/>
          <w:highlight w:val="none"/>
          <w:shd w:val="clear" w:color="auto" w:fill="auto"/>
        </w:rPr>
      </w:pPr>
    </w:p>
    <w:p w14:paraId="217951D9">
      <w:pPr>
        <w:keepNext w:val="0"/>
        <w:keepLines w:val="0"/>
        <w:pageBreakBefore w:val="0"/>
        <w:widowControl/>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注：</w:t>
      </w:r>
      <w:r>
        <w:rPr>
          <w:rFonts w:hint="eastAsia" w:ascii="宋体" w:hAnsi="宋体" w:eastAsia="宋体" w:cs="宋体"/>
          <w:color w:val="auto"/>
          <w:sz w:val="24"/>
          <w:szCs w:val="24"/>
          <w:highlight w:val="none"/>
          <w:shd w:val="clear" w:color="auto" w:fill="auto"/>
        </w:rPr>
        <w:t>1、从业人员、营业收入、资产总额填报上一年度数据，无上一年度数据的新成立企业可不填报。</w:t>
      </w:r>
    </w:p>
    <w:p w14:paraId="5BD34CD1">
      <w:pPr>
        <w:keepNext w:val="0"/>
        <w:keepLines w:val="0"/>
        <w:pageBreakBefore w:val="0"/>
        <w:widowControl/>
        <w:numPr>
          <w:ilvl w:val="0"/>
          <w:numId w:val="14"/>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填写前请认真阅读《工业和信息化部、国家统计局、国家发展和改革委员会、财政部关于印发中小企业划型标准规定的通知》（工信部联企业[2011]300 号）和关于印发《政府采购促进中小企业发展管理办法》的通知（财库〔2020〕46 号）相关规定。</w:t>
      </w:r>
    </w:p>
    <w:p w14:paraId="2139D2B7">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未按上述要求提供、填写的，评审时不予以考虑。</w:t>
      </w:r>
    </w:p>
    <w:p w14:paraId="404D6E78">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shd w:val="clear" w:color="auto" w:fill="auto"/>
          <w:lang w:val="en-US" w:eastAsia="zh-CN"/>
        </w:rPr>
        <w:t>4、说明：本采购项目属于“建筑业”。</w:t>
      </w:r>
    </w:p>
    <w:p w14:paraId="40FC40DB">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3DC0DCD9">
      <w:pPr>
        <w:spacing w:line="520" w:lineRule="exact"/>
        <w:ind w:left="0" w:leftChars="0"/>
        <w:jc w:val="center"/>
        <w:rPr>
          <w:rFonts w:hint="eastAsia" w:ascii="宋体" w:hAnsi="宋体" w:eastAsia="宋体" w:cs="宋体"/>
          <w:b/>
          <w:color w:val="000000"/>
          <w:kern w:val="0"/>
          <w:sz w:val="40"/>
          <w:szCs w:val="40"/>
          <w:highlight w:val="none"/>
          <w:lang w:eastAsia="zh-CN"/>
        </w:rPr>
      </w:pPr>
      <w:r>
        <w:rPr>
          <w:rFonts w:hint="eastAsia" w:ascii="宋体" w:hAnsi="宋体" w:cs="宋体"/>
          <w:b/>
          <w:color w:val="auto"/>
          <w:spacing w:val="4"/>
          <w:sz w:val="32"/>
          <w:szCs w:val="32"/>
          <w:highlight w:val="none"/>
          <w:lang w:val="en-US" w:eastAsia="zh-CN"/>
        </w:rPr>
        <w:t>四</w:t>
      </w:r>
      <w:r>
        <w:rPr>
          <w:rFonts w:hint="eastAsia" w:ascii="宋体" w:hAnsi="宋体" w:eastAsia="宋体" w:cs="宋体"/>
          <w:b/>
          <w:color w:val="auto"/>
          <w:spacing w:val="4"/>
          <w:sz w:val="32"/>
          <w:szCs w:val="32"/>
          <w:highlight w:val="none"/>
          <w:lang w:val="en-US" w:eastAsia="zh-CN"/>
        </w:rPr>
        <w:t>、供应商概况</w:t>
      </w:r>
    </w:p>
    <w:tbl>
      <w:tblPr>
        <w:tblStyle w:val="16"/>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宋体" w:hAnsi="宋体" w:eastAsia="宋体" w:cs="宋体"/>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宋体" w:hAnsi="宋体" w:eastAsia="宋体" w:cs="宋体"/>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宋体" w:hAnsi="宋体" w:eastAsia="宋体" w:cs="宋体"/>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宋体" w:hAnsi="宋体" w:eastAsia="宋体" w:cs="宋体"/>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宋体" w:hAnsi="宋体" w:eastAsia="宋体" w:cs="宋体"/>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宋体" w:hAnsi="宋体" w:eastAsia="宋体" w:cs="宋体"/>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宋体" w:hAnsi="宋体" w:eastAsia="宋体" w:cs="宋体"/>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宋体" w:hAnsi="宋体" w:eastAsia="宋体" w:cs="宋体"/>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宋体" w:hAnsi="宋体" w:eastAsia="宋体" w:cs="宋体"/>
                <w:color w:val="000000"/>
                <w:kern w:val="0"/>
                <w:sz w:val="24"/>
                <w:szCs w:val="20"/>
                <w:highlight w:val="none"/>
                <w:lang w:eastAsia="zh-CN"/>
              </w:rPr>
            </w:pPr>
            <w:r>
              <w:rPr>
                <w:rFonts w:hint="eastAsia" w:ascii="宋体" w:hAnsi="宋体" w:eastAsia="宋体" w:cs="宋体"/>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宋体" w:hAnsi="宋体" w:eastAsia="宋体" w:cs="宋体"/>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宋体" w:hAnsi="宋体" w:eastAsia="宋体" w:cs="宋体"/>
                <w:color w:val="000000"/>
                <w:kern w:val="0"/>
                <w:sz w:val="24"/>
                <w:szCs w:val="20"/>
                <w:highlight w:val="none"/>
              </w:rPr>
            </w:pPr>
          </w:p>
        </w:tc>
      </w:tr>
    </w:tbl>
    <w:p w14:paraId="3CA0C71B">
      <w:pPr>
        <w:bidi w:val="0"/>
        <w:rPr>
          <w:rFonts w:hint="eastAsia" w:ascii="宋体" w:hAnsi="宋体" w:eastAsia="宋体" w:cs="宋体"/>
          <w:color w:val="000000"/>
          <w:kern w:val="0"/>
          <w:sz w:val="32"/>
          <w:szCs w:val="32"/>
          <w:highlight w:val="none"/>
        </w:rPr>
      </w:pPr>
    </w:p>
    <w:p w14:paraId="47E7320B">
      <w:pPr>
        <w:adjustRightInd w:val="0"/>
        <w:spacing w:line="400" w:lineRule="exact"/>
        <w:ind w:leftChars="100" w:firstLine="420" w:firstLineChars="175"/>
        <w:jc w:val="left"/>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供 应 商：</w:t>
      </w:r>
      <w:r>
        <w:rPr>
          <w:rFonts w:hint="eastAsia" w:ascii="宋体" w:hAnsi="宋体" w:eastAsia="宋体" w:cs="宋体"/>
          <w:bCs/>
          <w:color w:val="000000"/>
          <w:kern w:val="0"/>
          <w:sz w:val="24"/>
          <w:szCs w:val="20"/>
          <w:highlight w:val="none"/>
          <w:lang w:val="en-US" w:eastAsia="zh-CN"/>
        </w:rPr>
        <w:t xml:space="preserve">             </w:t>
      </w:r>
      <w:r>
        <w:rPr>
          <w:rFonts w:hint="eastAsia" w:ascii="宋体" w:hAnsi="宋体" w:eastAsia="宋体" w:cs="宋体"/>
          <w:bCs/>
          <w:color w:val="000000"/>
          <w:kern w:val="0"/>
          <w:sz w:val="24"/>
          <w:szCs w:val="20"/>
          <w:highlight w:val="none"/>
        </w:rPr>
        <w:t>（盖章）</w:t>
      </w:r>
    </w:p>
    <w:p w14:paraId="1E16935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p>
    <w:p w14:paraId="01B8287F">
      <w:pPr>
        <w:adjustRightInd w:val="0"/>
        <w:spacing w:line="400" w:lineRule="exact"/>
        <w:ind w:leftChars="100" w:firstLine="420" w:firstLineChars="175"/>
        <w:jc w:val="left"/>
        <w:rPr>
          <w:rFonts w:hint="eastAsia" w:ascii="宋体" w:hAnsi="宋体" w:eastAsia="宋体" w:cs="宋体"/>
          <w:color w:val="000000"/>
          <w:kern w:val="0"/>
          <w:sz w:val="24"/>
          <w:szCs w:val="20"/>
          <w:highlight w:val="none"/>
        </w:rPr>
      </w:pPr>
      <w:r>
        <w:rPr>
          <w:rFonts w:hint="eastAsia" w:ascii="宋体" w:hAnsi="宋体" w:eastAsia="宋体" w:cs="宋体"/>
          <w:color w:val="000000"/>
          <w:kern w:val="0"/>
          <w:sz w:val="24"/>
          <w:szCs w:val="20"/>
          <w:highlight w:val="none"/>
        </w:rPr>
        <w:t>法定代表人或授权代表：（签名或盖章）</w:t>
      </w:r>
    </w:p>
    <w:p w14:paraId="1B2C796C">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center"/>
        <w:textAlignment w:val="auto"/>
        <w:outlineLvl w:val="1"/>
        <w:rPr>
          <w:rFonts w:hint="eastAsia" w:ascii="宋体" w:hAnsi="宋体" w:eastAsia="宋体" w:cs="宋体"/>
          <w:bCs/>
          <w:color w:val="000000"/>
          <w:kern w:val="0"/>
          <w:sz w:val="24"/>
          <w:szCs w:val="20"/>
          <w:highlight w:val="none"/>
        </w:rPr>
      </w:pPr>
    </w:p>
    <w:p w14:paraId="4F85731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720" w:firstLineChars="300"/>
        <w:jc w:val="both"/>
        <w:textAlignment w:val="auto"/>
        <w:outlineLvl w:val="1"/>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t>日期:    年  月  日</w:t>
      </w:r>
    </w:p>
    <w:p w14:paraId="33983637">
      <w:pPr>
        <w:rPr>
          <w:rFonts w:hint="eastAsia" w:ascii="宋体" w:hAnsi="宋体" w:eastAsia="宋体" w:cs="宋体"/>
          <w:bCs/>
          <w:color w:val="000000"/>
          <w:kern w:val="0"/>
          <w:sz w:val="24"/>
          <w:szCs w:val="20"/>
          <w:highlight w:val="none"/>
        </w:rPr>
      </w:pPr>
      <w:r>
        <w:rPr>
          <w:rFonts w:hint="eastAsia" w:ascii="宋体" w:hAnsi="宋体" w:eastAsia="宋体" w:cs="宋体"/>
          <w:bCs/>
          <w:color w:val="000000"/>
          <w:kern w:val="0"/>
          <w:sz w:val="24"/>
          <w:szCs w:val="20"/>
          <w:highlight w:val="none"/>
        </w:rPr>
        <w:br w:type="page"/>
      </w:r>
    </w:p>
    <w:p w14:paraId="290E4F98">
      <w:pPr>
        <w:pStyle w:val="4"/>
        <w:rPr>
          <w:rFonts w:hint="eastAsia" w:ascii="宋体" w:hAnsi="宋体" w:eastAsia="宋体" w:cs="宋体"/>
          <w:lang w:val="en-US" w:eastAsia="zh-CN"/>
        </w:rPr>
      </w:pPr>
    </w:p>
    <w:p w14:paraId="5D6CD771">
      <w:pPr>
        <w:numPr>
          <w:ilvl w:val="0"/>
          <w:numId w:val="0"/>
        </w:numPr>
        <w:jc w:val="center"/>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五、</w:t>
      </w:r>
      <w:r>
        <w:rPr>
          <w:rFonts w:hint="eastAsia" w:ascii="宋体" w:hAnsi="宋体" w:eastAsia="宋体" w:cs="宋体"/>
          <w:b/>
          <w:color w:val="auto"/>
          <w:spacing w:val="4"/>
          <w:sz w:val="30"/>
          <w:szCs w:val="30"/>
          <w:highlight w:val="none"/>
          <w:lang w:val="en-US" w:eastAsia="zh-CN"/>
        </w:rPr>
        <w:t>施工组织方案</w:t>
      </w:r>
    </w:p>
    <w:p w14:paraId="00F60846">
      <w:pPr>
        <w:numPr>
          <w:ilvl w:val="0"/>
          <w:numId w:val="0"/>
        </w:numPr>
        <w:ind w:firstLine="241" w:firstLineChars="100"/>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1、</w:t>
      </w:r>
      <w:r>
        <w:rPr>
          <w:rFonts w:hint="eastAsia" w:ascii="宋体" w:hAnsi="宋体" w:eastAsia="宋体" w:cs="宋体"/>
          <w:b/>
          <w:bCs/>
          <w:sz w:val="24"/>
          <w:szCs w:val="24"/>
        </w:rPr>
        <w:t>施工方案</w:t>
      </w:r>
    </w:p>
    <w:p w14:paraId="77F40451">
      <w:pPr>
        <w:pStyle w:val="21"/>
        <w:widowControl w:val="0"/>
        <w:numPr>
          <w:ilvl w:val="0"/>
          <w:numId w:val="0"/>
        </w:numPr>
        <w:spacing w:line="360" w:lineRule="auto"/>
        <w:jc w:val="both"/>
        <w:rPr>
          <w:rFonts w:hint="eastAsia" w:ascii="宋体" w:hAnsi="宋体" w:eastAsia="宋体" w:cs="宋体"/>
        </w:rPr>
      </w:pPr>
    </w:p>
    <w:p w14:paraId="7067845A">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、确保工程质量和安全生产的技术组织措施</w:t>
      </w:r>
    </w:p>
    <w:p w14:paraId="7BB43306">
      <w:pPr>
        <w:ind w:firstLine="241" w:firstLineChars="100"/>
        <w:rPr>
          <w:rFonts w:hint="eastAsia" w:ascii="宋体" w:hAnsi="宋体" w:eastAsia="宋体" w:cs="宋体"/>
          <w:b/>
          <w:bCs/>
          <w:sz w:val="24"/>
          <w:szCs w:val="24"/>
          <w:lang w:val="en-US" w:eastAsia="zh-CN"/>
        </w:rPr>
      </w:pPr>
    </w:p>
    <w:p w14:paraId="063A462F">
      <w:pPr>
        <w:pStyle w:val="21"/>
        <w:rPr>
          <w:rFonts w:hint="eastAsia" w:ascii="宋体" w:hAnsi="宋体" w:eastAsia="宋体" w:cs="宋体"/>
          <w:lang w:val="en-US" w:eastAsia="zh-CN"/>
        </w:rPr>
      </w:pPr>
    </w:p>
    <w:p w14:paraId="6918724E">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、确保安全文明施工的技术组织措施及环境保护措施</w:t>
      </w:r>
    </w:p>
    <w:p w14:paraId="623E9D3C">
      <w:pPr>
        <w:ind w:firstLine="241" w:firstLineChars="100"/>
        <w:rPr>
          <w:rFonts w:hint="eastAsia" w:ascii="宋体" w:hAnsi="宋体" w:eastAsia="宋体" w:cs="宋体"/>
          <w:b/>
          <w:bCs/>
          <w:sz w:val="24"/>
          <w:szCs w:val="24"/>
          <w:lang w:val="en-US" w:eastAsia="zh-CN"/>
        </w:rPr>
      </w:pPr>
    </w:p>
    <w:p w14:paraId="4115D733">
      <w:pPr>
        <w:pStyle w:val="21"/>
        <w:rPr>
          <w:rFonts w:hint="eastAsia" w:ascii="宋体" w:hAnsi="宋体" w:eastAsia="宋体" w:cs="宋体"/>
          <w:lang w:val="en-US" w:eastAsia="zh-CN"/>
        </w:rPr>
      </w:pPr>
    </w:p>
    <w:p w14:paraId="14939313">
      <w:pPr>
        <w:ind w:firstLine="241" w:firstLineChars="1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、确保工期的技术组织措施</w:t>
      </w:r>
    </w:p>
    <w:p w14:paraId="283AA314">
      <w:pPr>
        <w:pStyle w:val="6"/>
        <w:rPr>
          <w:rFonts w:hint="eastAsia" w:ascii="宋体" w:hAnsi="宋体" w:eastAsia="宋体" w:cs="宋体"/>
          <w:b/>
          <w:bCs/>
          <w:sz w:val="24"/>
          <w:szCs w:val="24"/>
          <w:lang w:val="en-US" w:eastAsia="zh-CN"/>
        </w:rPr>
      </w:pPr>
    </w:p>
    <w:p w14:paraId="0E09ADE6">
      <w:pPr>
        <w:pStyle w:val="6"/>
        <w:rPr>
          <w:rFonts w:hint="eastAsia" w:ascii="宋体" w:hAnsi="宋体" w:eastAsia="宋体" w:cs="宋体"/>
          <w:b/>
          <w:bCs/>
          <w:sz w:val="24"/>
          <w:szCs w:val="24"/>
          <w:lang w:val="en-US" w:eastAsia="zh-CN"/>
        </w:rPr>
      </w:pPr>
    </w:p>
    <w:p w14:paraId="7A02124E">
      <w:pPr>
        <w:pStyle w:val="6"/>
        <w:numPr>
          <w:ilvl w:val="0"/>
          <w:numId w:val="0"/>
        </w:numPr>
        <w:ind w:leftChars="0"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5.拟投入本项目组织团队和管理团队</w:t>
      </w:r>
    </w:p>
    <w:p w14:paraId="537D8AB5">
      <w:pPr>
        <w:pStyle w:val="6"/>
        <w:numPr>
          <w:ilvl w:val="0"/>
          <w:numId w:val="0"/>
        </w:numPr>
        <w:ind w:leftChars="0"/>
        <w:rPr>
          <w:rFonts w:hint="eastAsia" w:ascii="宋体" w:hAnsi="宋体" w:eastAsia="宋体" w:cs="宋体"/>
          <w:color w:val="auto"/>
          <w:sz w:val="24"/>
          <w:szCs w:val="22"/>
          <w:highlight w:val="none"/>
          <w:lang w:val="en-US" w:eastAsia="zh-CN"/>
        </w:rPr>
      </w:pPr>
    </w:p>
    <w:p w14:paraId="15559431">
      <w:pPr>
        <w:pStyle w:val="6"/>
        <w:numPr>
          <w:ilvl w:val="0"/>
          <w:numId w:val="0"/>
        </w:numPr>
        <w:ind w:firstLine="241" w:firstLineChars="100"/>
        <w:rPr>
          <w:rFonts w:hint="eastAsia" w:ascii="宋体" w:hAnsi="宋体" w:eastAsia="宋体" w:cs="宋体"/>
          <w:b/>
          <w:bCs/>
          <w:sz w:val="24"/>
          <w:szCs w:val="24"/>
          <w:lang w:val="en-US" w:eastAsia="zh-CN"/>
        </w:rPr>
      </w:pPr>
    </w:p>
    <w:p w14:paraId="3CDE2B4F">
      <w:pPr>
        <w:pStyle w:val="6"/>
        <w:numPr>
          <w:ilvl w:val="0"/>
          <w:numId w:val="0"/>
        </w:numPr>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6.施工机械配备和材料投入计划</w:t>
      </w:r>
    </w:p>
    <w:p w14:paraId="48B53B27">
      <w:pPr>
        <w:pStyle w:val="6"/>
        <w:numPr>
          <w:ilvl w:val="0"/>
          <w:numId w:val="0"/>
        </w:numPr>
        <w:ind w:leftChars="0" w:firstLine="241" w:firstLineChars="100"/>
        <w:rPr>
          <w:rFonts w:hint="eastAsia" w:ascii="宋体" w:hAnsi="宋体" w:eastAsia="宋体" w:cs="宋体"/>
          <w:b/>
          <w:bCs/>
          <w:sz w:val="24"/>
          <w:szCs w:val="24"/>
          <w:lang w:val="en-US" w:eastAsia="zh-CN"/>
        </w:rPr>
      </w:pPr>
    </w:p>
    <w:p w14:paraId="60664001">
      <w:pPr>
        <w:pStyle w:val="6"/>
        <w:numPr>
          <w:ilvl w:val="0"/>
          <w:numId w:val="0"/>
        </w:numPr>
        <w:ind w:leftChars="0" w:firstLine="241" w:firstLineChars="100"/>
        <w:rPr>
          <w:rFonts w:hint="eastAsia" w:ascii="宋体" w:hAnsi="宋体" w:eastAsia="宋体" w:cs="宋体"/>
          <w:b/>
          <w:bCs/>
          <w:sz w:val="24"/>
          <w:szCs w:val="24"/>
          <w:lang w:val="en-US" w:eastAsia="zh-CN"/>
        </w:rPr>
      </w:pPr>
    </w:p>
    <w:p w14:paraId="72217B49">
      <w:pPr>
        <w:keepNext w:val="0"/>
        <w:keepLines w:val="0"/>
        <w:pageBreakBefore w:val="0"/>
        <w:widowControl w:val="0"/>
        <w:kinsoku/>
        <w:wordWrap/>
        <w:overflowPunct/>
        <w:topLinePunct w:val="0"/>
        <w:autoSpaceDE/>
        <w:autoSpaceDN/>
        <w:bidi w:val="0"/>
        <w:adjustRightInd/>
        <w:snapToGrid w:val="0"/>
        <w:spacing w:after="312" w:afterLines="100" w:line="240" w:lineRule="auto"/>
        <w:jc w:val="both"/>
        <w:textAlignment w:val="auto"/>
        <w:rPr>
          <w:rFonts w:hint="eastAsia" w:ascii="宋体" w:hAnsi="宋体" w:eastAsia="宋体" w:cs="宋体"/>
          <w:b w:val="0"/>
          <w:bCs/>
          <w:sz w:val="22"/>
          <w:szCs w:val="22"/>
          <w:lang w:val="en-US" w:eastAsia="zh-CN"/>
        </w:rPr>
      </w:pPr>
      <w:r>
        <w:rPr>
          <w:rFonts w:hint="eastAsia" w:ascii="宋体" w:hAnsi="宋体" w:eastAsia="宋体" w:cs="宋体"/>
          <w:b w:val="0"/>
          <w:bCs/>
          <w:sz w:val="22"/>
          <w:szCs w:val="22"/>
          <w:lang w:val="en-US" w:eastAsia="zh-CN"/>
        </w:rPr>
        <w:br w:type="page"/>
      </w:r>
    </w:p>
    <w:p w14:paraId="14C03F6C">
      <w:pPr>
        <w:numPr>
          <w:ilvl w:val="0"/>
          <w:numId w:val="0"/>
        </w:numPr>
        <w:spacing w:line="440" w:lineRule="exact"/>
        <w:ind w:leftChars="0"/>
        <w:jc w:val="center"/>
        <w:rPr>
          <w:rFonts w:hint="eastAsia" w:ascii="宋体" w:hAnsi="宋体" w:eastAsia="宋体" w:cs="宋体"/>
          <w:b/>
          <w:bCs/>
          <w:sz w:val="28"/>
          <w:szCs w:val="28"/>
        </w:rPr>
      </w:pPr>
      <w:r>
        <w:rPr>
          <w:rFonts w:hint="eastAsia" w:ascii="宋体" w:hAnsi="宋体" w:cs="宋体"/>
          <w:sz w:val="24"/>
          <w:szCs w:val="24"/>
          <w:lang w:val="en-US" w:eastAsia="zh-CN"/>
        </w:rPr>
        <w:t>六</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商务响应</w:t>
      </w:r>
      <w:bookmarkStart w:id="47" w:name="_GoBack"/>
      <w:bookmarkEnd w:id="47"/>
    </w:p>
    <w:p w14:paraId="36D1BC8C">
      <w:pPr>
        <w:numPr>
          <w:ilvl w:val="0"/>
          <w:numId w:val="0"/>
        </w:numPr>
        <w:spacing w:line="440" w:lineRule="exact"/>
        <w:ind w:leftChars="0"/>
        <w:jc w:val="center"/>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商务</w:t>
      </w:r>
      <w:r>
        <w:rPr>
          <w:rFonts w:hint="eastAsia" w:ascii="宋体" w:hAnsi="宋体" w:eastAsia="宋体" w:cs="宋体"/>
          <w:b w:val="0"/>
          <w:bCs w:val="0"/>
          <w:sz w:val="28"/>
          <w:szCs w:val="28"/>
        </w:rPr>
        <w:t>偏离表</w:t>
      </w:r>
    </w:p>
    <w:p w14:paraId="530C618C">
      <w:pPr>
        <w:keepNext w:val="0"/>
        <w:keepLines w:val="0"/>
        <w:pageBreakBefore w:val="0"/>
        <w:widowControl w:val="0"/>
        <w:kinsoku/>
        <w:wordWrap/>
        <w:overflowPunct/>
        <w:topLinePunct w:val="0"/>
        <w:autoSpaceDE/>
        <w:autoSpaceDN/>
        <w:bidi w:val="0"/>
        <w:adjustRightInd w:val="0"/>
        <w:snapToGrid/>
        <w:spacing w:line="480" w:lineRule="auto"/>
        <w:textAlignment w:val="auto"/>
        <w:rPr>
          <w:rFonts w:hint="eastAsia" w:ascii="宋体" w:hAnsi="宋体" w:eastAsia="宋体" w:cs="宋体"/>
        </w:rPr>
      </w:pPr>
      <w:r>
        <w:rPr>
          <w:rFonts w:hint="eastAsia" w:ascii="宋体" w:hAnsi="宋体" w:eastAsia="宋体" w:cs="宋体"/>
          <w:sz w:val="24"/>
          <w:szCs w:val="24"/>
        </w:rPr>
        <w:t xml:space="preserve">供应商名称(盖章)：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项目编号：</w:t>
      </w:r>
      <w:r>
        <w:rPr>
          <w:rFonts w:hint="eastAsia" w:ascii="宋体" w:hAnsi="宋体" w:eastAsia="宋体" w:cs="宋体"/>
          <w:sz w:val="24"/>
          <w:szCs w:val="24"/>
          <w:u w:val="single"/>
        </w:rPr>
        <w:t xml:space="preserve">             </w:t>
      </w:r>
    </w:p>
    <w:tbl>
      <w:tblPr>
        <w:tblStyle w:val="1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455D1F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noWrap w:val="0"/>
            <w:tcMar>
              <w:top w:w="57" w:type="dxa"/>
              <w:left w:w="28" w:type="dxa"/>
              <w:bottom w:w="57" w:type="dxa"/>
              <w:right w:w="28" w:type="dxa"/>
            </w:tcMar>
            <w:vAlign w:val="center"/>
          </w:tcPr>
          <w:p w14:paraId="45D393BC">
            <w:pPr>
              <w:rPr>
                <w:rFonts w:hint="eastAsia" w:ascii="宋体" w:hAnsi="宋体" w:eastAsia="宋体" w:cs="宋体"/>
                <w:bCs/>
                <w:sz w:val="24"/>
                <w:szCs w:val="24"/>
              </w:rPr>
            </w:pPr>
            <w:r>
              <w:rPr>
                <w:rFonts w:hint="eastAsia" w:ascii="宋体" w:hAnsi="宋体" w:eastAsia="宋体" w:cs="宋体"/>
                <w:bCs/>
                <w:sz w:val="24"/>
                <w:szCs w:val="24"/>
              </w:rPr>
              <w:t xml:space="preserve"> 序号</w:t>
            </w:r>
          </w:p>
        </w:tc>
        <w:tc>
          <w:tcPr>
            <w:tcW w:w="2678" w:type="dxa"/>
            <w:tcBorders>
              <w:top w:val="double" w:color="auto" w:sz="4" w:space="0"/>
            </w:tcBorders>
            <w:noWrap w:val="0"/>
            <w:tcMar>
              <w:top w:w="57" w:type="dxa"/>
              <w:left w:w="28" w:type="dxa"/>
              <w:bottom w:w="57" w:type="dxa"/>
              <w:right w:w="28" w:type="dxa"/>
            </w:tcMar>
            <w:vAlign w:val="center"/>
          </w:tcPr>
          <w:p w14:paraId="15D52483">
            <w:pPr>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53779EAB">
            <w:pPr>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noWrap w:val="0"/>
            <w:tcMar>
              <w:top w:w="57" w:type="dxa"/>
              <w:left w:w="28" w:type="dxa"/>
              <w:bottom w:w="57" w:type="dxa"/>
              <w:right w:w="28" w:type="dxa"/>
            </w:tcMar>
            <w:vAlign w:val="center"/>
          </w:tcPr>
          <w:p w14:paraId="7610FF34">
            <w:pPr>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4A2C4ED2">
            <w:pPr>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noWrap w:val="0"/>
            <w:tcMar>
              <w:top w:w="57" w:type="dxa"/>
              <w:left w:w="28" w:type="dxa"/>
              <w:bottom w:w="57" w:type="dxa"/>
              <w:right w:w="28" w:type="dxa"/>
            </w:tcMar>
            <w:vAlign w:val="center"/>
          </w:tcPr>
          <w:p w14:paraId="57746407">
            <w:pPr>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noWrap w:val="0"/>
            <w:vAlign w:val="center"/>
          </w:tcPr>
          <w:p w14:paraId="215375FD">
            <w:pPr>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58579B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noWrap w:val="0"/>
            <w:tcMar>
              <w:top w:w="57" w:type="dxa"/>
              <w:left w:w="28" w:type="dxa"/>
              <w:bottom w:w="57" w:type="dxa"/>
              <w:right w:w="28" w:type="dxa"/>
            </w:tcMar>
            <w:vAlign w:val="center"/>
          </w:tcPr>
          <w:p w14:paraId="55D6D9F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44AA03F1">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6A56427A">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003344B">
            <w:pPr>
              <w:rPr>
                <w:rFonts w:hint="eastAsia" w:ascii="宋体" w:hAnsi="宋体" w:eastAsia="宋体" w:cs="宋体"/>
                <w:bCs/>
                <w:sz w:val="24"/>
                <w:szCs w:val="24"/>
              </w:rPr>
            </w:pPr>
          </w:p>
        </w:tc>
        <w:tc>
          <w:tcPr>
            <w:tcW w:w="1438" w:type="dxa"/>
            <w:noWrap w:val="0"/>
            <w:vAlign w:val="center"/>
          </w:tcPr>
          <w:p w14:paraId="42E44D23">
            <w:pPr>
              <w:rPr>
                <w:rFonts w:hint="eastAsia" w:ascii="宋体" w:hAnsi="宋体" w:eastAsia="宋体" w:cs="宋体"/>
                <w:bCs/>
                <w:sz w:val="24"/>
                <w:szCs w:val="24"/>
              </w:rPr>
            </w:pPr>
          </w:p>
        </w:tc>
      </w:tr>
      <w:tr w14:paraId="42DFF4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noWrap w:val="0"/>
            <w:tcMar>
              <w:top w:w="57" w:type="dxa"/>
              <w:left w:w="28" w:type="dxa"/>
              <w:bottom w:w="57" w:type="dxa"/>
              <w:right w:w="28" w:type="dxa"/>
            </w:tcMar>
            <w:vAlign w:val="center"/>
          </w:tcPr>
          <w:p w14:paraId="494C633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3F9EBD0">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CFCAA28">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AB1C542">
            <w:pPr>
              <w:rPr>
                <w:rFonts w:hint="eastAsia" w:ascii="宋体" w:hAnsi="宋体" w:eastAsia="宋体" w:cs="宋体"/>
                <w:bCs/>
                <w:sz w:val="24"/>
                <w:szCs w:val="24"/>
              </w:rPr>
            </w:pPr>
          </w:p>
        </w:tc>
        <w:tc>
          <w:tcPr>
            <w:tcW w:w="1438" w:type="dxa"/>
            <w:noWrap w:val="0"/>
            <w:vAlign w:val="center"/>
          </w:tcPr>
          <w:p w14:paraId="2EA1C394">
            <w:pPr>
              <w:rPr>
                <w:rFonts w:hint="eastAsia" w:ascii="宋体" w:hAnsi="宋体" w:eastAsia="宋体" w:cs="宋体"/>
                <w:bCs/>
                <w:sz w:val="24"/>
                <w:szCs w:val="24"/>
              </w:rPr>
            </w:pPr>
          </w:p>
        </w:tc>
      </w:tr>
      <w:tr w14:paraId="3AED8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5445C8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F818D2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47D0F89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F33AF9E">
            <w:pPr>
              <w:rPr>
                <w:rFonts w:hint="eastAsia" w:ascii="宋体" w:hAnsi="宋体" w:eastAsia="宋体" w:cs="宋体"/>
                <w:bCs/>
                <w:sz w:val="24"/>
                <w:szCs w:val="24"/>
              </w:rPr>
            </w:pPr>
          </w:p>
        </w:tc>
        <w:tc>
          <w:tcPr>
            <w:tcW w:w="1438" w:type="dxa"/>
            <w:noWrap w:val="0"/>
            <w:vAlign w:val="center"/>
          </w:tcPr>
          <w:p w14:paraId="2170D415">
            <w:pPr>
              <w:rPr>
                <w:rFonts w:hint="eastAsia" w:ascii="宋体" w:hAnsi="宋体" w:eastAsia="宋体" w:cs="宋体"/>
                <w:bCs/>
                <w:sz w:val="24"/>
                <w:szCs w:val="24"/>
              </w:rPr>
            </w:pPr>
          </w:p>
        </w:tc>
      </w:tr>
      <w:tr w14:paraId="396E67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A9E779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B1B2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FB2BC0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D247287">
            <w:pPr>
              <w:rPr>
                <w:rFonts w:hint="eastAsia" w:ascii="宋体" w:hAnsi="宋体" w:eastAsia="宋体" w:cs="宋体"/>
                <w:bCs/>
                <w:sz w:val="24"/>
                <w:szCs w:val="24"/>
              </w:rPr>
            </w:pPr>
          </w:p>
        </w:tc>
        <w:tc>
          <w:tcPr>
            <w:tcW w:w="1438" w:type="dxa"/>
            <w:noWrap w:val="0"/>
            <w:vAlign w:val="center"/>
          </w:tcPr>
          <w:p w14:paraId="020CD221">
            <w:pPr>
              <w:rPr>
                <w:rFonts w:hint="eastAsia" w:ascii="宋体" w:hAnsi="宋体" w:eastAsia="宋体" w:cs="宋体"/>
                <w:bCs/>
                <w:sz w:val="24"/>
                <w:szCs w:val="24"/>
              </w:rPr>
            </w:pPr>
          </w:p>
        </w:tc>
      </w:tr>
      <w:tr w14:paraId="2AABBF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0591EC57">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5C9419">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75706D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527F7AF">
            <w:pPr>
              <w:rPr>
                <w:rFonts w:hint="eastAsia" w:ascii="宋体" w:hAnsi="宋体" w:eastAsia="宋体" w:cs="宋体"/>
                <w:bCs/>
                <w:sz w:val="24"/>
                <w:szCs w:val="24"/>
              </w:rPr>
            </w:pPr>
          </w:p>
        </w:tc>
        <w:tc>
          <w:tcPr>
            <w:tcW w:w="1438" w:type="dxa"/>
            <w:noWrap w:val="0"/>
            <w:vAlign w:val="center"/>
          </w:tcPr>
          <w:p w14:paraId="626799FC">
            <w:pPr>
              <w:rPr>
                <w:rFonts w:hint="eastAsia" w:ascii="宋体" w:hAnsi="宋体" w:eastAsia="宋体" w:cs="宋体"/>
                <w:bCs/>
                <w:sz w:val="24"/>
                <w:szCs w:val="24"/>
              </w:rPr>
            </w:pPr>
          </w:p>
        </w:tc>
      </w:tr>
      <w:tr w14:paraId="5821F8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1AEE8C21">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2835BF6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1DF54B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CEC875F">
            <w:pPr>
              <w:rPr>
                <w:rFonts w:hint="eastAsia" w:ascii="宋体" w:hAnsi="宋体" w:eastAsia="宋体" w:cs="宋体"/>
                <w:bCs/>
                <w:sz w:val="24"/>
                <w:szCs w:val="24"/>
              </w:rPr>
            </w:pPr>
          </w:p>
        </w:tc>
        <w:tc>
          <w:tcPr>
            <w:tcW w:w="1438" w:type="dxa"/>
            <w:noWrap w:val="0"/>
            <w:vAlign w:val="center"/>
          </w:tcPr>
          <w:p w14:paraId="566F241A">
            <w:pPr>
              <w:rPr>
                <w:rFonts w:hint="eastAsia" w:ascii="宋体" w:hAnsi="宋体" w:eastAsia="宋体" w:cs="宋体"/>
                <w:bCs/>
                <w:sz w:val="24"/>
                <w:szCs w:val="24"/>
              </w:rPr>
            </w:pPr>
          </w:p>
        </w:tc>
      </w:tr>
      <w:tr w14:paraId="74164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EDD044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81061F4">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37D90F2E">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3F3101AB">
            <w:pPr>
              <w:rPr>
                <w:rFonts w:hint="eastAsia" w:ascii="宋体" w:hAnsi="宋体" w:eastAsia="宋体" w:cs="宋体"/>
                <w:bCs/>
                <w:sz w:val="24"/>
                <w:szCs w:val="24"/>
              </w:rPr>
            </w:pPr>
          </w:p>
        </w:tc>
        <w:tc>
          <w:tcPr>
            <w:tcW w:w="1438" w:type="dxa"/>
            <w:noWrap w:val="0"/>
            <w:vAlign w:val="center"/>
          </w:tcPr>
          <w:p w14:paraId="308A059D">
            <w:pPr>
              <w:rPr>
                <w:rFonts w:hint="eastAsia" w:ascii="宋体" w:hAnsi="宋体" w:eastAsia="宋体" w:cs="宋体"/>
                <w:bCs/>
                <w:sz w:val="24"/>
                <w:szCs w:val="24"/>
              </w:rPr>
            </w:pPr>
          </w:p>
        </w:tc>
      </w:tr>
      <w:tr w14:paraId="1691A1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B50EDFD">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72850A0B">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688B48C">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097C58C">
            <w:pPr>
              <w:rPr>
                <w:rFonts w:hint="eastAsia" w:ascii="宋体" w:hAnsi="宋体" w:eastAsia="宋体" w:cs="宋体"/>
                <w:bCs/>
                <w:sz w:val="24"/>
                <w:szCs w:val="24"/>
              </w:rPr>
            </w:pPr>
          </w:p>
        </w:tc>
        <w:tc>
          <w:tcPr>
            <w:tcW w:w="1438" w:type="dxa"/>
            <w:noWrap w:val="0"/>
            <w:vAlign w:val="center"/>
          </w:tcPr>
          <w:p w14:paraId="05608F45">
            <w:pPr>
              <w:rPr>
                <w:rFonts w:hint="eastAsia" w:ascii="宋体" w:hAnsi="宋体" w:eastAsia="宋体" w:cs="宋体"/>
                <w:bCs/>
                <w:sz w:val="24"/>
                <w:szCs w:val="24"/>
              </w:rPr>
            </w:pPr>
          </w:p>
        </w:tc>
      </w:tr>
      <w:tr w14:paraId="3FC31E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E5EFE58">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D2BB02A">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9782199">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76F2F54">
            <w:pPr>
              <w:rPr>
                <w:rFonts w:hint="eastAsia" w:ascii="宋体" w:hAnsi="宋体" w:eastAsia="宋体" w:cs="宋体"/>
                <w:bCs/>
                <w:sz w:val="24"/>
                <w:szCs w:val="24"/>
              </w:rPr>
            </w:pPr>
          </w:p>
        </w:tc>
        <w:tc>
          <w:tcPr>
            <w:tcW w:w="1438" w:type="dxa"/>
            <w:noWrap w:val="0"/>
            <w:vAlign w:val="center"/>
          </w:tcPr>
          <w:p w14:paraId="5AFA1FB3">
            <w:pPr>
              <w:rPr>
                <w:rFonts w:hint="eastAsia" w:ascii="宋体" w:hAnsi="宋体" w:eastAsia="宋体" w:cs="宋体"/>
                <w:bCs/>
                <w:sz w:val="24"/>
                <w:szCs w:val="24"/>
              </w:rPr>
            </w:pPr>
          </w:p>
        </w:tc>
      </w:tr>
      <w:tr w14:paraId="10FB1B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B4C2A5A">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136988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213C8C8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7CAE236D">
            <w:pPr>
              <w:rPr>
                <w:rFonts w:hint="eastAsia" w:ascii="宋体" w:hAnsi="宋体" w:eastAsia="宋体" w:cs="宋体"/>
                <w:bCs/>
                <w:sz w:val="24"/>
                <w:szCs w:val="24"/>
              </w:rPr>
            </w:pPr>
          </w:p>
        </w:tc>
        <w:tc>
          <w:tcPr>
            <w:tcW w:w="1438" w:type="dxa"/>
            <w:noWrap w:val="0"/>
            <w:vAlign w:val="center"/>
          </w:tcPr>
          <w:p w14:paraId="29AD5FE9">
            <w:pPr>
              <w:rPr>
                <w:rFonts w:hint="eastAsia" w:ascii="宋体" w:hAnsi="宋体" w:eastAsia="宋体" w:cs="宋体"/>
                <w:bCs/>
                <w:sz w:val="24"/>
                <w:szCs w:val="24"/>
              </w:rPr>
            </w:pPr>
          </w:p>
        </w:tc>
      </w:tr>
      <w:tr w14:paraId="114AC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CFD977C">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0AA38D13">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13B97CB0">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4CF21BDF">
            <w:pPr>
              <w:rPr>
                <w:rFonts w:hint="eastAsia" w:ascii="宋体" w:hAnsi="宋体" w:eastAsia="宋体" w:cs="宋体"/>
                <w:bCs/>
                <w:sz w:val="24"/>
                <w:szCs w:val="24"/>
              </w:rPr>
            </w:pPr>
          </w:p>
        </w:tc>
        <w:tc>
          <w:tcPr>
            <w:tcW w:w="1438" w:type="dxa"/>
            <w:noWrap w:val="0"/>
            <w:vAlign w:val="center"/>
          </w:tcPr>
          <w:p w14:paraId="0F3E587A">
            <w:pPr>
              <w:rPr>
                <w:rFonts w:hint="eastAsia" w:ascii="宋体" w:hAnsi="宋体" w:eastAsia="宋体" w:cs="宋体"/>
                <w:bCs/>
                <w:sz w:val="24"/>
                <w:szCs w:val="24"/>
              </w:rPr>
            </w:pPr>
          </w:p>
        </w:tc>
      </w:tr>
      <w:tr w14:paraId="591632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noWrap w:val="0"/>
            <w:tcMar>
              <w:top w:w="57" w:type="dxa"/>
              <w:left w:w="28" w:type="dxa"/>
              <w:bottom w:w="57" w:type="dxa"/>
              <w:right w:w="28" w:type="dxa"/>
            </w:tcMar>
            <w:vAlign w:val="center"/>
          </w:tcPr>
          <w:p w14:paraId="4E63D9D2">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65C2D405">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764AEFF1">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688D2C1F">
            <w:pPr>
              <w:rPr>
                <w:rFonts w:hint="eastAsia" w:ascii="宋体" w:hAnsi="宋体" w:eastAsia="宋体" w:cs="宋体"/>
                <w:bCs/>
                <w:sz w:val="24"/>
                <w:szCs w:val="24"/>
              </w:rPr>
            </w:pPr>
          </w:p>
        </w:tc>
        <w:tc>
          <w:tcPr>
            <w:tcW w:w="1438" w:type="dxa"/>
            <w:noWrap w:val="0"/>
            <w:vAlign w:val="center"/>
          </w:tcPr>
          <w:p w14:paraId="1AA9414A">
            <w:pPr>
              <w:rPr>
                <w:rFonts w:hint="eastAsia" w:ascii="宋体" w:hAnsi="宋体" w:eastAsia="宋体" w:cs="宋体"/>
                <w:bCs/>
                <w:sz w:val="24"/>
                <w:szCs w:val="24"/>
              </w:rPr>
            </w:pPr>
          </w:p>
        </w:tc>
      </w:tr>
      <w:tr w14:paraId="3FC0B7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545656E5">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1A3A7D86">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5EEB4F6D">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1E00101D">
            <w:pPr>
              <w:rPr>
                <w:rFonts w:hint="eastAsia" w:ascii="宋体" w:hAnsi="宋体" w:eastAsia="宋体" w:cs="宋体"/>
                <w:bCs/>
                <w:sz w:val="24"/>
                <w:szCs w:val="24"/>
              </w:rPr>
            </w:pPr>
          </w:p>
        </w:tc>
        <w:tc>
          <w:tcPr>
            <w:tcW w:w="1438" w:type="dxa"/>
            <w:noWrap w:val="0"/>
            <w:vAlign w:val="center"/>
          </w:tcPr>
          <w:p w14:paraId="2A38523D">
            <w:pPr>
              <w:rPr>
                <w:rFonts w:hint="eastAsia" w:ascii="宋体" w:hAnsi="宋体" w:eastAsia="宋体" w:cs="宋体"/>
                <w:bCs/>
                <w:sz w:val="24"/>
                <w:szCs w:val="24"/>
              </w:rPr>
            </w:pPr>
          </w:p>
        </w:tc>
      </w:tr>
      <w:tr w14:paraId="51BDAD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CECF089">
            <w:pPr>
              <w:rPr>
                <w:rFonts w:hint="eastAsia" w:ascii="宋体" w:hAnsi="宋体" w:eastAsia="宋体" w:cs="宋体"/>
                <w:bCs/>
                <w:sz w:val="24"/>
                <w:szCs w:val="24"/>
              </w:rPr>
            </w:pPr>
          </w:p>
        </w:tc>
        <w:tc>
          <w:tcPr>
            <w:tcW w:w="2678" w:type="dxa"/>
            <w:noWrap w:val="0"/>
            <w:tcMar>
              <w:top w:w="57" w:type="dxa"/>
              <w:left w:w="28" w:type="dxa"/>
              <w:bottom w:w="57" w:type="dxa"/>
              <w:right w:w="28" w:type="dxa"/>
            </w:tcMar>
            <w:vAlign w:val="center"/>
          </w:tcPr>
          <w:p w14:paraId="32AAFFAE">
            <w:pPr>
              <w:rPr>
                <w:rFonts w:hint="eastAsia" w:ascii="宋体" w:hAnsi="宋体" w:eastAsia="宋体" w:cs="宋体"/>
                <w:bCs/>
                <w:sz w:val="24"/>
                <w:szCs w:val="24"/>
              </w:rPr>
            </w:pPr>
          </w:p>
        </w:tc>
        <w:tc>
          <w:tcPr>
            <w:tcW w:w="2700" w:type="dxa"/>
            <w:noWrap w:val="0"/>
            <w:tcMar>
              <w:top w:w="57" w:type="dxa"/>
              <w:left w:w="28" w:type="dxa"/>
              <w:bottom w:w="57" w:type="dxa"/>
              <w:right w:w="28" w:type="dxa"/>
            </w:tcMar>
            <w:vAlign w:val="center"/>
          </w:tcPr>
          <w:p w14:paraId="011857EF">
            <w:pPr>
              <w:rPr>
                <w:rFonts w:hint="eastAsia" w:ascii="宋体" w:hAnsi="宋体" w:eastAsia="宋体" w:cs="宋体"/>
                <w:bCs/>
                <w:sz w:val="24"/>
                <w:szCs w:val="24"/>
              </w:rPr>
            </w:pPr>
          </w:p>
        </w:tc>
        <w:tc>
          <w:tcPr>
            <w:tcW w:w="1650" w:type="dxa"/>
            <w:noWrap w:val="0"/>
            <w:tcMar>
              <w:top w:w="57" w:type="dxa"/>
              <w:left w:w="28" w:type="dxa"/>
              <w:bottom w:w="57" w:type="dxa"/>
              <w:right w:w="28" w:type="dxa"/>
            </w:tcMar>
            <w:vAlign w:val="center"/>
          </w:tcPr>
          <w:p w14:paraId="5BF4AC2E">
            <w:pPr>
              <w:rPr>
                <w:rFonts w:hint="eastAsia" w:ascii="宋体" w:hAnsi="宋体" w:eastAsia="宋体" w:cs="宋体"/>
                <w:bCs/>
                <w:sz w:val="24"/>
                <w:szCs w:val="24"/>
              </w:rPr>
            </w:pPr>
          </w:p>
        </w:tc>
        <w:tc>
          <w:tcPr>
            <w:tcW w:w="1438" w:type="dxa"/>
            <w:noWrap w:val="0"/>
            <w:vAlign w:val="center"/>
          </w:tcPr>
          <w:p w14:paraId="567205EC">
            <w:pPr>
              <w:rPr>
                <w:rFonts w:hint="eastAsia" w:ascii="宋体" w:hAnsi="宋体" w:eastAsia="宋体" w:cs="宋体"/>
                <w:bCs/>
                <w:sz w:val="24"/>
                <w:szCs w:val="24"/>
              </w:rPr>
            </w:pPr>
          </w:p>
        </w:tc>
      </w:tr>
      <w:tr w14:paraId="506641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noWrap w:val="0"/>
            <w:tcMar>
              <w:top w:w="57" w:type="dxa"/>
              <w:left w:w="28" w:type="dxa"/>
              <w:bottom w:w="57" w:type="dxa"/>
              <w:right w:w="28" w:type="dxa"/>
            </w:tcMar>
            <w:vAlign w:val="center"/>
          </w:tcPr>
          <w:p w14:paraId="72B30948">
            <w:pPr>
              <w:rPr>
                <w:rFonts w:hint="eastAsia" w:ascii="宋体" w:hAnsi="宋体" w:eastAsia="宋体" w:cs="宋体"/>
                <w:bCs/>
                <w:sz w:val="24"/>
                <w:szCs w:val="24"/>
              </w:rPr>
            </w:pPr>
          </w:p>
        </w:tc>
        <w:tc>
          <w:tcPr>
            <w:tcW w:w="2678" w:type="dxa"/>
            <w:tcBorders>
              <w:bottom w:val="double" w:color="auto" w:sz="4" w:space="0"/>
            </w:tcBorders>
            <w:noWrap w:val="0"/>
            <w:tcMar>
              <w:top w:w="57" w:type="dxa"/>
              <w:left w:w="28" w:type="dxa"/>
              <w:bottom w:w="57" w:type="dxa"/>
              <w:right w:w="28" w:type="dxa"/>
            </w:tcMar>
            <w:vAlign w:val="center"/>
          </w:tcPr>
          <w:p w14:paraId="66F58D99">
            <w:pPr>
              <w:rPr>
                <w:rFonts w:hint="eastAsia" w:ascii="宋体" w:hAnsi="宋体" w:eastAsia="宋体" w:cs="宋体"/>
                <w:bCs/>
                <w:sz w:val="24"/>
                <w:szCs w:val="24"/>
              </w:rPr>
            </w:pPr>
          </w:p>
        </w:tc>
        <w:tc>
          <w:tcPr>
            <w:tcW w:w="2700" w:type="dxa"/>
            <w:tcBorders>
              <w:bottom w:val="double" w:color="auto" w:sz="4" w:space="0"/>
            </w:tcBorders>
            <w:noWrap w:val="0"/>
            <w:tcMar>
              <w:top w:w="57" w:type="dxa"/>
              <w:left w:w="28" w:type="dxa"/>
              <w:bottom w:w="57" w:type="dxa"/>
              <w:right w:w="28" w:type="dxa"/>
            </w:tcMar>
            <w:vAlign w:val="center"/>
          </w:tcPr>
          <w:p w14:paraId="58259675">
            <w:pPr>
              <w:rPr>
                <w:rFonts w:hint="eastAsia" w:ascii="宋体" w:hAnsi="宋体" w:eastAsia="宋体" w:cs="宋体"/>
                <w:bCs/>
                <w:sz w:val="24"/>
                <w:szCs w:val="24"/>
              </w:rPr>
            </w:pPr>
          </w:p>
        </w:tc>
        <w:tc>
          <w:tcPr>
            <w:tcW w:w="1650" w:type="dxa"/>
            <w:tcBorders>
              <w:bottom w:val="double" w:color="auto" w:sz="4" w:space="0"/>
            </w:tcBorders>
            <w:noWrap w:val="0"/>
            <w:tcMar>
              <w:top w:w="57" w:type="dxa"/>
              <w:left w:w="28" w:type="dxa"/>
              <w:bottom w:w="57" w:type="dxa"/>
              <w:right w:w="28" w:type="dxa"/>
            </w:tcMar>
            <w:vAlign w:val="center"/>
          </w:tcPr>
          <w:p w14:paraId="3B96FB4A">
            <w:pPr>
              <w:rPr>
                <w:rFonts w:hint="eastAsia" w:ascii="宋体" w:hAnsi="宋体" w:eastAsia="宋体" w:cs="宋体"/>
                <w:bCs/>
                <w:sz w:val="24"/>
                <w:szCs w:val="24"/>
              </w:rPr>
            </w:pPr>
          </w:p>
        </w:tc>
        <w:tc>
          <w:tcPr>
            <w:tcW w:w="1438" w:type="dxa"/>
            <w:tcBorders>
              <w:bottom w:val="double" w:color="auto" w:sz="4" w:space="0"/>
            </w:tcBorders>
            <w:noWrap w:val="0"/>
            <w:vAlign w:val="center"/>
          </w:tcPr>
          <w:p w14:paraId="6C8268B3">
            <w:pPr>
              <w:rPr>
                <w:rFonts w:hint="eastAsia" w:ascii="宋体" w:hAnsi="宋体" w:eastAsia="宋体" w:cs="宋体"/>
                <w:bCs/>
                <w:sz w:val="24"/>
                <w:szCs w:val="24"/>
              </w:rPr>
            </w:pPr>
          </w:p>
        </w:tc>
      </w:tr>
    </w:tbl>
    <w:p w14:paraId="2C1BD67E">
      <w:pPr>
        <w:rPr>
          <w:rFonts w:hint="eastAsia" w:ascii="宋体" w:hAnsi="宋体" w:eastAsia="宋体" w:cs="宋体"/>
          <w:bCs/>
          <w:sz w:val="24"/>
          <w:szCs w:val="24"/>
        </w:rPr>
      </w:pPr>
      <w:r>
        <w:rPr>
          <w:rFonts w:hint="eastAsia" w:ascii="宋体" w:hAnsi="宋体" w:eastAsia="宋体" w:cs="宋体"/>
          <w:bCs/>
          <w:sz w:val="24"/>
          <w:szCs w:val="24"/>
        </w:rPr>
        <w:t>声明：商务偏离表应按照竞争性磋商文件“第</w:t>
      </w:r>
      <w:r>
        <w:rPr>
          <w:rFonts w:hint="eastAsia" w:ascii="宋体" w:hAnsi="宋体" w:cs="宋体"/>
          <w:bCs/>
          <w:sz w:val="24"/>
          <w:szCs w:val="24"/>
          <w:lang w:val="en-US" w:eastAsia="zh-CN"/>
        </w:rPr>
        <w:t>五</w:t>
      </w:r>
      <w:r>
        <w:rPr>
          <w:rFonts w:hint="eastAsia" w:ascii="宋体" w:hAnsi="宋体" w:eastAsia="宋体" w:cs="宋体"/>
          <w:bCs/>
          <w:sz w:val="24"/>
          <w:szCs w:val="24"/>
          <w:lang w:val="en-US" w:eastAsia="zh-CN"/>
        </w:rPr>
        <w:t xml:space="preserve">章 </w:t>
      </w:r>
      <w:r>
        <w:rPr>
          <w:rFonts w:hint="eastAsia" w:ascii="宋体" w:hAnsi="宋体" w:eastAsia="宋体" w:cs="宋体"/>
          <w:bCs/>
          <w:sz w:val="24"/>
          <w:szCs w:val="24"/>
        </w:rPr>
        <w:t xml:space="preserve"> 商务条款”逐条响应，“偏离情况”应根据实际响应情况注明：正偏离或无偏离。商务偏离不得出现负偏离，否则按无效文件处理。</w:t>
      </w:r>
    </w:p>
    <w:p w14:paraId="1166FC52">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供应商授权代表签字：                             日 期：           </w:t>
      </w:r>
    </w:p>
    <w:p w14:paraId="2D79B7A7">
      <w:pPr>
        <w:rPr>
          <w:rFonts w:hint="eastAsia" w:ascii="宋体" w:hAnsi="宋体" w:eastAsia="宋体" w:cs="宋体"/>
          <w:lang w:val="en-US" w:eastAsia="zh-CN"/>
        </w:rPr>
      </w:pPr>
    </w:p>
    <w:p w14:paraId="0A1E9A62">
      <w:pPr>
        <w:spacing w:line="360" w:lineRule="auto"/>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b/>
          <w:color w:val="auto"/>
          <w:spacing w:val="4"/>
          <w:sz w:val="30"/>
          <w:szCs w:val="30"/>
          <w:highlight w:val="none"/>
          <w:lang w:val="en-US" w:eastAsia="zh-CN"/>
        </w:rPr>
        <w:br w:type="page"/>
      </w:r>
    </w:p>
    <w:p w14:paraId="00B6B0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七</w:t>
      </w:r>
      <w:r>
        <w:rPr>
          <w:rFonts w:hint="eastAsia" w:ascii="宋体" w:hAnsi="宋体" w:eastAsia="宋体" w:cs="宋体"/>
          <w:b/>
          <w:color w:val="auto"/>
          <w:spacing w:val="4"/>
          <w:sz w:val="30"/>
          <w:szCs w:val="30"/>
          <w:highlight w:val="none"/>
          <w:lang w:val="en-US" w:eastAsia="zh-CN"/>
        </w:rPr>
        <w:t>、服务承诺</w:t>
      </w:r>
    </w:p>
    <w:p w14:paraId="5440953F">
      <w:pPr>
        <w:numPr>
          <w:ilvl w:val="0"/>
          <w:numId w:val="0"/>
        </w:numPr>
        <w:jc w:val="center"/>
        <w:rPr>
          <w:rFonts w:hint="eastAsia" w:ascii="宋体" w:hAnsi="宋体" w:eastAsia="宋体" w:cs="宋体"/>
          <w:color w:val="auto"/>
          <w:sz w:val="24"/>
          <w:highlight w:val="none"/>
          <w:shd w:val="clear" w:color="auto" w:fill="auto"/>
        </w:rPr>
      </w:pPr>
    </w:p>
    <w:p w14:paraId="33929F2E">
      <w:pPr>
        <w:spacing w:line="360" w:lineRule="auto"/>
        <w:ind w:firstLine="280" w:firstLineChars="1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（供应商依据本项目实际情况，按竞争性磋商文件打分要求自拟）  </w:t>
      </w:r>
    </w:p>
    <w:p w14:paraId="61A6D181">
      <w:pPr>
        <w:spacing w:after="120" w:afterLines="50" w:line="360" w:lineRule="auto"/>
        <w:ind w:left="1067" w:hanging="1063"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eastAsia="宋体" w:cs="宋体"/>
          <w:color w:val="auto"/>
          <w:sz w:val="24"/>
          <w:highlight w:val="none"/>
          <w:shd w:val="clear" w:color="auto" w:fill="auto"/>
        </w:rPr>
        <w:br w:type="page"/>
      </w:r>
      <w:r>
        <w:rPr>
          <w:rFonts w:hint="eastAsia" w:ascii="宋体" w:hAnsi="宋体" w:cs="宋体"/>
          <w:b/>
          <w:color w:val="auto"/>
          <w:spacing w:val="4"/>
          <w:sz w:val="30"/>
          <w:szCs w:val="30"/>
          <w:highlight w:val="none"/>
          <w:lang w:val="en-US" w:eastAsia="zh-CN"/>
        </w:rPr>
        <w:t>八</w:t>
      </w:r>
      <w:r>
        <w:rPr>
          <w:rFonts w:hint="eastAsia" w:ascii="宋体" w:hAnsi="宋体" w:eastAsia="宋体" w:cs="宋体"/>
          <w:b/>
          <w:color w:val="auto"/>
          <w:spacing w:val="4"/>
          <w:sz w:val="30"/>
          <w:szCs w:val="30"/>
          <w:highlight w:val="none"/>
          <w:lang w:val="en-US" w:eastAsia="zh-CN"/>
        </w:rPr>
        <w:t>、业绩</w:t>
      </w:r>
    </w:p>
    <w:p w14:paraId="1668FECF">
      <w:pPr>
        <w:spacing w:after="120" w:afterLines="50" w:line="360" w:lineRule="auto"/>
        <w:ind w:left="1067" w:hanging="1240" w:hangingChars="443"/>
        <w:jc w:val="center"/>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（附相关证明材料中标通知书或施工合同协议书复印件并加盖公章）</w:t>
      </w:r>
    </w:p>
    <w:p w14:paraId="065D1187">
      <w:pPr>
        <w:spacing w:after="120" w:afterLines="50" w:line="360" w:lineRule="auto"/>
        <w:jc w:val="both"/>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73549476">
      <w:pPr>
        <w:spacing w:after="120" w:afterLines="50" w:line="360" w:lineRule="auto"/>
        <w:ind w:left="1067" w:hanging="1370" w:hangingChars="443"/>
        <w:jc w:val="center"/>
        <w:outlineLvl w:val="9"/>
        <w:rPr>
          <w:rFonts w:hint="eastAsia" w:ascii="宋体" w:hAnsi="宋体" w:eastAsia="宋体" w:cs="宋体"/>
          <w:b/>
          <w:color w:val="auto"/>
          <w:spacing w:val="4"/>
          <w:sz w:val="30"/>
          <w:szCs w:val="30"/>
          <w:highlight w:val="none"/>
          <w:lang w:val="en-US" w:eastAsia="zh-CN"/>
        </w:rPr>
      </w:pPr>
      <w:r>
        <w:rPr>
          <w:rFonts w:hint="eastAsia" w:ascii="宋体" w:hAnsi="宋体" w:cs="宋体"/>
          <w:b/>
          <w:color w:val="auto"/>
          <w:spacing w:val="4"/>
          <w:sz w:val="30"/>
          <w:szCs w:val="30"/>
          <w:highlight w:val="none"/>
          <w:lang w:val="en-US" w:eastAsia="zh-CN"/>
        </w:rPr>
        <w:t>九</w:t>
      </w:r>
      <w:r>
        <w:rPr>
          <w:rFonts w:hint="eastAsia" w:ascii="宋体" w:hAnsi="宋体" w:eastAsia="宋体" w:cs="宋体"/>
          <w:b/>
          <w:color w:val="auto"/>
          <w:spacing w:val="4"/>
          <w:sz w:val="30"/>
          <w:szCs w:val="30"/>
          <w:highlight w:val="none"/>
          <w:lang w:val="en-US" w:eastAsia="zh-CN"/>
        </w:rPr>
        <w:t>、政府采购投标人拒绝政府采购领域商业贿赂承诺书</w:t>
      </w:r>
    </w:p>
    <w:p w14:paraId="74010FC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为响应党中央、国务院关于治理政府采购领域商业贿赂行为的号召，我单位在此庄严承诺： </w:t>
      </w:r>
    </w:p>
    <w:p w14:paraId="3824A91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1、在参与政府采购活动中遵纪守法、诚信经营、公平竞标。 </w:t>
      </w:r>
    </w:p>
    <w:p w14:paraId="1B6516A0">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2、不向政府采购人、采购代理机构和政府采购评审专家进行任何形式的商业贿赂以谋取交易机会。 </w:t>
      </w:r>
    </w:p>
    <w:p w14:paraId="3AC9BFC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3、不向政府采购代理机构和采购人提供虚假资质文件或采用虚假应标方式参与政府采购市场竞争并谋取中标、成交。 </w:t>
      </w:r>
    </w:p>
    <w:p w14:paraId="1EC9C8E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4、不采取“围标、陪标”等商业欺诈手段获得政府采购定单。 </w:t>
      </w:r>
    </w:p>
    <w:p w14:paraId="2489ECE7">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5、不采取不正当手段诋毁、排挤其他</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 </w:t>
      </w:r>
    </w:p>
    <w:p w14:paraId="0ABAD6BA">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6、不在提供商品和服务时“偷梁换柱、以次充好”损害采购人的合法权益。 </w:t>
      </w:r>
    </w:p>
    <w:p w14:paraId="3AC4E061">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7、不与采购人、采购代理机构政府采购评审专家或其它</w:t>
      </w:r>
      <w:r>
        <w:rPr>
          <w:rFonts w:hint="eastAsia" w:ascii="宋体" w:hAnsi="宋体" w:eastAsia="宋体" w:cs="宋体"/>
          <w:color w:val="auto"/>
          <w:sz w:val="24"/>
          <w:highlight w:val="none"/>
          <w:shd w:val="clear" w:color="auto" w:fill="auto"/>
        </w:rPr>
        <w:t>投标人</w:t>
      </w:r>
      <w:r>
        <w:rPr>
          <w:rFonts w:hint="eastAsia" w:ascii="宋体" w:hAnsi="宋体" w:eastAsia="宋体" w:cs="宋体"/>
          <w:color w:val="auto"/>
          <w:kern w:val="0"/>
          <w:sz w:val="24"/>
          <w:highlight w:val="none"/>
          <w:shd w:val="clear" w:color="auto" w:fill="auto"/>
        </w:rPr>
        <w:t xml:space="preserve">恶意串通，进行质疑和投诉，维护政府采购市场秩序。 </w:t>
      </w:r>
    </w:p>
    <w:p w14:paraId="7EA835EE">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8、尊重和接受政府采购监督管理部门的监督和政府采购代理机构招标采购要求，承担因违约行为给采购人造成的损失。 </w:t>
      </w:r>
    </w:p>
    <w:p w14:paraId="621612D2">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9、不发生其他有悖于政府采购公开、公平、公正和诚信原则的行为。 </w:t>
      </w:r>
    </w:p>
    <w:p w14:paraId="7D5C3BEC">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p>
    <w:p w14:paraId="3F09CA09">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承诺单位：</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 xml:space="preserve">（盖章） </w:t>
      </w:r>
    </w:p>
    <w:p w14:paraId="7571D9C3">
      <w:pPr>
        <w:widowControl/>
        <w:spacing w:line="440" w:lineRule="exact"/>
        <w:ind w:firstLine="480" w:firstLineChars="200"/>
        <w:jc w:val="left"/>
        <w:rPr>
          <w:rFonts w:hint="eastAsia" w:ascii="宋体" w:hAnsi="宋体" w:eastAsia="宋体" w:cs="宋体"/>
          <w:color w:val="auto"/>
          <w:kern w:val="0"/>
          <w:sz w:val="24"/>
          <w:highlight w:val="none"/>
          <w:shd w:val="clear" w:color="auto" w:fill="auto"/>
          <w:lang w:eastAsia="zh-CN"/>
        </w:rPr>
      </w:pPr>
      <w:r>
        <w:rPr>
          <w:rFonts w:hint="eastAsia" w:ascii="宋体" w:hAnsi="宋体" w:eastAsia="宋体" w:cs="宋体"/>
          <w:color w:val="auto"/>
          <w:kern w:val="0"/>
          <w:sz w:val="24"/>
          <w:highlight w:val="none"/>
          <w:shd w:val="clear" w:color="auto" w:fill="auto"/>
        </w:rPr>
        <w:t xml:space="preserve">  全权代表：</w:t>
      </w:r>
      <w:r>
        <w:rPr>
          <w:rFonts w:hint="eastAsia" w:ascii="宋体" w:hAnsi="宋体" w:eastAsia="宋体" w:cs="宋体"/>
          <w:color w:val="auto"/>
          <w:kern w:val="0"/>
          <w:sz w:val="24"/>
          <w:highlight w:val="none"/>
          <w:u w:val="single"/>
          <w:shd w:val="clear" w:color="auto" w:fill="auto"/>
        </w:rPr>
        <w:t>　　　　　     　　　           　</w:t>
      </w:r>
      <w:r>
        <w:rPr>
          <w:rFonts w:hint="eastAsia" w:ascii="宋体" w:hAnsi="宋体" w:eastAsia="宋体" w:cs="宋体"/>
          <w:color w:val="auto"/>
          <w:kern w:val="0"/>
          <w:sz w:val="24"/>
          <w:highlight w:val="none"/>
          <w:shd w:val="clear" w:color="auto" w:fill="auto"/>
        </w:rPr>
        <w:t>（签字</w:t>
      </w:r>
      <w:r>
        <w:rPr>
          <w:rFonts w:hint="eastAsia" w:ascii="宋体" w:hAnsi="宋体" w:eastAsia="宋体" w:cs="宋体"/>
          <w:color w:val="auto"/>
          <w:kern w:val="0"/>
          <w:sz w:val="24"/>
          <w:highlight w:val="none"/>
          <w:shd w:val="clear" w:color="auto" w:fill="auto"/>
          <w:lang w:eastAsia="zh-CN"/>
        </w:rPr>
        <w:t>或盖章</w:t>
      </w:r>
      <w:r>
        <w:rPr>
          <w:rFonts w:hint="eastAsia" w:ascii="宋体" w:hAnsi="宋体" w:eastAsia="宋体" w:cs="宋体"/>
          <w:color w:val="auto"/>
          <w:kern w:val="0"/>
          <w:sz w:val="24"/>
          <w:highlight w:val="none"/>
          <w:shd w:val="clear" w:color="auto" w:fill="auto"/>
        </w:rPr>
        <w:t xml:space="preserve">） </w:t>
      </w:r>
    </w:p>
    <w:p w14:paraId="748D8CF8">
      <w:pPr>
        <w:widowControl/>
        <w:spacing w:line="440" w:lineRule="exact"/>
        <w:ind w:firstLine="480" w:firstLineChars="2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地　　址：</w:t>
      </w:r>
      <w:r>
        <w:rPr>
          <w:rFonts w:hint="eastAsia" w:ascii="宋体" w:hAnsi="宋体" w:eastAsia="宋体" w:cs="宋体"/>
          <w:color w:val="auto"/>
          <w:kern w:val="0"/>
          <w:sz w:val="24"/>
          <w:highlight w:val="none"/>
          <w:u w:val="single"/>
          <w:shd w:val="clear" w:color="auto" w:fill="auto"/>
        </w:rPr>
        <w:t xml:space="preserve">                                  </w:t>
      </w:r>
    </w:p>
    <w:p w14:paraId="12A26D71">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邮    编：</w:t>
      </w:r>
      <w:r>
        <w:rPr>
          <w:rFonts w:hint="eastAsia" w:ascii="宋体" w:hAnsi="宋体" w:eastAsia="宋体" w:cs="宋体"/>
          <w:color w:val="auto"/>
          <w:kern w:val="0"/>
          <w:sz w:val="24"/>
          <w:highlight w:val="none"/>
          <w:u w:val="single"/>
          <w:shd w:val="clear" w:color="auto" w:fill="auto"/>
        </w:rPr>
        <w:t xml:space="preserve">　　                         　　 </w:t>
      </w:r>
    </w:p>
    <w:p w14:paraId="1C8D3DA0">
      <w:pPr>
        <w:widowControl/>
        <w:spacing w:line="440" w:lineRule="exact"/>
        <w:ind w:firstLine="720" w:firstLineChars="300"/>
        <w:jc w:val="left"/>
        <w:rPr>
          <w:rFonts w:hint="eastAsia" w:ascii="宋体" w:hAnsi="宋体" w:eastAsia="宋体" w:cs="宋体"/>
          <w:color w:val="auto"/>
          <w:kern w:val="0"/>
          <w:sz w:val="24"/>
          <w:highlight w:val="none"/>
          <w:u w:val="single"/>
          <w:shd w:val="clear" w:color="auto" w:fill="auto"/>
          <w:lang w:eastAsia="zh-CN"/>
        </w:rPr>
      </w:pPr>
      <w:r>
        <w:rPr>
          <w:rFonts w:hint="eastAsia" w:ascii="宋体" w:hAnsi="宋体" w:eastAsia="宋体" w:cs="宋体"/>
          <w:color w:val="auto"/>
          <w:kern w:val="0"/>
          <w:sz w:val="24"/>
          <w:highlight w:val="none"/>
          <w:shd w:val="clear" w:color="auto" w:fill="auto"/>
        </w:rPr>
        <w:t>电　　话：</w:t>
      </w:r>
      <w:r>
        <w:rPr>
          <w:rFonts w:hint="eastAsia" w:ascii="宋体" w:hAnsi="宋体" w:eastAsia="宋体" w:cs="宋体"/>
          <w:color w:val="auto"/>
          <w:kern w:val="0"/>
          <w:sz w:val="24"/>
          <w:highlight w:val="none"/>
          <w:u w:val="single"/>
          <w:shd w:val="clear" w:color="auto" w:fill="auto"/>
        </w:rPr>
        <w:t>　　　                　    　　　</w:t>
      </w:r>
    </w:p>
    <w:p w14:paraId="25DD903E">
      <w:pPr>
        <w:widowControl/>
        <w:spacing w:line="440" w:lineRule="exact"/>
        <w:ind w:firstLine="720" w:firstLineChars="300"/>
        <w:jc w:val="left"/>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 xml:space="preserve">　　　　　　　　　　　　         </w:t>
      </w:r>
    </w:p>
    <w:p w14:paraId="000A1940">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lang w:eastAsia="zh-CN"/>
        </w:rPr>
      </w:pPr>
      <w:r>
        <w:rPr>
          <w:rFonts w:hint="eastAsia" w:ascii="宋体" w:hAnsi="宋体" w:eastAsia="宋体" w:cs="宋体"/>
          <w:color w:val="auto"/>
          <w:kern w:val="0"/>
          <w:sz w:val="24"/>
          <w:highlight w:val="none"/>
          <w:shd w:val="clear" w:color="auto" w:fill="auto"/>
          <w:lang w:val="en-US" w:eastAsia="zh-CN"/>
        </w:rPr>
        <w:t xml:space="preserve">          </w:t>
      </w:r>
      <w:r>
        <w:rPr>
          <w:rFonts w:hint="eastAsia" w:ascii="宋体" w:hAnsi="宋体" w:eastAsia="宋体" w:cs="宋体"/>
          <w:color w:val="auto"/>
          <w:kern w:val="0"/>
          <w:sz w:val="24"/>
          <w:highlight w:val="none"/>
          <w:shd w:val="clear" w:color="auto" w:fill="auto"/>
        </w:rPr>
        <w:t>年 　 　月 　　 日</w:t>
      </w:r>
    </w:p>
    <w:p w14:paraId="313E88EB">
      <w:pPr>
        <w:spacing w:line="480" w:lineRule="auto"/>
        <w:jc w:val="left"/>
        <w:rPr>
          <w:rFonts w:hint="eastAsia" w:ascii="宋体" w:hAnsi="宋体" w:eastAsia="宋体" w:cs="宋体"/>
          <w:b/>
          <w:sz w:val="24"/>
          <w:szCs w:val="24"/>
        </w:rPr>
      </w:pPr>
      <w:r>
        <w:rPr>
          <w:rFonts w:hint="eastAsia" w:ascii="宋体" w:hAnsi="宋体" w:eastAsia="宋体" w:cs="宋体"/>
          <w:color w:val="auto"/>
          <w:kern w:val="0"/>
          <w:sz w:val="24"/>
          <w:highlight w:val="none"/>
          <w:shd w:val="clear" w:color="auto" w:fill="auto"/>
        </w:rPr>
        <w:br w:type="page"/>
      </w:r>
      <w:r>
        <w:rPr>
          <w:rFonts w:hint="eastAsia" w:ascii="宋体" w:hAnsi="宋体" w:eastAsia="宋体" w:cs="宋体"/>
          <w:b/>
          <w:sz w:val="24"/>
          <w:szCs w:val="24"/>
          <w:lang w:val="en-US" w:eastAsia="zh-CN"/>
        </w:rPr>
        <w:t>十、</w:t>
      </w:r>
      <w:r>
        <w:rPr>
          <w:rFonts w:hint="eastAsia" w:ascii="宋体" w:hAnsi="宋体" w:eastAsia="宋体" w:cs="宋体"/>
          <w:b/>
          <w:sz w:val="24"/>
          <w:szCs w:val="24"/>
        </w:rPr>
        <w:t>投标人认为有必要提供的其它证明资料</w:t>
      </w:r>
    </w:p>
    <w:p w14:paraId="78FFFD16">
      <w:pPr>
        <w:spacing w:line="480" w:lineRule="auto"/>
        <w:jc w:val="center"/>
        <w:rPr>
          <w:rFonts w:hint="eastAsia" w:ascii="宋体" w:hAnsi="宋体" w:eastAsia="宋体" w:cs="宋体"/>
          <w:b/>
          <w:color w:val="auto"/>
          <w:spacing w:val="4"/>
          <w:sz w:val="24"/>
          <w:szCs w:val="24"/>
          <w:highlight w:val="none"/>
          <w:lang w:val="en-US" w:eastAsia="zh-CN"/>
        </w:rPr>
      </w:pPr>
      <w:r>
        <w:rPr>
          <w:rFonts w:hint="eastAsia" w:ascii="宋体" w:hAnsi="宋体" w:eastAsia="宋体" w:cs="宋体"/>
          <w:b/>
          <w:color w:val="auto"/>
          <w:spacing w:val="4"/>
          <w:sz w:val="24"/>
          <w:szCs w:val="24"/>
          <w:highlight w:val="none"/>
          <w:lang w:val="en-US" w:eastAsia="zh-CN"/>
        </w:rPr>
        <w:t>1.非联合体投标声明（格式）</w:t>
      </w:r>
    </w:p>
    <w:p w14:paraId="3FB7682B">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本招标项目招标人及招标监管机构： </w:t>
      </w:r>
    </w:p>
    <w:p w14:paraId="6DD52E8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本公司就参加投标工作，作出郑重声明： </w:t>
      </w:r>
    </w:p>
    <w:p w14:paraId="60E6759A">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一、本公司保证投标报名材料及其后提供的一切材料都是真实的。 </w:t>
      </w:r>
    </w:p>
    <w:p w14:paraId="39D71471">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二、本公司保证在本项目投标中不与其他单位围标、串标，不出让投标资格，不向招标人或评标委员会成员行贿。 </w:t>
      </w:r>
    </w:p>
    <w:p w14:paraId="265662D5">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本公司没有处于被责令停业的状态；没有处于被建设行政主管部门取消投标资格的处罚期内；没有处于财产被接管、冻结、破产的状态；在投标报名截止日期前两年内没有建设行政主管部门以书面认定的重大工程质量问题；在陕西政府采购无失信记录查询结果中，本公司在投标报名截止时间前两年没有违法犯罪记录。 </w:t>
      </w:r>
    </w:p>
    <w:p w14:paraId="0B0F57F0">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公司保证本项目并非联合体投标，本项目施工由本公司独立承担。本公司违反上述保证，或本声明陈述与事实不符，经查实，本公司愿意接受公开通报，承担由此带来的法律后果，并自愿停止参加招标投标活动三个月。 </w:t>
      </w:r>
    </w:p>
    <w:p w14:paraId="06EB8C7B">
      <w:pPr>
        <w:pStyle w:val="6"/>
        <w:spacing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774840">
      <w:pPr>
        <w:pStyle w:val="6"/>
        <w:spacing w:line="360" w:lineRule="auto"/>
        <w:ind w:left="0" w:leftChars="0" w:firstLine="0" w:firstLineChars="0"/>
        <w:rPr>
          <w:rFonts w:hint="eastAsia" w:ascii="宋体" w:hAnsi="宋体" w:eastAsia="宋体" w:cs="宋体"/>
          <w:color w:val="auto"/>
          <w:sz w:val="24"/>
          <w:szCs w:val="24"/>
          <w:highlight w:val="none"/>
          <w:lang w:val="en-US" w:eastAsia="zh-CN"/>
        </w:rPr>
      </w:pPr>
    </w:p>
    <w:p w14:paraId="55FD4AD2">
      <w:pPr>
        <w:rPr>
          <w:rFonts w:hint="eastAsia" w:ascii="宋体" w:hAnsi="宋体" w:eastAsia="宋体" w:cs="宋体"/>
          <w:color w:val="auto"/>
          <w:sz w:val="24"/>
          <w:szCs w:val="24"/>
          <w:highlight w:val="none"/>
        </w:rPr>
      </w:pPr>
    </w:p>
    <w:p w14:paraId="6A702EC2">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声明企业：</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（企业公章）</w:t>
      </w:r>
    </w:p>
    <w:p w14:paraId="04A689FC">
      <w:pPr>
        <w:keepNext w:val="0"/>
        <w:keepLines w:val="0"/>
        <w:widowControl/>
        <w:suppressLineNumbers w:val="0"/>
        <w:spacing w:line="36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法定代表人或其委托代理人：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（签字或盖章）</w:t>
      </w:r>
    </w:p>
    <w:p w14:paraId="28D845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2"/>
          <w:szCs w:val="22"/>
          <w:highlight w:val="none"/>
          <w:lang w:val="en-US" w:eastAsia="zh-CN" w:bidi="ar"/>
        </w:rPr>
        <w:t xml:space="preserve">                                                          </w:t>
      </w: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3C2F22E9">
      <w:pPr>
        <w:spacing w:line="360" w:lineRule="auto"/>
        <w:rPr>
          <w:rFonts w:hint="eastAsia" w:ascii="宋体" w:hAnsi="宋体" w:eastAsia="宋体" w:cs="宋体"/>
          <w:b/>
          <w:sz w:val="24"/>
          <w:szCs w:val="24"/>
        </w:rPr>
      </w:pPr>
      <w:r>
        <w:rPr>
          <w:rFonts w:hint="eastAsia" w:ascii="宋体" w:hAnsi="宋体" w:eastAsia="宋体" w:cs="宋体"/>
          <w:b/>
          <w:sz w:val="24"/>
          <w:szCs w:val="24"/>
        </w:rPr>
        <w:t>2.投标人认为有必要提供的其他证明资料</w:t>
      </w:r>
    </w:p>
    <w:p w14:paraId="79E00246">
      <w:pPr>
        <w:keepNext w:val="0"/>
        <w:keepLines w:val="0"/>
        <w:widowControl/>
        <w:suppressLineNumbers w:val="0"/>
        <w:spacing w:line="360" w:lineRule="auto"/>
        <w:jc w:val="both"/>
        <w:rPr>
          <w:rFonts w:hint="eastAsia" w:ascii="宋体" w:hAnsi="宋体" w:eastAsia="宋体" w:cs="宋体"/>
          <w:color w:val="auto"/>
          <w:sz w:val="24"/>
          <w:szCs w:val="24"/>
          <w:highlight w:val="none"/>
        </w:rPr>
      </w:pPr>
    </w:p>
    <w:p w14:paraId="47F14FAB">
      <w:pPr>
        <w:keepNext w:val="0"/>
        <w:keepLines w:val="0"/>
        <w:pageBreakBefore w:val="0"/>
        <w:widowControl/>
        <w:numPr>
          <w:ilvl w:val="0"/>
          <w:numId w:val="0"/>
        </w:numPr>
        <w:kinsoku/>
        <w:wordWrap/>
        <w:overflowPunct/>
        <w:topLinePunct w:val="0"/>
        <w:autoSpaceDE/>
        <w:autoSpaceDN/>
        <w:bidi w:val="0"/>
        <w:adjustRightInd/>
        <w:snapToGrid w:val="0"/>
        <w:spacing w:line="312" w:lineRule="auto"/>
        <w:ind w:firstLine="560" w:firstLineChars="200"/>
        <w:jc w:val="left"/>
        <w:textAlignment w:val="auto"/>
        <w:rPr>
          <w:rFonts w:hint="eastAsia" w:ascii="宋体" w:hAnsi="宋体" w:eastAsia="宋体" w:cs="宋体"/>
          <w:lang w:eastAsia="zh-CN"/>
        </w:rPr>
      </w:pPr>
    </w:p>
    <w:p w14:paraId="0B22EC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i w:val="0"/>
          <w:iCs w:val="0"/>
          <w:caps w:val="0"/>
          <w:color w:val="0D0D0D" w:themeColor="text1" w:themeTint="F2"/>
          <w:spacing w:val="0"/>
          <w:sz w:val="24"/>
          <w:szCs w:val="24"/>
          <w:shd w:val="clear" w:fill="FFFFFF"/>
          <w14:textFill>
            <w14:solidFill>
              <w14:schemeClr w14:val="tx1">
                <w14:lumMod w14:val="95000"/>
                <w14:lumOff w14:val="5000"/>
              </w14:schemeClr>
            </w14:solidFill>
          </w14:textFill>
        </w:rPr>
      </w:pPr>
    </w:p>
    <w:p w14:paraId="7FBC102A">
      <w:pPr>
        <w:rPr>
          <w:rFonts w:hint="eastAsia" w:ascii="宋体" w:hAnsi="宋体" w:eastAsia="宋体" w:cs="宋体"/>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101C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BCDDF9">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14:paraId="1ABCDDF9">
                    <w:pPr>
                      <w:pStyle w:val="11"/>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E38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6844B75">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56844B75">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6A7F32"/>
    <w:multiLevelType w:val="singleLevel"/>
    <w:tmpl w:val="B66A7F32"/>
    <w:lvl w:ilvl="0" w:tentative="0">
      <w:start w:val="3"/>
      <w:numFmt w:val="chineseCounting"/>
      <w:suff w:val="space"/>
      <w:lvlText w:val="%1、"/>
      <w:lvlJc w:val="left"/>
      <w:rPr>
        <w:rFonts w:hint="eastAsia"/>
      </w:rPr>
    </w:lvl>
  </w:abstractNum>
  <w:abstractNum w:abstractNumId="1">
    <w:nsid w:val="CC1FD8C6"/>
    <w:multiLevelType w:val="singleLevel"/>
    <w:tmpl w:val="CC1FD8C6"/>
    <w:lvl w:ilvl="0" w:tentative="0">
      <w:start w:val="1"/>
      <w:numFmt w:val="decimal"/>
      <w:suff w:val="nothing"/>
      <w:lvlText w:val="%1、"/>
      <w:lvlJc w:val="left"/>
    </w:lvl>
  </w:abstractNum>
  <w:abstractNum w:abstractNumId="2">
    <w:nsid w:val="D0FB5535"/>
    <w:multiLevelType w:val="singleLevel"/>
    <w:tmpl w:val="D0FB5535"/>
    <w:lvl w:ilvl="0" w:tentative="0">
      <w:start w:val="3"/>
      <w:numFmt w:val="decimal"/>
      <w:lvlText w:val="%1."/>
      <w:lvlJc w:val="left"/>
      <w:pPr>
        <w:tabs>
          <w:tab w:val="left" w:pos="312"/>
        </w:tabs>
      </w:pPr>
    </w:lvl>
  </w:abstractNum>
  <w:abstractNum w:abstractNumId="3">
    <w:nsid w:val="02AA629B"/>
    <w:multiLevelType w:val="singleLevel"/>
    <w:tmpl w:val="02AA629B"/>
    <w:lvl w:ilvl="0" w:tentative="0">
      <w:start w:val="5"/>
      <w:numFmt w:val="decimal"/>
      <w:lvlText w:val="%1."/>
      <w:lvlJc w:val="left"/>
      <w:pPr>
        <w:tabs>
          <w:tab w:val="left" w:pos="312"/>
        </w:tabs>
      </w:pPr>
    </w:lvl>
  </w:abstractNum>
  <w:abstractNum w:abstractNumId="4">
    <w:nsid w:val="06FFBF8E"/>
    <w:multiLevelType w:val="singleLevel"/>
    <w:tmpl w:val="06FFBF8E"/>
    <w:lvl w:ilvl="0" w:tentative="0">
      <w:start w:val="1"/>
      <w:numFmt w:val="chineseCounting"/>
      <w:suff w:val="nothing"/>
      <w:lvlText w:val="%1、"/>
      <w:lvlJc w:val="left"/>
      <w:rPr>
        <w:rFonts w:hint="eastAsia"/>
      </w:rPr>
    </w:lvl>
  </w:abstractNum>
  <w:abstractNum w:abstractNumId="5">
    <w:nsid w:val="0C3BD727"/>
    <w:multiLevelType w:val="singleLevel"/>
    <w:tmpl w:val="0C3BD727"/>
    <w:lvl w:ilvl="0" w:tentative="0">
      <w:start w:val="1"/>
      <w:numFmt w:val="decimal"/>
      <w:suff w:val="nothing"/>
      <w:lvlText w:val="%1、"/>
      <w:lvlJc w:val="left"/>
    </w:lvl>
  </w:abstractNum>
  <w:abstractNum w:abstractNumId="6">
    <w:nsid w:val="13E5FFB0"/>
    <w:multiLevelType w:val="singleLevel"/>
    <w:tmpl w:val="13E5FFB0"/>
    <w:lvl w:ilvl="0" w:tentative="0">
      <w:start w:val="2"/>
      <w:numFmt w:val="chineseCounting"/>
      <w:suff w:val="nothing"/>
      <w:lvlText w:val="%1、"/>
      <w:lvlJc w:val="left"/>
      <w:rPr>
        <w:rFonts w:hint="eastAsia"/>
      </w:rPr>
    </w:lvl>
  </w:abstractNum>
  <w:abstractNum w:abstractNumId="7">
    <w:nsid w:val="27D8AFBE"/>
    <w:multiLevelType w:val="singleLevel"/>
    <w:tmpl w:val="27D8AFBE"/>
    <w:lvl w:ilvl="0" w:tentative="0">
      <w:start w:val="2"/>
      <w:numFmt w:val="decimal"/>
      <w:suff w:val="nothing"/>
      <w:lvlText w:val="%1、"/>
      <w:lvlJc w:val="left"/>
    </w:lvl>
  </w:abstractNum>
  <w:abstractNum w:abstractNumId="8">
    <w:nsid w:val="27FE6E64"/>
    <w:multiLevelType w:val="singleLevel"/>
    <w:tmpl w:val="27FE6E64"/>
    <w:lvl w:ilvl="0" w:tentative="0">
      <w:start w:val="1"/>
      <w:numFmt w:val="chineseCounting"/>
      <w:suff w:val="space"/>
      <w:lvlText w:val="第%1章"/>
      <w:lvlJc w:val="left"/>
      <w:rPr>
        <w:rFonts w:hint="eastAsia"/>
      </w:rPr>
    </w:lvl>
  </w:abstractNum>
  <w:abstractNum w:abstractNumId="9">
    <w:nsid w:val="4F653CA2"/>
    <w:multiLevelType w:val="singleLevel"/>
    <w:tmpl w:val="4F653CA2"/>
    <w:lvl w:ilvl="0" w:tentative="0">
      <w:start w:val="1"/>
      <w:numFmt w:val="chineseCounting"/>
      <w:suff w:val="nothing"/>
      <w:lvlText w:val="%1、"/>
      <w:lvlJc w:val="left"/>
      <w:rPr>
        <w:rFonts w:hint="eastAsia"/>
      </w:rPr>
    </w:lvl>
  </w:abstractNum>
  <w:abstractNum w:abstractNumId="10">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11">
    <w:nsid w:val="5A13EC30"/>
    <w:multiLevelType w:val="singleLevel"/>
    <w:tmpl w:val="5A13EC30"/>
    <w:lvl w:ilvl="0" w:tentative="0">
      <w:start w:val="1"/>
      <w:numFmt w:val="decimal"/>
      <w:suff w:val="nothing"/>
      <w:lvlText w:val="%1、"/>
      <w:lvlJc w:val="left"/>
    </w:lvl>
  </w:abstractNum>
  <w:abstractNum w:abstractNumId="12">
    <w:nsid w:val="62373507"/>
    <w:multiLevelType w:val="singleLevel"/>
    <w:tmpl w:val="62373507"/>
    <w:lvl w:ilvl="0" w:tentative="0">
      <w:start w:val="6"/>
      <w:numFmt w:val="chineseCounting"/>
      <w:suff w:val="space"/>
      <w:lvlText w:val="第%1章"/>
      <w:lvlJc w:val="left"/>
      <w:rPr>
        <w:rFonts w:hint="eastAsia"/>
      </w:rPr>
    </w:lvl>
  </w:abstractNum>
  <w:abstractNum w:abstractNumId="13">
    <w:nsid w:val="74AA74BA"/>
    <w:multiLevelType w:val="singleLevel"/>
    <w:tmpl w:val="74AA74BA"/>
    <w:lvl w:ilvl="0" w:tentative="0">
      <w:start w:val="1"/>
      <w:numFmt w:val="decimal"/>
      <w:suff w:val="space"/>
      <w:lvlText w:val="%1."/>
      <w:lvlJc w:val="left"/>
    </w:lvl>
  </w:abstractNum>
  <w:num w:numId="1">
    <w:abstractNumId w:val="8"/>
  </w:num>
  <w:num w:numId="2">
    <w:abstractNumId w:val="10"/>
  </w:num>
  <w:num w:numId="3">
    <w:abstractNumId w:val="3"/>
  </w:num>
  <w:num w:numId="4">
    <w:abstractNumId w:val="0"/>
  </w:num>
  <w:num w:numId="5">
    <w:abstractNumId w:val="4"/>
  </w:num>
  <w:num w:numId="6">
    <w:abstractNumId w:val="12"/>
  </w:num>
  <w:num w:numId="7">
    <w:abstractNumId w:val="9"/>
  </w:num>
  <w:num w:numId="8">
    <w:abstractNumId w:val="5"/>
  </w:num>
  <w:num w:numId="9">
    <w:abstractNumId w:val="1"/>
  </w:num>
  <w:num w:numId="10">
    <w:abstractNumId w:val="2"/>
  </w:num>
  <w:num w:numId="11">
    <w:abstractNumId w:val="11"/>
  </w:num>
  <w:num w:numId="12">
    <w:abstractNumId w:val="6"/>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77C17"/>
    <w:rsid w:val="0221107B"/>
    <w:rsid w:val="02293D79"/>
    <w:rsid w:val="04B66043"/>
    <w:rsid w:val="054D3881"/>
    <w:rsid w:val="07F62324"/>
    <w:rsid w:val="0BE114CF"/>
    <w:rsid w:val="0C252478"/>
    <w:rsid w:val="10161DBA"/>
    <w:rsid w:val="10190546"/>
    <w:rsid w:val="13196AAF"/>
    <w:rsid w:val="141E3DEE"/>
    <w:rsid w:val="165F3F75"/>
    <w:rsid w:val="16734728"/>
    <w:rsid w:val="198033E4"/>
    <w:rsid w:val="19B340EB"/>
    <w:rsid w:val="19E567DE"/>
    <w:rsid w:val="19F45B80"/>
    <w:rsid w:val="1A977699"/>
    <w:rsid w:val="1BBE78A5"/>
    <w:rsid w:val="1BE97CE7"/>
    <w:rsid w:val="1C107CCC"/>
    <w:rsid w:val="1D4B75E8"/>
    <w:rsid w:val="2086759A"/>
    <w:rsid w:val="21A615D2"/>
    <w:rsid w:val="21A801C4"/>
    <w:rsid w:val="23136C4A"/>
    <w:rsid w:val="2361513F"/>
    <w:rsid w:val="23781553"/>
    <w:rsid w:val="246F652F"/>
    <w:rsid w:val="251441E0"/>
    <w:rsid w:val="267E32B6"/>
    <w:rsid w:val="27B76BDB"/>
    <w:rsid w:val="293920A9"/>
    <w:rsid w:val="29B33362"/>
    <w:rsid w:val="2A9860B3"/>
    <w:rsid w:val="2B1367DC"/>
    <w:rsid w:val="2DA252C0"/>
    <w:rsid w:val="2ECD1C83"/>
    <w:rsid w:val="2FA07EE4"/>
    <w:rsid w:val="30AC555B"/>
    <w:rsid w:val="32A777DC"/>
    <w:rsid w:val="32FC6A5F"/>
    <w:rsid w:val="33AE4093"/>
    <w:rsid w:val="358E54E5"/>
    <w:rsid w:val="35E623C9"/>
    <w:rsid w:val="360D3DFA"/>
    <w:rsid w:val="36321AB2"/>
    <w:rsid w:val="388365F5"/>
    <w:rsid w:val="39FA5C2B"/>
    <w:rsid w:val="3AAD1707"/>
    <w:rsid w:val="3C58774C"/>
    <w:rsid w:val="3D215A50"/>
    <w:rsid w:val="3F721126"/>
    <w:rsid w:val="40047D02"/>
    <w:rsid w:val="40703D80"/>
    <w:rsid w:val="414D571D"/>
    <w:rsid w:val="41C6026D"/>
    <w:rsid w:val="43FB7987"/>
    <w:rsid w:val="45594965"/>
    <w:rsid w:val="46A55988"/>
    <w:rsid w:val="494B2817"/>
    <w:rsid w:val="4A535013"/>
    <w:rsid w:val="4B147F67"/>
    <w:rsid w:val="4BC40C25"/>
    <w:rsid w:val="4E042EBA"/>
    <w:rsid w:val="50335E04"/>
    <w:rsid w:val="51CF2B48"/>
    <w:rsid w:val="52FE08FA"/>
    <w:rsid w:val="53AA59D4"/>
    <w:rsid w:val="549D0AD3"/>
    <w:rsid w:val="54AC3CB6"/>
    <w:rsid w:val="58B678D8"/>
    <w:rsid w:val="5999544A"/>
    <w:rsid w:val="5B3A26EB"/>
    <w:rsid w:val="5B4A291C"/>
    <w:rsid w:val="5B907E1E"/>
    <w:rsid w:val="5B977B3E"/>
    <w:rsid w:val="62542747"/>
    <w:rsid w:val="65077AE2"/>
    <w:rsid w:val="65553461"/>
    <w:rsid w:val="65EB7404"/>
    <w:rsid w:val="66D02156"/>
    <w:rsid w:val="66DC0AFB"/>
    <w:rsid w:val="675D5EDF"/>
    <w:rsid w:val="676C6B1B"/>
    <w:rsid w:val="6ACA1932"/>
    <w:rsid w:val="6BD11E9E"/>
    <w:rsid w:val="6BF0394F"/>
    <w:rsid w:val="6E49116B"/>
    <w:rsid w:val="6E7B158C"/>
    <w:rsid w:val="6F384B1F"/>
    <w:rsid w:val="6F4A043A"/>
    <w:rsid w:val="6F555096"/>
    <w:rsid w:val="713E08C0"/>
    <w:rsid w:val="717007BD"/>
    <w:rsid w:val="736A0B5A"/>
    <w:rsid w:val="74AD0971"/>
    <w:rsid w:val="756866DA"/>
    <w:rsid w:val="766334C9"/>
    <w:rsid w:val="766A1C7F"/>
    <w:rsid w:val="76EA6EDD"/>
    <w:rsid w:val="777F175A"/>
    <w:rsid w:val="78442439"/>
    <w:rsid w:val="78574E72"/>
    <w:rsid w:val="7C4B2553"/>
    <w:rsid w:val="7D625DA6"/>
    <w:rsid w:val="7D82379F"/>
    <w:rsid w:val="7D9122BB"/>
    <w:rsid w:val="7D951CD7"/>
    <w:rsid w:val="7DC237B7"/>
    <w:rsid w:val="7E8900A7"/>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paragraph" w:styleId="3">
    <w:name w:val="heading 3"/>
    <w:basedOn w:val="1"/>
    <w:next w:val="1"/>
    <w:unhideWhenUsed/>
    <w:qFormat/>
    <w:uiPriority w:val="0"/>
    <w:pPr>
      <w:keepNext/>
      <w:keepLines/>
      <w:spacing w:line="413" w:lineRule="auto"/>
      <w:outlineLvl w:val="2"/>
    </w:pPr>
    <w:rPr>
      <w:b/>
      <w:bCs/>
      <w:sz w:val="32"/>
      <w:szCs w:val="32"/>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qFormat/>
    <w:uiPriority w:val="0"/>
    <w:pPr>
      <w:jc w:val="center"/>
    </w:pPr>
    <w:rPr>
      <w:b/>
      <w:spacing w:val="4"/>
      <w:sz w:val="84"/>
    </w:rPr>
  </w:style>
  <w:style w:type="paragraph" w:styleId="8">
    <w:name w:val="Body Text Indent"/>
    <w:basedOn w:val="1"/>
    <w:next w:val="9"/>
    <w:qFormat/>
    <w:uiPriority w:val="0"/>
    <w:pPr>
      <w:spacing w:after="120"/>
      <w:ind w:left="420" w:leftChars="200"/>
    </w:pPr>
  </w:style>
  <w:style w:type="paragraph" w:customStyle="1" w:styleId="9">
    <w:name w:val="Default"/>
    <w:next w:val="10"/>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0">
    <w:name w:val="toc 2"/>
    <w:basedOn w:val="1"/>
    <w:next w:val="1"/>
    <w:qFormat/>
    <w:uiPriority w:val="39"/>
    <w:pPr>
      <w:ind w:left="420" w:leftChars="200"/>
    </w:pPr>
    <w:rPr>
      <w:sz w:val="21"/>
      <w:szCs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7"/>
    <w:next w:val="15"/>
    <w:qFormat/>
    <w:uiPriority w:val="0"/>
    <w:pPr>
      <w:ind w:firstLine="420" w:firstLineChars="100"/>
    </w:pPr>
  </w:style>
  <w:style w:type="paragraph" w:styleId="15">
    <w:name w:val="Body Text First Indent 2"/>
    <w:basedOn w:val="8"/>
    <w:qFormat/>
    <w:uiPriority w:val="0"/>
    <w:pPr>
      <w:tabs>
        <w:tab w:val="left" w:pos="4900"/>
      </w:tabs>
      <w:ind w:firstLine="420" w:firstLineChars="200"/>
    </w:pPr>
  </w:style>
  <w:style w:type="character" w:styleId="18">
    <w:name w:val="Strong"/>
    <w:basedOn w:val="17"/>
    <w:qFormat/>
    <w:uiPriority w:val="0"/>
    <w:rPr>
      <w:b/>
    </w:rPr>
  </w:style>
  <w:style w:type="character" w:styleId="19">
    <w:name w:val="Hyperlink"/>
    <w:basedOn w:val="17"/>
    <w:qFormat/>
    <w:uiPriority w:val="0"/>
    <w:rPr>
      <w:color w:val="0000FF"/>
      <w:u w:val="none"/>
    </w:rPr>
  </w:style>
  <w:style w:type="paragraph" w:styleId="20">
    <w:name w:val="List Paragraph"/>
    <w:basedOn w:val="1"/>
    <w:autoRedefine/>
    <w:qFormat/>
    <w:uiPriority w:val="99"/>
    <w:pPr>
      <w:ind w:firstLine="420" w:firstLineChars="200"/>
    </w:pPr>
  </w:style>
  <w:style w:type="paragraph" w:customStyle="1" w:styleId="21">
    <w:name w:val="列出段落1"/>
    <w:basedOn w:val="1"/>
    <w:qFormat/>
    <w:uiPriority w:val="0"/>
    <w:pPr>
      <w:spacing w:line="360" w:lineRule="auto"/>
      <w:ind w:firstLine="420" w:firstLineChars="200"/>
    </w:pPr>
    <w:rPr>
      <w:szCs w:val="20"/>
    </w:rPr>
  </w:style>
  <w:style w:type="paragraph" w:customStyle="1" w:styleId="22">
    <w:name w:val="样式 仿宋_GB2312 四号 行距: 1.5 倍行距"/>
    <w:basedOn w:val="1"/>
    <w:qFormat/>
    <w:uiPriority w:val="0"/>
    <w:pPr>
      <w:spacing w:line="360" w:lineRule="auto"/>
      <w:ind w:firstLine="560" w:firstLineChars="200"/>
    </w:pPr>
    <w:rPr>
      <w:rFonts w:ascii="仿宋_GB2312" w:eastAsia="仿宋_GB2312" w:cs="宋体"/>
      <w:sz w:val="28"/>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font31"/>
    <w:basedOn w:val="17"/>
    <w:qFormat/>
    <w:uiPriority w:val="0"/>
    <w:rPr>
      <w:rFonts w:hint="eastAsia" w:ascii="宋体" w:hAnsi="宋体" w:eastAsia="宋体" w:cs="宋体"/>
      <w:color w:val="000000"/>
      <w:sz w:val="18"/>
      <w:szCs w:val="18"/>
      <w:u w:val="none"/>
    </w:rPr>
  </w:style>
  <w:style w:type="character" w:customStyle="1" w:styleId="25">
    <w:name w:val="font41"/>
    <w:basedOn w:val="17"/>
    <w:qFormat/>
    <w:uiPriority w:val="0"/>
    <w:rPr>
      <w:rFonts w:hint="default" w:ascii="Calibri" w:hAnsi="Calibri" w:cs="Calibri"/>
      <w:color w:val="000000"/>
      <w:sz w:val="18"/>
      <w:szCs w:val="18"/>
      <w:u w:val="none"/>
    </w:rPr>
  </w:style>
  <w:style w:type="character" w:customStyle="1" w:styleId="26">
    <w:name w:val="font5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12163</Words>
  <Characters>12922</Characters>
  <Lines>0</Lines>
  <Paragraphs>0</Paragraphs>
  <TotalTime>3</TotalTime>
  <ScaleCrop>false</ScaleCrop>
  <LinksUpToDate>false</LinksUpToDate>
  <CharactersWithSpaces>13029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2025-09-11T12:57:00Z</dcterms:created>
  <dc:creator>Administrator</dc:creator>
  <cp:lastModifiedBy>入戏太深。</cp:lastModifiedBy>
  <dcterms:modified xsi:type="dcterms:W3CDTF">2026-06-18T03:28:08Z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eyJoZGlkIjoiODA3MzBmN2NmOTBlNmYxZThmNjRhYzUxNWNmMDA2NzkiLCJ1c2VySWQiOiIzNTQ5NjIwNzkifQ==</vt:lpwstr>
  </property>
  <property fmtid="{D5CDD505-2E9C-101B-9397-08002B2CF9AE}" pid="4" name="ICV">
    <vt:lpwstr>2AF3261DFE8348378C7EE031A7BE205B_13</vt:lpwstr>
  </property>
</Properties>
</file>