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9D90F">
      <w:pPr>
        <w:keepNext w:val="0"/>
        <w:keepLines w:val="0"/>
        <w:pageBreakBefore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color w:val="auto"/>
          <w:sz w:val="24"/>
          <w:szCs w:val="24"/>
          <w:highlight w:val="none"/>
          <w:lang w:val="en-US" w:eastAsia="zh-Hans"/>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val="en-US" w:eastAsia="zh-Hans"/>
        </w:rPr>
        <w:t>项目基本情况</w:t>
      </w:r>
    </w:p>
    <w:p w14:paraId="55241D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1"/>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陕西省科技信息情报服务平台3.0二期项目将在一期项目的基础上，集成科技查新、科技报告、科技统计、科技咨询等科技业务系统；梳理整合相关科技创新数据资源，建立专题数据资源库，实现数据的向量化；依托我省重点产业链布局，跟踪监测我省战略科技资源目标网站，结合情报分析人员研判，构建我省科技动态监测系统；增加数据分析、知识图谱分析、AI客服等功能，实现具备资源保障、业务集成、动态监测、智能客服务等功能的平台升级。基于以上数据处理和服务功能升级现需要购置软件设计开发和运行所需的数据库支撑软件两套</w:t>
      </w:r>
      <w:r>
        <w:rPr>
          <w:rFonts w:hint="eastAsia" w:ascii="宋体" w:hAnsi="宋体" w:eastAsia="宋体" w:cs="宋体"/>
          <w:color w:val="auto"/>
          <w:sz w:val="24"/>
          <w:szCs w:val="24"/>
          <w:highlight w:val="none"/>
          <w:lang w:val="en-US" w:eastAsia="zh-Hans"/>
        </w:rPr>
        <w:t>。</w:t>
      </w:r>
    </w:p>
    <w:p w14:paraId="27D63018">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二、采购需求概况</w:t>
      </w:r>
    </w:p>
    <w:p w14:paraId="775BF28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
          <w:bCs w:val="0"/>
          <w:kern w:val="2"/>
          <w:sz w:val="24"/>
          <w:szCs w:val="24"/>
          <w:highlight w:val="none"/>
          <w:shd w:val="clear" w:color="auto" w:fill="FFFFFF"/>
          <w:lang w:val="en-US" w:eastAsia="zh-CN" w:bidi="ar-SA"/>
        </w:rPr>
        <w:t>集中式数据库管理系统（1）</w:t>
      </w:r>
    </w:p>
    <w:p w14:paraId="09EAB7BE">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kern w:val="2"/>
          <w:sz w:val="24"/>
          <w:szCs w:val="24"/>
          <w:highlight w:val="none"/>
          <w:shd w:val="clear" w:color="auto" w:fill="FFFFFF"/>
          <w:lang w:val="en-US" w:eastAsia="zh-CN" w:bidi="ar-SA"/>
        </w:rPr>
      </w:pPr>
      <w:r>
        <w:rPr>
          <w:rFonts w:hint="eastAsia" w:ascii="宋体" w:hAnsi="宋体" w:eastAsia="宋体" w:cs="宋体"/>
          <w:b/>
          <w:bCs w:val="0"/>
          <w:kern w:val="2"/>
          <w:sz w:val="24"/>
          <w:szCs w:val="24"/>
          <w:highlight w:val="none"/>
          <w:shd w:val="clear" w:color="auto" w:fill="FFFFFF"/>
          <w:lang w:val="en-US" w:eastAsia="zh-CN" w:bidi="ar-SA"/>
        </w:rPr>
        <w:t>2.集中式数据库管理系统（2）</w:t>
      </w:r>
    </w:p>
    <w:p w14:paraId="07D505F2">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三、主要功能</w:t>
      </w:r>
    </w:p>
    <w:p w14:paraId="08F8DA4D">
      <w:pPr>
        <w:pStyle w:val="2"/>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zh-CN" w:eastAsia="zh-CN" w:bidi="ar-SA"/>
        </w:rPr>
        <w:t>1</w:t>
      </w:r>
      <w:r>
        <w:rPr>
          <w:rFonts w:hint="eastAsia" w:ascii="宋体" w:hAnsi="宋体" w:eastAsia="宋体" w:cs="宋体"/>
          <w:b/>
          <w:bCs w:val="0"/>
          <w:color w:val="auto"/>
          <w:kern w:val="2"/>
          <w:sz w:val="24"/>
          <w:szCs w:val="24"/>
          <w:highlight w:val="none"/>
          <w:lang w:val="en-US" w:eastAsia="zh-CN" w:bidi="ar-SA"/>
        </w:rPr>
        <w:t>.</w:t>
      </w:r>
      <w:r>
        <w:rPr>
          <w:rFonts w:hint="eastAsia" w:ascii="宋体" w:hAnsi="宋体" w:eastAsia="宋体" w:cs="宋体"/>
          <w:b/>
          <w:bCs w:val="0"/>
          <w:kern w:val="2"/>
          <w:sz w:val="24"/>
          <w:szCs w:val="24"/>
          <w:highlight w:val="none"/>
          <w:shd w:val="clear" w:color="auto" w:fill="FFFFFF"/>
          <w:lang w:val="en-US" w:eastAsia="zh-CN" w:bidi="ar-SA"/>
        </w:rPr>
        <w:t>集中式数据库管理系统（1）</w:t>
      </w:r>
      <w:r>
        <w:rPr>
          <w:rFonts w:hint="eastAsia" w:ascii="宋体" w:hAnsi="宋体" w:eastAsia="宋体" w:cs="宋体"/>
          <w:b/>
          <w:bCs w:val="0"/>
          <w:color w:val="auto"/>
          <w:kern w:val="2"/>
          <w:sz w:val="24"/>
          <w:szCs w:val="24"/>
          <w:highlight w:val="none"/>
          <w:lang w:val="en-US" w:eastAsia="zh-CN" w:bidi="ar-SA"/>
        </w:rPr>
        <w:t>技术参数</w:t>
      </w:r>
    </w:p>
    <w:tbl>
      <w:tblPr>
        <w:tblStyle w:val="4"/>
        <w:tblW w:w="5710" w:type="pct"/>
        <w:tblInd w:w="-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791"/>
        <w:gridCol w:w="926"/>
        <w:gridCol w:w="7432"/>
      </w:tblGrid>
      <w:tr w14:paraId="6074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299" w:type="pct"/>
            <w:shd w:val="clear" w:color="auto" w:fill="F1F1F1"/>
            <w:noWrap w:val="0"/>
            <w:vAlign w:val="center"/>
          </w:tcPr>
          <w:p w14:paraId="2C611C8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406" w:type="pct"/>
            <w:shd w:val="clear" w:color="auto" w:fill="F1F1F1"/>
            <w:noWrap w:val="0"/>
            <w:vAlign w:val="center"/>
          </w:tcPr>
          <w:p w14:paraId="4062DAE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指标分类</w:t>
            </w:r>
          </w:p>
        </w:tc>
        <w:tc>
          <w:tcPr>
            <w:tcW w:w="475" w:type="pct"/>
            <w:shd w:val="clear" w:color="auto" w:fill="F1F1F1"/>
            <w:noWrap w:val="0"/>
            <w:vAlign w:val="center"/>
          </w:tcPr>
          <w:p w14:paraId="55FEC36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子类指标</w:t>
            </w:r>
          </w:p>
        </w:tc>
        <w:tc>
          <w:tcPr>
            <w:tcW w:w="3818" w:type="pct"/>
            <w:shd w:val="clear" w:color="auto" w:fill="F1F1F1"/>
            <w:noWrap w:val="0"/>
            <w:vAlign w:val="center"/>
          </w:tcPr>
          <w:p w14:paraId="57E76CD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技术规格要求</w:t>
            </w:r>
          </w:p>
        </w:tc>
      </w:tr>
      <w:tr w14:paraId="6685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299" w:type="pct"/>
            <w:noWrap w:val="0"/>
            <w:vAlign w:val="center"/>
          </w:tcPr>
          <w:p w14:paraId="736918B0">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406" w:type="pct"/>
            <w:vMerge w:val="restart"/>
            <w:noWrap w:val="0"/>
            <w:vAlign w:val="center"/>
          </w:tcPr>
          <w:p w14:paraId="4D43D56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4313C4DE">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max、min函数功能</w:t>
            </w:r>
          </w:p>
        </w:tc>
        <w:tc>
          <w:tcPr>
            <w:tcW w:w="3818" w:type="pct"/>
            <w:noWrap w:val="0"/>
            <w:vAlign w:val="center"/>
          </w:tcPr>
          <w:p w14:paraId="7D46B6DF">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支持在二进制类型（BINARY）字段上使用max和min函数，并能够对二进制数据进行排序。需</w:t>
            </w:r>
            <w:r>
              <w:rPr>
                <w:rFonts w:hint="eastAsia" w:ascii="宋体" w:hAnsi="宋体" w:eastAsia="宋体" w:cs="宋体"/>
                <w:sz w:val="24"/>
                <w:szCs w:val="24"/>
                <w:highlight w:val="none"/>
                <w:lang w:val="en-US" w:eastAsia="zh-CN"/>
              </w:rPr>
              <w:t>提供生产厂家出具的、相应的功能证明材料（包括但不限于测试报告、官网和功能截图等）</w:t>
            </w:r>
          </w:p>
        </w:tc>
      </w:tr>
      <w:tr w14:paraId="71A6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trPr>
        <w:tc>
          <w:tcPr>
            <w:tcW w:w="299" w:type="pct"/>
            <w:noWrap w:val="0"/>
            <w:vAlign w:val="center"/>
          </w:tcPr>
          <w:p w14:paraId="5C12EC4E">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2</w:t>
            </w:r>
          </w:p>
        </w:tc>
        <w:tc>
          <w:tcPr>
            <w:tcW w:w="406" w:type="pct"/>
            <w:vMerge w:val="continue"/>
            <w:noWrap w:val="0"/>
            <w:vAlign w:val="center"/>
          </w:tcPr>
          <w:p w14:paraId="79AEA4F5">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38FB76A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unhex函数功能</w:t>
            </w:r>
          </w:p>
        </w:tc>
        <w:tc>
          <w:tcPr>
            <w:tcW w:w="3818" w:type="pct"/>
            <w:noWrap w:val="0"/>
            <w:vAlign w:val="center"/>
          </w:tcPr>
          <w:p w14:paraId="29154FB9">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具备unhex函数功能，支持unhex()函数，如可在字符类型（CHAR）字段插入unhex(00)，以实现将十六进制数据转换为二进制数据并插入指定字符字段。</w:t>
            </w:r>
            <w:bookmarkStart w:id="0" w:name="OLE_LINK6"/>
            <w:r>
              <w:rPr>
                <w:rFonts w:hint="eastAsia" w:ascii="宋体" w:hAnsi="宋体" w:eastAsia="宋体" w:cs="宋体"/>
                <w:sz w:val="24"/>
                <w:szCs w:val="24"/>
                <w:highlight w:val="none"/>
              </w:rPr>
              <w:t>需</w:t>
            </w:r>
            <w:bookmarkEnd w:id="0"/>
            <w:r>
              <w:rPr>
                <w:rFonts w:hint="eastAsia" w:ascii="宋体" w:hAnsi="宋体" w:eastAsia="宋体" w:cs="宋体"/>
                <w:i w:val="0"/>
                <w:iCs w:val="0"/>
                <w:color w:val="000000"/>
                <w:kern w:val="0"/>
                <w:sz w:val="24"/>
                <w:szCs w:val="24"/>
                <w:highlight w:val="none"/>
                <w:u w:val="none"/>
                <w:lang w:val="en-US" w:eastAsia="zh-CN" w:bidi="ar"/>
              </w:rPr>
              <w:t>提供生产厂家出具的、相应的功能证明材料（包括但不限于测试报告、官网和功能截图等）</w:t>
            </w:r>
          </w:p>
        </w:tc>
      </w:tr>
      <w:tr w14:paraId="3CB4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299" w:type="pct"/>
            <w:noWrap w:val="0"/>
            <w:vAlign w:val="center"/>
          </w:tcPr>
          <w:p w14:paraId="71620B69">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3</w:t>
            </w:r>
          </w:p>
        </w:tc>
        <w:tc>
          <w:tcPr>
            <w:tcW w:w="406" w:type="pct"/>
            <w:vMerge w:val="continue"/>
            <w:noWrap w:val="0"/>
            <w:vAlign w:val="center"/>
          </w:tcPr>
          <w:p w14:paraId="4CB83F24">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6099E60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索引主键</w:t>
            </w:r>
          </w:p>
        </w:tc>
        <w:tc>
          <w:tcPr>
            <w:tcW w:w="3818" w:type="pct"/>
            <w:noWrap w:val="0"/>
            <w:vAlign w:val="center"/>
          </w:tcPr>
          <w:p w14:paraId="1476D719">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支持通过类似ALTER TABLE ADD PRIMARY KEY USING INDEX的语法将现有索引列指定为主键，以实现索引主键功能。需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62E7F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299" w:type="pct"/>
            <w:noWrap w:val="0"/>
            <w:vAlign w:val="center"/>
          </w:tcPr>
          <w:p w14:paraId="0281C042">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4</w:t>
            </w:r>
          </w:p>
        </w:tc>
        <w:tc>
          <w:tcPr>
            <w:tcW w:w="406" w:type="pct"/>
            <w:vMerge w:val="continue"/>
            <w:noWrap w:val="0"/>
            <w:vAlign w:val="center"/>
          </w:tcPr>
          <w:p w14:paraId="2C76C6D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6E2B44E0">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约束索引处理</w:t>
            </w:r>
          </w:p>
        </w:tc>
        <w:tc>
          <w:tcPr>
            <w:tcW w:w="3818" w:type="pct"/>
            <w:noWrap w:val="0"/>
            <w:vAlign w:val="center"/>
          </w:tcPr>
          <w:p w14:paraId="65EFB13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支持在删除约束时可选择是否保留约束上的索引，可通过类似ALTER TABLE DROP CONSTRAINT &lt;约束名&gt; [CASCADE] [DROP|KEEP INDEX]的语法实现。需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0E55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299" w:type="pct"/>
            <w:noWrap w:val="0"/>
            <w:vAlign w:val="center"/>
          </w:tcPr>
          <w:p w14:paraId="094E6417">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5</w:t>
            </w:r>
          </w:p>
        </w:tc>
        <w:tc>
          <w:tcPr>
            <w:tcW w:w="406" w:type="pct"/>
            <w:vMerge w:val="continue"/>
            <w:noWrap w:val="0"/>
            <w:vAlign w:val="center"/>
          </w:tcPr>
          <w:p w14:paraId="53F2194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20385F9B">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重建分区索引</w:t>
            </w:r>
          </w:p>
        </w:tc>
        <w:tc>
          <w:tcPr>
            <w:tcW w:w="3818" w:type="pct"/>
            <w:noWrap w:val="0"/>
            <w:vAlign w:val="center"/>
          </w:tcPr>
          <w:p w14:paraId="34A7DA3B">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提供重建单个分区本地索引的功能，可通过使用类似ALTER INDEX REBUILD PARTITION的语法进行重建。需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04DB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299" w:type="pct"/>
            <w:noWrap w:val="0"/>
            <w:vAlign w:val="center"/>
          </w:tcPr>
          <w:p w14:paraId="791561FA">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6</w:t>
            </w:r>
          </w:p>
        </w:tc>
        <w:tc>
          <w:tcPr>
            <w:tcW w:w="406" w:type="pct"/>
            <w:vMerge w:val="continue"/>
            <w:noWrap w:val="0"/>
            <w:vAlign w:val="center"/>
          </w:tcPr>
          <w:p w14:paraId="0B5BAFA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70B78AAD">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触发器重命名</w:t>
            </w:r>
          </w:p>
        </w:tc>
        <w:tc>
          <w:tcPr>
            <w:tcW w:w="3818" w:type="pct"/>
            <w:noWrap w:val="0"/>
            <w:vAlign w:val="center"/>
          </w:tcPr>
          <w:p w14:paraId="3FDD1BF8">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具备触发器重命名功能，可通过类似ALTER TRIGGER...RENAME TO的语法实现。需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35FE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299" w:type="pct"/>
            <w:noWrap w:val="0"/>
            <w:vAlign w:val="center"/>
          </w:tcPr>
          <w:p w14:paraId="6FAC9E80">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7</w:t>
            </w:r>
          </w:p>
        </w:tc>
        <w:tc>
          <w:tcPr>
            <w:tcW w:w="406" w:type="pct"/>
            <w:vMerge w:val="continue"/>
            <w:noWrap w:val="0"/>
            <w:vAlign w:val="center"/>
          </w:tcPr>
          <w:p w14:paraId="786981A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3A2BD3F6">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重命名序列</w:t>
            </w:r>
          </w:p>
        </w:tc>
        <w:tc>
          <w:tcPr>
            <w:tcW w:w="3818" w:type="pct"/>
            <w:noWrap w:val="0"/>
            <w:vAlign w:val="center"/>
          </w:tcPr>
          <w:p w14:paraId="1CA1A2E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提供重命名序列功能，支持通过类似ALTER SEQUENCE ... RENAME TO的语句对序列进行重命名操作。需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0C6F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299" w:type="pct"/>
            <w:noWrap w:val="0"/>
            <w:vAlign w:val="center"/>
          </w:tcPr>
          <w:p w14:paraId="6934CF11">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8</w:t>
            </w:r>
          </w:p>
        </w:tc>
        <w:tc>
          <w:tcPr>
            <w:tcW w:w="406" w:type="pct"/>
            <w:vMerge w:val="restart"/>
            <w:noWrap w:val="0"/>
            <w:vAlign w:val="center"/>
          </w:tcPr>
          <w:p w14:paraId="26E37099">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兼容性</w:t>
            </w:r>
          </w:p>
        </w:tc>
        <w:tc>
          <w:tcPr>
            <w:tcW w:w="475" w:type="pct"/>
            <w:noWrap w:val="0"/>
            <w:vAlign w:val="center"/>
          </w:tcPr>
          <w:p w14:paraId="7024EE6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历史数据监控</w:t>
            </w:r>
          </w:p>
        </w:tc>
        <w:tc>
          <w:tcPr>
            <w:tcW w:w="3818" w:type="pct"/>
            <w:noWrap w:val="0"/>
            <w:vAlign w:val="center"/>
          </w:tcPr>
          <w:p w14:paraId="046CF2D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兼容Oracle系统视图DBA_HIST_TBSPC_SPACE_USAGE和DBA_HIST_SNAPSHOT，用于收集和展示有关数据库历史性能和空间使用情况的信息，需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0057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trPr>
        <w:tc>
          <w:tcPr>
            <w:tcW w:w="299" w:type="pct"/>
            <w:noWrap w:val="0"/>
            <w:vAlign w:val="center"/>
          </w:tcPr>
          <w:p w14:paraId="045D9F82">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9</w:t>
            </w:r>
          </w:p>
        </w:tc>
        <w:tc>
          <w:tcPr>
            <w:tcW w:w="406" w:type="pct"/>
            <w:vMerge w:val="continue"/>
            <w:noWrap w:val="0"/>
            <w:vAlign w:val="center"/>
          </w:tcPr>
          <w:p w14:paraId="1BEFD13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vMerge w:val="restart"/>
            <w:noWrap w:val="0"/>
            <w:vAlign w:val="center"/>
          </w:tcPr>
          <w:p w14:paraId="7E44002D">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Oracle系统包兼容性</w:t>
            </w:r>
          </w:p>
        </w:tc>
        <w:tc>
          <w:tcPr>
            <w:tcW w:w="3818" w:type="pct"/>
            <w:noWrap w:val="0"/>
            <w:vAlign w:val="center"/>
          </w:tcPr>
          <w:p w14:paraId="4FECBCF6">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兼容Oracle DBMS_STATS（管理和优化数据库对象的统计信息）系统包中方法，包括DBMS_STATS.LOCK_TABLE_STATS（锁定表统计信息）和DBMS_STATS.UNLOCK_TABLE_STATS（解锁表统计信息）。需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01C1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trPr>
        <w:tc>
          <w:tcPr>
            <w:tcW w:w="299" w:type="pct"/>
            <w:noWrap w:val="0"/>
            <w:vAlign w:val="center"/>
          </w:tcPr>
          <w:p w14:paraId="333A155B">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10</w:t>
            </w:r>
          </w:p>
        </w:tc>
        <w:tc>
          <w:tcPr>
            <w:tcW w:w="406" w:type="pct"/>
            <w:vMerge w:val="continue"/>
            <w:noWrap w:val="0"/>
            <w:vAlign w:val="center"/>
          </w:tcPr>
          <w:p w14:paraId="4553502E">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vMerge w:val="continue"/>
            <w:noWrap w:val="0"/>
            <w:vAlign w:val="center"/>
          </w:tcPr>
          <w:p w14:paraId="5168ABC3">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3818" w:type="pct"/>
            <w:noWrap w:val="0"/>
            <w:vAlign w:val="center"/>
          </w:tcPr>
          <w:p w14:paraId="392FE13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兼容Oracle数据库中的一些内置的PL/SQL包，包括DBMS_WORKLOAD_REPOSITORY（用于收集和存储数据库工作负载统计信息）和DBMS_STATS（用于收集和管理数据库统计信息），需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22ED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299" w:type="pct"/>
            <w:noWrap w:val="0"/>
            <w:vAlign w:val="center"/>
          </w:tcPr>
          <w:p w14:paraId="18951895">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11</w:t>
            </w:r>
          </w:p>
        </w:tc>
        <w:tc>
          <w:tcPr>
            <w:tcW w:w="406" w:type="pct"/>
            <w:vMerge w:val="continue"/>
            <w:noWrap w:val="0"/>
            <w:vAlign w:val="center"/>
          </w:tcPr>
          <w:p w14:paraId="5AEEF048">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475" w:type="pct"/>
            <w:noWrap w:val="0"/>
            <w:vAlign w:val="center"/>
          </w:tcPr>
          <w:p w14:paraId="6CD54758">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PLJSON2.0支持</w:t>
            </w:r>
          </w:p>
        </w:tc>
        <w:tc>
          <w:tcPr>
            <w:tcW w:w="3818" w:type="pct"/>
            <w:noWrap w:val="0"/>
            <w:vAlign w:val="center"/>
          </w:tcPr>
          <w:p w14:paraId="48ED4DEB">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支持PLJSON2.0（在PL/SQL中处理JSON数据），包括该包中的treat函数（类型安全的类型转换）、xmltype.transform方法（对XML数据应用XSLT转换）、self:=赋值以及第一个参数可使用self参数的语法使用。需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r w14:paraId="7E9A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299" w:type="pct"/>
            <w:noWrap w:val="0"/>
            <w:vAlign w:val="center"/>
          </w:tcPr>
          <w:p w14:paraId="40189088">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12</w:t>
            </w:r>
          </w:p>
        </w:tc>
        <w:tc>
          <w:tcPr>
            <w:tcW w:w="406" w:type="pct"/>
            <w:noWrap w:val="0"/>
            <w:vAlign w:val="center"/>
          </w:tcPr>
          <w:p w14:paraId="08FD9E1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性能效率</w:t>
            </w:r>
          </w:p>
        </w:tc>
        <w:tc>
          <w:tcPr>
            <w:tcW w:w="475" w:type="pct"/>
            <w:noWrap w:val="0"/>
            <w:vAlign w:val="center"/>
          </w:tcPr>
          <w:p w14:paraId="3357029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000000"/>
                <w:sz w:val="24"/>
                <w:szCs w:val="24"/>
              </w:rPr>
              <w:t>单机TPC-C性能</w:t>
            </w:r>
          </w:p>
        </w:tc>
        <w:tc>
          <w:tcPr>
            <w:tcW w:w="3818" w:type="pct"/>
            <w:noWrap w:val="0"/>
            <w:vAlign w:val="center"/>
          </w:tcPr>
          <w:p w14:paraId="334A993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机单实例TPC-C性能测试，在不少于3000仓、3000并发用户条件下持续运行60分钟，至少执行3次，且每次测试结果均达到250万tpmC以上（需附性能测试结果截图）。提供生产厂家出具的、相应的功能证明材料（包括但不限于测试报告、官网和功能截图等）。</w:t>
            </w:r>
          </w:p>
        </w:tc>
      </w:tr>
      <w:tr w14:paraId="188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299" w:type="pct"/>
            <w:noWrap w:val="0"/>
            <w:vAlign w:val="center"/>
          </w:tcPr>
          <w:p w14:paraId="44C0F81D">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406" w:type="pct"/>
            <w:noWrap w:val="0"/>
            <w:vAlign w:val="center"/>
          </w:tcPr>
          <w:p w14:paraId="35DEED50">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可靠性</w:t>
            </w:r>
          </w:p>
        </w:tc>
        <w:tc>
          <w:tcPr>
            <w:tcW w:w="475" w:type="pct"/>
            <w:noWrap w:val="0"/>
            <w:vAlign w:val="center"/>
          </w:tcPr>
          <w:p w14:paraId="5D6AB9EB">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远程备份</w:t>
            </w:r>
          </w:p>
        </w:tc>
        <w:tc>
          <w:tcPr>
            <w:tcW w:w="3818" w:type="pct"/>
            <w:noWrap w:val="0"/>
            <w:vAlign w:val="center"/>
          </w:tcPr>
          <w:p w14:paraId="4D654D29">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支持集中式备份的远程物理备份和恢复功能，以及兼容Oracle中的image copy镜像备份功能。需</w:t>
            </w:r>
            <w:r>
              <w:rPr>
                <w:rFonts w:hint="eastAsia" w:ascii="宋体" w:hAnsi="宋体" w:eastAsia="宋体" w:cs="宋体"/>
                <w:sz w:val="24"/>
                <w:szCs w:val="24"/>
                <w:highlight w:val="none"/>
                <w:lang w:eastAsia="zh-CN"/>
              </w:rPr>
              <w:t>提供生产厂家出具的、相应的功能证明材料（包括但不限于测试报告、官网和功能截图等）</w:t>
            </w:r>
          </w:p>
        </w:tc>
      </w:tr>
    </w:tbl>
    <w:p w14:paraId="13FB2DD8">
      <w:pPr>
        <w:pStyle w:val="2"/>
        <w:bidi w:val="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kern w:val="2"/>
          <w:sz w:val="24"/>
          <w:szCs w:val="24"/>
          <w:highlight w:val="none"/>
          <w:shd w:val="clear" w:color="auto" w:fill="FFFFFF"/>
          <w:lang w:val="en-US" w:eastAsia="zh-CN" w:bidi="ar-SA"/>
        </w:rPr>
        <w:t>集中式数据库管理系统（2）技术</w:t>
      </w:r>
      <w:r>
        <w:rPr>
          <w:rFonts w:hint="eastAsia" w:ascii="宋体" w:hAnsi="宋体" w:eastAsia="宋体" w:cs="宋体"/>
          <w:b/>
          <w:bCs/>
          <w:color w:val="auto"/>
          <w:kern w:val="2"/>
          <w:sz w:val="24"/>
          <w:szCs w:val="24"/>
          <w:highlight w:val="none"/>
          <w:lang w:val="en-US" w:eastAsia="zh-CN" w:bidi="ar-SA"/>
        </w:rPr>
        <w:t>参数</w:t>
      </w:r>
    </w:p>
    <w:tbl>
      <w:tblPr>
        <w:tblStyle w:val="3"/>
        <w:tblW w:w="10611" w:type="dxa"/>
        <w:tblInd w:w="-6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0"/>
        <w:gridCol w:w="9941"/>
      </w:tblGrid>
      <w:tr w14:paraId="0D554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6804FC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9941" w:type="dxa"/>
            <w:tcBorders>
              <w:top w:val="single" w:color="000000" w:sz="4" w:space="0"/>
              <w:left w:val="single" w:color="000000" w:sz="4" w:space="0"/>
              <w:bottom w:val="single" w:color="000000" w:sz="4" w:space="0"/>
              <w:right w:val="single" w:color="000000" w:sz="4" w:space="0"/>
            </w:tcBorders>
            <w:noWrap/>
            <w:vAlign w:val="center"/>
          </w:tcPr>
          <w:p w14:paraId="3ED6A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参数指标</w:t>
            </w:r>
          </w:p>
        </w:tc>
      </w:tr>
      <w:tr w14:paraId="32F92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5F217B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5A2C387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产品需为国产集中式关系型数据库，必须提供软件著作权证书。具有跨操作系统平台的能力，Linux、麒麟、UOS等操作系统等，支持INTEL、鲲鹏、飞腾等处理器。</w:t>
            </w:r>
          </w:p>
        </w:tc>
      </w:tr>
      <w:tr w14:paraId="7DFE0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1E43AC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0998ED6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kern w:val="0"/>
                <w:sz w:val="24"/>
                <w:szCs w:val="24"/>
                <w:highlight w:val="none"/>
                <w:u w:val="none"/>
                <w:lang w:val="en-US" w:eastAsia="zh-CN" w:bidi="ar"/>
              </w:rPr>
              <w:t>▲产品具备四级原生AI数据底座认证。</w:t>
            </w:r>
          </w:p>
        </w:tc>
      </w:tr>
      <w:tr w14:paraId="137C0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047C6D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2FE21F2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▲产品拥有自主知识产权，完全自主可控。</w:t>
            </w:r>
          </w:p>
        </w:tc>
      </w:tr>
      <w:tr w14:paraId="47EF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2"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256155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72FEE3C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支持ACID的强一致性；在强一致性的前提下，在不低于 128 维且不小于 1000w 向量数据集下，可实现 99%以上召回率的单次ann查询响应时间&lt;10ms。在不高于 80core 的服务器硬件配置下，在不低于 768 维且不小于 1000w 向量数据集下，采用 50 并发可实现 99%以上召回率、同时满足 6000 以上的 QPS。须提供生产厂家出具的、相应的功能证明材料（包括但不限于测试报告、官网和功能截图等）。</w:t>
            </w:r>
          </w:p>
        </w:tc>
      </w:tr>
      <w:tr w14:paraId="0E3BE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46A763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3E26FB9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产品有配套的异构数据同步软件和数据比对工具，可实现异构数据库同步，增量数据实时同步功能。可实现同构、导构数据库对象并行比对，可实现差异结果的双向同步处理。须提供生产厂家出具的、相应的功能证明材料（包括但不限于测试报告、官网和功能截图等）。</w:t>
            </w:r>
          </w:p>
        </w:tc>
      </w:tr>
      <w:tr w14:paraId="7B59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521C67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45DE852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▲支持 IVF、HNSW、Diskann 等至少三种向量索引类型，标量索引如布尔、字符、数字标量索引；支持空间数据 GIST 索引；支持向标联合索引；向量索引支持更新自动维护。须提供生产厂家出具的、相应的功能证明材料（包括但不限于测试报告、官网和功能截图等）。</w:t>
            </w:r>
          </w:p>
        </w:tc>
      </w:tr>
      <w:tr w14:paraId="4ED0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54FE3F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223A7B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实现静态及动态数据脱敏，支持默认脱敏、随机脱敏、部分脱敏、邮件脱敏、自定义脱敏多种脱敏规则，在不改变源数据的前提下，通过在脱敏策略上配置针对的用户场景（FILTER）、指定的敏感列标签（LABEL）和对应的脱敏方式（MASKING FUNCTION）来灵活地进行隐私数据保护；可实现对指定的数据列或指定的用户设定脱敏策略。</w:t>
            </w:r>
          </w:p>
        </w:tc>
      </w:tr>
      <w:tr w14:paraId="1662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5AB89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14F6B9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可实现主备集群；可实现数据零丢失，即主库故障，备库自动切换为主库，且数据与原主库数据一致；数据库集群具备数据零丢失能力，故障自动切换、失败节点自动加入；数据库集群应具备可扩展性；</w:t>
            </w:r>
          </w:p>
        </w:tc>
      </w:tr>
      <w:tr w14:paraId="0520E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18166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047640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产品配套的监控工具具备可视化分析功能，可实现分析数据库的全局状态、连接信息、会话信息、检查点状态、临时文件状态、闩锁信息、可根据服务器cpu、内存、io资源情况提供相应 SQL 慢查询功能。</w:t>
            </w:r>
          </w:p>
        </w:tc>
      </w:tr>
      <w:tr w14:paraId="3462F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670" w:type="dxa"/>
            <w:tcBorders>
              <w:top w:val="single" w:color="000000" w:sz="4" w:space="0"/>
              <w:left w:val="single" w:color="000000" w:sz="4" w:space="0"/>
              <w:bottom w:val="single" w:color="000000" w:sz="4" w:space="0"/>
              <w:right w:val="single" w:color="000000" w:sz="4" w:space="0"/>
            </w:tcBorders>
            <w:noWrap/>
            <w:vAlign w:val="center"/>
          </w:tcPr>
          <w:p w14:paraId="22B9F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941" w:type="dxa"/>
            <w:tcBorders>
              <w:top w:val="single" w:color="000000" w:sz="4" w:space="0"/>
              <w:left w:val="single" w:color="000000" w:sz="4" w:space="0"/>
              <w:bottom w:val="single" w:color="000000" w:sz="4" w:space="0"/>
              <w:right w:val="single" w:color="000000" w:sz="4" w:space="0"/>
            </w:tcBorders>
            <w:noWrap w:val="0"/>
            <w:vAlign w:val="center"/>
          </w:tcPr>
          <w:p w14:paraId="69381A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▲支持基于共享存储的存算分离数据库架构，计算节点和存储节点分离，存储利用率提升50%以上。在集群管理上，基于双重心跳检测、共享盘仲裁、IO Fencing等技术实现集群节点故障自动检测、恢复和隔离。</w:t>
            </w:r>
          </w:p>
        </w:tc>
      </w:tr>
    </w:tbl>
    <w:p w14:paraId="2A25941A">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CB6F17"/>
    <w:rsid w:val="20CB6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9"/>
    <w:pPr>
      <w:keepNext/>
      <w:keepLines/>
      <w:spacing w:before="280" w:beforeLines="0" w:after="290" w:afterLines="0" w:line="376" w:lineRule="auto"/>
      <w:outlineLvl w:val="3"/>
    </w:pPr>
    <w:rPr>
      <w:rFonts w:ascii="Arial" w:hAnsi="Arial" w:eastAsia="黑体"/>
      <w:b/>
      <w:bCs/>
      <w:sz w:val="28"/>
      <w:szCs w:val="28"/>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表格正文"/>
    <w:basedOn w:val="1"/>
    <w:qFormat/>
    <w:uiPriority w:val="0"/>
    <w:rPr>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2026-07-14T03:35:00Z</dcterms:created>
  <dc:creator>默.</dc:creator>
  <cp:lastModifiedBy>默.</cp:lastModifiedBy>
  <dcterms:modified xsi:type="dcterms:W3CDTF">2026-07-14T03:36:10Z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04943C0628F04F92929CC75D67FFD311_11</vt:lpwstr>
  </property>
  <property fmtid="{D5CDD505-2E9C-101B-9397-08002B2CF9AE}" pid="4" name="KSOTemplateDocerSaveRecord">
    <vt:lpwstr>eyJoZGlkIjoiMzk1NWQ3NjQ0YmY4MjA5OTczMjFjMzZmZDIwODQxMjYiLCJ1c2VySWQiOiI0MjU4NjcyNzgifQ==</vt:lpwstr>
  </property>
</Properties>
</file>