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版本号：ZHZB-2026（FW）04420260805001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富平县人民法院科技法庭建设项目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ZHZB-2026（FW）044</w:t>
      </w:r>
      <w:r>
        <w:br/>
      </w:r>
      <w:r>
        <w:br/>
      </w:r>
      <w:r>
        <w:br/>
      </w:r>
    </w:p>
    <w:p>
      <w:pPr>
        <w:pStyle w:val="null3"/>
        <w:jc w:val="center"/>
        <w:outlineLvl w:val="2"/>
      </w:pPr>
      <w:r>
        <w:rPr>
          <w:rFonts w:ascii="仿宋_GB2312" w:hAnsi="仿宋_GB2312" w:cs="仿宋_GB2312" w:eastAsia="仿宋_GB2312"/>
          <w:sz w:val="28"/>
          <w:b/>
        </w:rPr>
        <w:t>富平县人民法院（本级）</w:t>
      </w:r>
    </w:p>
    <w:p>
      <w:pPr>
        <w:pStyle w:val="null3"/>
        <w:jc w:val="center"/>
        <w:outlineLvl w:val="2"/>
      </w:pPr>
      <w:r>
        <w:rPr>
          <w:rFonts w:ascii="仿宋_GB2312" w:hAnsi="仿宋_GB2312" w:cs="仿宋_GB2312" w:eastAsia="仿宋_GB2312"/>
          <w:sz w:val="28"/>
          <w:b/>
        </w:rPr>
        <w:t>陕西致恒招标代理有限公司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陕西致恒招标代理有限公司</w:t>
      </w:r>
      <w:r>
        <w:rPr>
          <w:rFonts w:ascii="仿宋_GB2312" w:hAnsi="仿宋_GB2312" w:cs="仿宋_GB2312" w:eastAsia="仿宋_GB2312"/>
        </w:rPr>
        <w:t>（以下简称“代理机构”）受</w:t>
      </w:r>
      <w:r>
        <w:rPr>
          <w:rFonts w:ascii="仿宋_GB2312" w:hAnsi="仿宋_GB2312" w:cs="仿宋_GB2312" w:eastAsia="仿宋_GB2312"/>
        </w:rPr>
        <w:t>富平县人民法院（本级）</w:t>
      </w:r>
      <w:r>
        <w:rPr>
          <w:rFonts w:ascii="仿宋_GB2312" w:hAnsi="仿宋_GB2312" w:cs="仿宋_GB2312" w:eastAsia="仿宋_GB2312"/>
        </w:rPr>
        <w:t>委托，拟对</w:t>
      </w:r>
      <w:r>
        <w:rPr>
          <w:rFonts w:ascii="仿宋_GB2312" w:hAnsi="仿宋_GB2312" w:cs="仿宋_GB2312" w:eastAsia="仿宋_GB2312"/>
        </w:rPr>
        <w:t>富平县人民法院科技法庭建设项目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ZHZB-2026（FW）044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富平县人民法院科技法庭建设项目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实现司法服务全域网络覆盖，与现有科技法庭无缝兼容，设备利旧、平滑迁移。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p>
      <w:pPr>
        <w:pStyle w:val="null3"/>
      </w:pPr>
      <w:r>
        <w:rPr>
          <w:rFonts w:ascii="仿宋_GB2312" w:hAnsi="仿宋_GB2312" w:cs="仿宋_GB2312" w:eastAsia="仿宋_GB2312"/>
        </w:rPr>
        <w:t>2、良好的商业信誉和健全的财务会计制度：良好的商业信誉和健全的财务会计制度：2025年度经审计的财务报告或在2026年2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有依法缴纳税收和社会保障资金的良好记录：提供2026年2月1日至今任意一个月的缴纳证明；供应商需在项目电子化交易系统中按要求上传相应证明文件并进行电子签章。</w:t>
      </w:r>
    </w:p>
    <w:p>
      <w:pPr>
        <w:pStyle w:val="null3"/>
      </w:pPr>
      <w:r>
        <w:rPr>
          <w:rFonts w:ascii="仿宋_GB2312" w:hAnsi="仿宋_GB2312" w:cs="仿宋_GB2312" w:eastAsia="仿宋_GB2312"/>
        </w:rPr>
        <w:t>4、书面声明：书面声明：①参加政府采购活动前三年内，在经营活动中没有重大违法记录的书面声明；②提供具有履行本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5、法律、行政法规规定的其他条件：法律、行政法规规定的其他条件：法定代表人/负责人直接参加投标的，须提供法定代表人/负责人身份证明；法定代表人/负责人授权代表参加投标的，须提供法定代表人/负责人授权委托书；供应商需在项目电子化交易系统中按要求上传相应证明文件并进行电子签章。</w:t>
      </w:r>
    </w:p>
    <w:p>
      <w:pPr>
        <w:pStyle w:val="null3"/>
      </w:pPr>
      <w:r>
        <w:rPr>
          <w:rFonts w:ascii="仿宋_GB2312" w:hAnsi="仿宋_GB2312" w:cs="仿宋_GB2312" w:eastAsia="仿宋_GB2312"/>
        </w:rPr>
        <w:t>6、供应商企业关系关联及联合体说明：供应商企业关系关联及联合体说明：①本项目不接受联合体投标；②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7、备注：备注：（1）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2）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需提供身份证复印件。</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富平县人民法院（本级）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富平县莲湖路84号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0913--8221338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陕西致恒招标代理有限公司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西安市未央区北二环大明宫立交桥百寰国际2705室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屈彤 魏露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029-86637991、17309228618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大屏显示设备、液晶显示器</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开户名称：陕西致恒招标代理有限公司</w:t>
            </w:r>
          </w:p>
          <w:p>
            <w:pPr>
              <w:pStyle w:val="null3"/>
            </w:pPr>
            <w:r>
              <w:rPr>
                <w:rFonts w:ascii="仿宋_GB2312" w:hAnsi="仿宋_GB2312" w:cs="仿宋_GB2312" w:eastAsia="仿宋_GB2312"/>
              </w:rPr>
              <w:t>开户银行：中国建设银行股份有限公司西安太华北路北段支行</w:t>
            </w:r>
          </w:p>
          <w:p>
            <w:pPr>
              <w:pStyle w:val="null3"/>
            </w:pPr>
            <w:r>
              <w:rPr>
                <w:rFonts w:ascii="仿宋_GB2312" w:hAnsi="仿宋_GB2312" w:cs="仿宋_GB2312" w:eastAsia="仿宋_GB2312"/>
              </w:rPr>
              <w:t>银行账号：61050110629600000259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依据《关于进一步放开建设项目专业服务价格的通知》（发改价格【2015】299号），参照《招标代理服务收费管理暂行办法的通知》(计价格〔2002〕1980号)、《关于招标代理服务收费有关问题的通知》（发改办价格〔2003〕857号）以及《关于降低部分建设项目收费标准规范收费行为等有关问题的通知》(发改价格〔2011〕534号)，以服务收费标准计取招标服务费。 2、招标服务费应采用转账、现金形式缴纳。 招标代理服务费汇款账户： 开户行名称：陕西致恒招标代理有限公司 开 户 行：中国民生银行股份有限公司西安高新开发区支行 帐 号：159322825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富平县人民法院（本级）</w:t>
      </w:r>
      <w:r>
        <w:rPr>
          <w:rFonts w:ascii="仿宋_GB2312" w:hAnsi="仿宋_GB2312" w:cs="仿宋_GB2312" w:eastAsia="仿宋_GB2312"/>
        </w:rPr>
        <w:t>和</w:t>
      </w:r>
      <w:r>
        <w:rPr>
          <w:rFonts w:ascii="仿宋_GB2312" w:hAnsi="仿宋_GB2312" w:cs="仿宋_GB2312" w:eastAsia="仿宋_GB2312"/>
        </w:rPr>
        <w:t>陕西致恒招标代理有限公司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富平县人民法院（本级）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陕西致恒招标代理有限公司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富平县人民法院（本级）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陕西致恒招标代理有限公司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2.供应商将在采购项目实施过程中采用自有或者第三方知识成果的，采购项目涉及采购标的的知识产权相关事宜由采购人结合项目实际自主确认或协商约定，具体如下： 2.1.供应商应保证在本项⽬中使⽤的任何技术、产品和服务（包括部分使⽤），不会产⽣因第三⽅提出侵犯其专利权、商标权或其它知识产权⽽引起的法律和经济纠纷，如因专利权、商标权或其它知识产权⽽引起法律和经济纠纷，由供应商承担所有相关责任。采购⼈享有本项⽬实施过程中产⽣的知识成果及知识产权。 2.2.供应商将在采购项⽬实施过程中采⽤⾃有或者第三⽅知识成果的，使⽤该知识成果后，供应商需提供开发接⼝和开发⼿册等技术资料，并承诺提供⽆限期⽀持，采购⼈享有使⽤权（含采购⼈委托第三⽅在该项⽬后续开发的使⽤权）。 2.3如采⽤供应商所不拥有的知识产权，则在报价中必须包括合法使⽤该知识产权的相关费⽤。 2.4构成本采购⽂件的各组成部分，未经采购⼈书⾯同意，供应商不得擅⾃复印或⽤于⾮本招标项⽬所需的其他⽬的。 3.如采用供应商所不拥有的知识产权，则在报价中必须包括合法使用该知识产权的相关费用。 4.构成本招标文件的各组成部分，未经采购人书面同意，供应商不得擅自复印或用于非本招标项目所需的其他目的。</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详见招标文件、合同条款及采购人要求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陕西致恒招标代理有限公司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联系人：屈彤 魏露</w:t>
      </w:r>
    </w:p>
    <w:p>
      <w:pPr>
        <w:pStyle w:val="null3"/>
      </w:pPr>
      <w:r>
        <w:rPr>
          <w:rFonts w:ascii="仿宋_GB2312" w:hAnsi="仿宋_GB2312" w:cs="仿宋_GB2312" w:eastAsia="仿宋_GB2312"/>
        </w:rPr>
        <w:t>联系电话：17309228618</w:t>
      </w:r>
    </w:p>
    <w:p>
      <w:pPr>
        <w:pStyle w:val="null3"/>
      </w:pPr>
      <w:r>
        <w:rPr>
          <w:rFonts w:ascii="仿宋_GB2312" w:hAnsi="仿宋_GB2312" w:cs="仿宋_GB2312" w:eastAsia="仿宋_GB2312"/>
        </w:rPr>
        <w:t>地址：西安市未央区北二环大明宫立交桥百寰国际2705室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实现司法服务全域网络覆盖，与现有科技法庭无缝兼容，设备利旧、平滑迁移。</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2,800,000.00</w:t>
      </w:r>
    </w:p>
    <w:p>
      <w:pPr>
        <w:pStyle w:val="null3"/>
      </w:pPr>
      <w:r>
        <w:rPr>
          <w:rFonts w:ascii="仿宋_GB2312" w:hAnsi="仿宋_GB2312" w:cs="仿宋_GB2312" w:eastAsia="仿宋_GB2312"/>
        </w:rPr>
        <w:t>采购包最高限价（元）: 2,800,000.00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科技法庭建设项目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标的名称：科技法庭建设项目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b/>
                <w:color w:val="000000"/>
              </w:rPr>
              <w:t>第一部分、采购内容及技术要求</w:t>
            </w:r>
          </w:p>
          <w:p>
            <w:pPr>
              <w:pStyle w:val="null3"/>
            </w:pPr>
            <w:r>
              <w:rPr>
                <w:rFonts w:ascii="仿宋_GB2312" w:hAnsi="仿宋_GB2312" w:cs="仿宋_GB2312" w:eastAsia="仿宋_GB2312"/>
                <w:b/>
              </w:rPr>
              <w:t>一、采购内容及要求</w:t>
            </w:r>
          </w:p>
          <w:tbl>
            <w:tblPr>
              <w:tblBorders>
                <w:top w:val="single"/>
                <w:left w:val="single"/>
                <w:bottom w:val="single"/>
                <w:right w:val="single"/>
                <w:insideH w:val="single"/>
                <w:insideV w:val="single"/>
              </w:tblBorders>
            </w:tblPr>
            <w:tblGrid>
              <w:gridCol w:w="581"/>
              <w:gridCol w:w="581"/>
              <w:gridCol w:w="581"/>
              <w:gridCol w:w="581"/>
              <w:gridCol w:w="229"/>
            </w:tblGrid>
            <w:tr>
              <w:tc>
                <w:tcPr>
                  <w:tcW w:type="dxa" w:w="58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5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系统名称</w:t>
                  </w:r>
                </w:p>
              </w:tc>
              <w:tc>
                <w:tcPr>
                  <w:tcW w:type="dxa" w:w="5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功能描述</w:t>
                  </w:r>
                </w:p>
              </w:tc>
              <w:tc>
                <w:tcPr>
                  <w:tcW w:type="dxa" w:w="58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2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r>
            <w:tr>
              <w:tc>
                <w:tcPr>
                  <w:tcW w:type="dxa" w:w="581"/>
                </w:tcPr>
                <w:p>
                  <w:pPr>
                    <w:pStyle w:val="null3"/>
                    <w:jc w:val="center"/>
                  </w:pPr>
                  <w:r>
                    <w:rPr>
                      <w:rFonts w:ascii="仿宋_GB2312" w:hAnsi="仿宋_GB2312" w:cs="仿宋_GB2312" w:eastAsia="仿宋_GB2312"/>
                    </w:rPr>
                    <w:t>1</w:t>
                  </w:r>
                </w:p>
              </w:tc>
              <w:tc>
                <w:tcPr>
                  <w:tcW w:type="dxa" w:w="581"/>
                </w:tcPr>
                <w:p>
                  <w:pPr>
                    <w:pStyle w:val="null3"/>
                  </w:pPr>
                  <w:r>
                    <w:rPr>
                      <w:rFonts w:ascii="仿宋_GB2312" w:hAnsi="仿宋_GB2312" w:cs="仿宋_GB2312" w:eastAsia="仿宋_GB2312"/>
                    </w:rPr>
                    <w:t>智慧法庭应用支撑平台</w:t>
                  </w:r>
                </w:p>
              </w:tc>
              <w:tc>
                <w:tcPr>
                  <w:tcW w:type="dxa" w:w="581"/>
                </w:tcPr>
                <w:p>
                  <w:pPr>
                    <w:pStyle w:val="null3"/>
                  </w:pPr>
                  <w:r>
                    <w:rPr>
                      <w:rFonts w:ascii="仿宋_GB2312" w:hAnsi="仿宋_GB2312" w:cs="仿宋_GB2312" w:eastAsia="仿宋_GB2312"/>
                    </w:rPr>
                    <w:t>1.系统需采用B/S架构，支持国产浏览器直接访问登录，支持对现有科技法庭进行统一管理，系统需包含但不限于书记员、法官、当事人等角色的智能辅助客户端软件。</w:t>
                  </w:r>
                  <w:r>
                    <w:br/>
                  </w:r>
                  <w:r>
                    <w:rPr>
                      <w:rFonts w:ascii="仿宋_GB2312" w:hAnsi="仿宋_GB2312" w:cs="仿宋_GB2312" w:eastAsia="仿宋_GB2312"/>
                    </w:rPr>
                    <w:t xml:space="preserve"> 2.支持与省高院审务督察平台对接，实现庭审音视频、案件信息等数据实时上报。</w:t>
                  </w:r>
                  <w:r>
                    <w:br/>
                  </w:r>
                  <w:r>
                    <w:rPr>
                      <w:rFonts w:ascii="仿宋_GB2312" w:hAnsi="仿宋_GB2312" w:cs="仿宋_GB2312" w:eastAsia="仿宋_GB2312"/>
                    </w:rPr>
                    <w:t xml:space="preserve"> 3.支持与全国“一张网”办公办案平台系统对接，对接后可获取用户、排期等相关信息。</w:t>
                  </w:r>
                  <w:r>
                    <w:br/>
                  </w:r>
                  <w:r>
                    <w:rPr>
                      <w:rFonts w:ascii="仿宋_GB2312" w:hAnsi="仿宋_GB2312" w:cs="仿宋_GB2312" w:eastAsia="仿宋_GB2312"/>
                    </w:rPr>
                    <w:t xml:space="preserve"> 4.具备系统运维模块，包含但不限于法庭管理、系统状态监管、快捷访问等功能。</w:t>
                  </w:r>
                  <w:r>
                    <w:br/>
                  </w:r>
                  <w:r>
                    <w:rPr>
                      <w:rFonts w:ascii="仿宋_GB2312" w:hAnsi="仿宋_GB2312" w:cs="仿宋_GB2312" w:eastAsia="仿宋_GB2312"/>
                    </w:rPr>
                    <w:t xml:space="preserve"> 4.1法庭管理模块：</w:t>
                  </w:r>
                  <w:r>
                    <w:br/>
                  </w:r>
                  <w:r>
                    <w:rPr>
                      <w:rFonts w:ascii="仿宋_GB2312" w:hAnsi="仿宋_GB2312" w:cs="仿宋_GB2312" w:eastAsia="仿宋_GB2312"/>
                    </w:rPr>
                    <w:t xml:space="preserve"> 4.1.1应支持查看法庭总数、开在开庭数、未开庭数量；</w:t>
                  </w:r>
                  <w:r>
                    <w:br/>
                  </w:r>
                  <w:r>
                    <w:rPr>
                      <w:rFonts w:ascii="仿宋_GB2312" w:hAnsi="仿宋_GB2312" w:cs="仿宋_GB2312" w:eastAsia="仿宋_GB2312"/>
                    </w:rPr>
                    <w:t xml:space="preserve"> 4.1.2具备模糊搜索功能，支持输入法庭名称进行搜索法庭，支持筛选功能，可通过正在开庭和未开庭的选项，进行搜索显示相应结果；</w:t>
                  </w:r>
                  <w:r>
                    <w:br/>
                  </w:r>
                  <w:r>
                    <w:rPr>
                      <w:rFonts w:ascii="仿宋_GB2312" w:hAnsi="仿宋_GB2312" w:cs="仿宋_GB2312" w:eastAsia="仿宋_GB2312"/>
                    </w:rPr>
                    <w:t xml:space="preserve"> ▲4.1.3支持通过法庭管理模块，能够控制法庭的开庭、闭庭操作；</w:t>
                  </w:r>
                  <w:r>
                    <w:br/>
                  </w:r>
                  <w:r>
                    <w:rPr>
                      <w:rFonts w:ascii="仿宋_GB2312" w:hAnsi="仿宋_GB2312" w:cs="仿宋_GB2312" w:eastAsia="仿宋_GB2312"/>
                    </w:rPr>
                    <w:t xml:space="preserve"> 4.1.4能够查看当前庭室更多排期信息，包括今日、本周、本月的排期信息，信息内容包括但不限于：案号、庭次、开庭时间、法庭、承办法官、书记员等信息；</w:t>
                  </w:r>
                  <w:r>
                    <w:br/>
                  </w:r>
                  <w:r>
                    <w:rPr>
                      <w:rFonts w:ascii="仿宋_GB2312" w:hAnsi="仿宋_GB2312" w:cs="仿宋_GB2312" w:eastAsia="仿宋_GB2312"/>
                    </w:rPr>
                    <w:t xml:space="preserve"> ▲4.1.5能够查看当前法庭的庭审主机终端运行状态，包括型号，版本号，IP地址及主机的cpu、内存的资源使用情况；</w:t>
                  </w:r>
                  <w:r>
                    <w:br/>
                  </w:r>
                  <w:r>
                    <w:rPr>
                      <w:rFonts w:ascii="仿宋_GB2312" w:hAnsi="仿宋_GB2312" w:cs="仿宋_GB2312" w:eastAsia="仿宋_GB2312"/>
                    </w:rPr>
                    <w:t xml:space="preserve"> 4.2系统状态监管模块：</w:t>
                  </w:r>
                  <w:r>
                    <w:br/>
                  </w:r>
                  <w:r>
                    <w:rPr>
                      <w:rFonts w:ascii="仿宋_GB2312" w:hAnsi="仿宋_GB2312" w:cs="仿宋_GB2312" w:eastAsia="仿宋_GB2312"/>
                    </w:rPr>
                    <w:t xml:space="preserve"> ▲4.2.1平台应支持对相关的系统状态进行监控，能够显示系统名称、IP地址、端口号、运行状态等查看；</w:t>
                  </w:r>
                  <w:r>
                    <w:br/>
                  </w:r>
                  <w:r>
                    <w:rPr>
                      <w:rFonts w:ascii="仿宋_GB2312" w:hAnsi="仿宋_GB2312" w:cs="仿宋_GB2312" w:eastAsia="仿宋_GB2312"/>
                    </w:rPr>
                    <w:t xml:space="preserve"> ▲4.2.2支持手动添加服务和删除服务的操作，支持一键测试，检测系统运行状态；</w:t>
                  </w:r>
                  <w:r>
                    <w:br/>
                  </w:r>
                  <w:r>
                    <w:rPr>
                      <w:rFonts w:ascii="仿宋_GB2312" w:hAnsi="仿宋_GB2312" w:cs="仿宋_GB2312" w:eastAsia="仿宋_GB2312"/>
                    </w:rPr>
                    <w:t xml:space="preserve"> 4.3快捷访问：</w:t>
                  </w:r>
                  <w:r>
                    <w:br/>
                  </w:r>
                  <w:r>
                    <w:rPr>
                      <w:rFonts w:ascii="仿宋_GB2312" w:hAnsi="仿宋_GB2312" w:cs="仿宋_GB2312" w:eastAsia="仿宋_GB2312"/>
                    </w:rPr>
                    <w:t xml:space="preserve"> 4.3.1支持手动添加服务，支持添加服务和地址；</w:t>
                  </w:r>
                  <w:r>
                    <w:br/>
                  </w:r>
                  <w:r>
                    <w:rPr>
                      <w:rFonts w:ascii="仿宋_GB2312" w:hAnsi="仿宋_GB2312" w:cs="仿宋_GB2312" w:eastAsia="仿宋_GB2312"/>
                    </w:rPr>
                    <w:t xml:space="preserve"> 4.3.2支持对已添加的系统名名称进行修改、删除和访问的操作；</w:t>
                  </w:r>
                  <w:r>
                    <w:br/>
                  </w:r>
                  <w:r>
                    <w:rPr>
                      <w:rFonts w:ascii="仿宋_GB2312" w:hAnsi="仿宋_GB2312" w:cs="仿宋_GB2312" w:eastAsia="仿宋_GB2312"/>
                    </w:rPr>
                    <w:t xml:space="preserve"> 4.3.3支持点击访问按钮，直接跳转到相应系统的功能；</w:t>
                  </w:r>
                  <w:r>
                    <w:br/>
                  </w:r>
                  <w:r>
                    <w:rPr>
                      <w:rFonts w:ascii="仿宋_GB2312" w:hAnsi="仿宋_GB2312" w:cs="仿宋_GB2312" w:eastAsia="仿宋_GB2312"/>
                    </w:rPr>
                    <w:t xml:space="preserve"> 5.庭审音视频管理模块：</w:t>
                  </w:r>
                  <w:r>
                    <w:br/>
                  </w:r>
                  <w:r>
                    <w:rPr>
                      <w:rFonts w:ascii="仿宋_GB2312" w:hAnsi="仿宋_GB2312" w:cs="仿宋_GB2312" w:eastAsia="仿宋_GB2312"/>
                    </w:rPr>
                    <w:t xml:space="preserve"> 5.1应支持对庭审音视频进行搜索、播放、下载等操作。</w:t>
                  </w:r>
                  <w:r>
                    <w:br/>
                  </w:r>
                  <w:r>
                    <w:rPr>
                      <w:rFonts w:ascii="仿宋_GB2312" w:hAnsi="仿宋_GB2312" w:cs="仿宋_GB2312" w:eastAsia="仿宋_GB2312"/>
                    </w:rPr>
                    <w:t xml:space="preserve"> 5.2支持按排期、案件两种查看方式，展现系统中的点播视频信息；</w:t>
                  </w:r>
                  <w:r>
                    <w:br/>
                  </w:r>
                  <w:r>
                    <w:rPr>
                      <w:rFonts w:ascii="仿宋_GB2312" w:hAnsi="仿宋_GB2312" w:cs="仿宋_GB2312" w:eastAsia="仿宋_GB2312"/>
                    </w:rPr>
                    <w:t xml:space="preserve"> 5.3排期查看搜索条件支持案号、案由、承办部门、承办法官、开庭方式、开庭地点等条件；</w:t>
                  </w:r>
                  <w:r>
                    <w:br/>
                  </w:r>
                  <w:r>
                    <w:rPr>
                      <w:rFonts w:ascii="仿宋_GB2312" w:hAnsi="仿宋_GB2312" w:cs="仿宋_GB2312" w:eastAsia="仿宋_GB2312"/>
                    </w:rPr>
                    <w:t xml:space="preserve"> 5.4案件查看搜索条件支持案号、案由、承办部门、承办法官等条件；</w:t>
                  </w:r>
                  <w:r>
                    <w:br/>
                  </w:r>
                  <w:r>
                    <w:rPr>
                      <w:rFonts w:ascii="仿宋_GB2312" w:hAnsi="仿宋_GB2312" w:cs="仿宋_GB2312" w:eastAsia="仿宋_GB2312"/>
                    </w:rPr>
                    <w:t xml:space="preserve"> 6.具备存储迁移管理模块，支持案件录像重新传输，可以查看案号、任务状态、开始、结束时间、源地址、目的地址等信息。</w:t>
                  </w:r>
                  <w:r>
                    <w:br/>
                  </w:r>
                  <w:r>
                    <w:rPr>
                      <w:rFonts w:ascii="仿宋_GB2312" w:hAnsi="仿宋_GB2312" w:cs="仿宋_GB2312" w:eastAsia="仿宋_GB2312"/>
                    </w:rPr>
                    <w:t xml:space="preserve"> 7.具备案件管理模块，包含案件管理信息和排期管理功能，能够查看案件、排期信息数据。</w:t>
                  </w:r>
                  <w:r>
                    <w:br/>
                  </w:r>
                  <w:r>
                    <w:rPr>
                      <w:rFonts w:ascii="仿宋_GB2312" w:hAnsi="仿宋_GB2312" w:cs="仿宋_GB2312" w:eastAsia="仿宋_GB2312"/>
                    </w:rPr>
                    <w:t xml:space="preserve"> 7.1案件管理信息模块：</w:t>
                  </w:r>
                  <w:r>
                    <w:br/>
                  </w:r>
                  <w:r>
                    <w:rPr>
                      <w:rFonts w:ascii="仿宋_GB2312" w:hAnsi="仿宋_GB2312" w:cs="仿宋_GB2312" w:eastAsia="仿宋_GB2312"/>
                    </w:rPr>
                    <w:t xml:space="preserve"> 7.1.1能够对庭审过程中产生的庭审案件信息进行管理，可通过检索栏对案号、案由、承办部门、承办法官内容进行搜索。</w:t>
                  </w:r>
                  <w:r>
                    <w:br/>
                  </w:r>
                  <w:r>
                    <w:rPr>
                      <w:rFonts w:ascii="仿宋_GB2312" w:hAnsi="仿宋_GB2312" w:cs="仿宋_GB2312" w:eastAsia="仿宋_GB2312"/>
                    </w:rPr>
                    <w:t xml:space="preserve"> 支持案件信息列表查看及删除操作。</w:t>
                  </w:r>
                  <w:r>
                    <w:br/>
                  </w:r>
                  <w:r>
                    <w:rPr>
                      <w:rFonts w:ascii="仿宋_GB2312" w:hAnsi="仿宋_GB2312" w:cs="仿宋_GB2312" w:eastAsia="仿宋_GB2312"/>
                    </w:rPr>
                    <w:t xml:space="preserve"> 7.1.2排期管理：</w:t>
                  </w:r>
                  <w:r>
                    <w:br/>
                  </w:r>
                  <w:r>
                    <w:rPr>
                      <w:rFonts w:ascii="仿宋_GB2312" w:hAnsi="仿宋_GB2312" w:cs="仿宋_GB2312" w:eastAsia="仿宋_GB2312"/>
                    </w:rPr>
                    <w:t xml:space="preserve"> 能够按照案号、案由、承办部门、承办法官、开庭日期、法庭名称、开庭状态等内容按列表形式进行展示。</w:t>
                  </w:r>
                  <w:r>
                    <w:br/>
                  </w:r>
                  <w:r>
                    <w:rPr>
                      <w:rFonts w:ascii="仿宋_GB2312" w:hAnsi="仿宋_GB2312" w:cs="仿宋_GB2312" w:eastAsia="仿宋_GB2312"/>
                    </w:rPr>
                    <w:t xml:space="preserve"> 7.1.3能够对庭审过程中产生的庭审排期信息进行管理，可通过检索栏对案号、开庭地点、承办法官等条件进行搜索。</w:t>
                  </w:r>
                  <w:r>
                    <w:br/>
                  </w:r>
                  <w:r>
                    <w:rPr>
                      <w:rFonts w:ascii="仿宋_GB2312" w:hAnsi="仿宋_GB2312" w:cs="仿宋_GB2312" w:eastAsia="仿宋_GB2312"/>
                    </w:rPr>
                    <w:t xml:space="preserve"> 7.1.4能够对选择的案件进行开庭、休庭、闭庭等功能进行操作。</w:t>
                  </w:r>
                  <w:r>
                    <w:br/>
                  </w:r>
                  <w:r>
                    <w:rPr>
                      <w:rFonts w:ascii="仿宋_GB2312" w:hAnsi="仿宋_GB2312" w:cs="仿宋_GB2312" w:eastAsia="仿宋_GB2312"/>
                    </w:rPr>
                    <w:t xml:space="preserve"> 8.具备应用配置模块，为法庭综合管理后台与业务相关的配置项的集合，包含与法庭进行联动的应用配置。</w:t>
                  </w:r>
                  <w:r>
                    <w:br/>
                  </w:r>
                  <w:r>
                    <w:rPr>
                      <w:rFonts w:ascii="仿宋_GB2312" w:hAnsi="仿宋_GB2312" w:cs="仿宋_GB2312" w:eastAsia="仿宋_GB2312"/>
                    </w:rPr>
                    <w:t xml:space="preserve"> 8.1庭室配置：</w:t>
                  </w:r>
                  <w:r>
                    <w:br/>
                  </w:r>
                  <w:r>
                    <w:rPr>
                      <w:rFonts w:ascii="仿宋_GB2312" w:hAnsi="仿宋_GB2312" w:cs="仿宋_GB2312" w:eastAsia="仿宋_GB2312"/>
                    </w:rPr>
                    <w:t xml:space="preserve"> 8.1.1具备添加、修改、删除法庭信息的配置功能；</w:t>
                  </w:r>
                  <w:r>
                    <w:br/>
                  </w:r>
                  <w:r>
                    <w:rPr>
                      <w:rFonts w:ascii="仿宋_GB2312" w:hAnsi="仿宋_GB2312" w:cs="仿宋_GB2312" w:eastAsia="仿宋_GB2312"/>
                    </w:rPr>
                    <w:t xml:space="preserve"> 8.1.2具备对法庭基本信息、客户端配置、设备信息、录制管理等配置操作；</w:t>
                  </w:r>
                  <w:r>
                    <w:br/>
                  </w:r>
                  <w:r>
                    <w:rPr>
                      <w:rFonts w:ascii="仿宋_GB2312" w:hAnsi="仿宋_GB2312" w:cs="仿宋_GB2312" w:eastAsia="仿宋_GB2312"/>
                    </w:rPr>
                    <w:t xml:space="preserve"> 8.2远程庭审配置：</w:t>
                  </w:r>
                  <w:r>
                    <w:br/>
                  </w:r>
                  <w:r>
                    <w:rPr>
                      <w:rFonts w:ascii="仿宋_GB2312" w:hAnsi="仿宋_GB2312" w:cs="仿宋_GB2312" w:eastAsia="仿宋_GB2312"/>
                    </w:rPr>
                    <w:t xml:space="preserve"> 8.2.1可进行添加，修改，删除远程庭审室类型；</w:t>
                  </w:r>
                  <w:r>
                    <w:br/>
                  </w:r>
                  <w:r>
                    <w:rPr>
                      <w:rFonts w:ascii="仿宋_GB2312" w:hAnsi="仿宋_GB2312" w:cs="仿宋_GB2312" w:eastAsia="仿宋_GB2312"/>
                    </w:rPr>
                    <w:t xml:space="preserve"> 8.2.2远程庭审室配置，包括庭审室名称、庭审室类型、所属单位、建设日期、庭审室状态、描述、操作等内容；</w:t>
                  </w:r>
                  <w:r>
                    <w:br/>
                  </w:r>
                  <w:r>
                    <w:rPr>
                      <w:rFonts w:ascii="仿宋_GB2312" w:hAnsi="仿宋_GB2312" w:cs="仿宋_GB2312" w:eastAsia="仿宋_GB2312"/>
                    </w:rPr>
                    <w:t xml:space="preserve"> 8.3流媒体服务器配置：</w:t>
                  </w:r>
                  <w:r>
                    <w:br/>
                  </w:r>
                  <w:r>
                    <w:rPr>
                      <w:rFonts w:ascii="仿宋_GB2312" w:hAnsi="仿宋_GB2312" w:cs="仿宋_GB2312" w:eastAsia="仿宋_GB2312"/>
                    </w:rPr>
                    <w:t xml:space="preserve"> 以列表的形式展示出流媒体服务器的详细信息，包括：服务器名称，IP地址，版本号，序列号等。</w:t>
                  </w:r>
                  <w:r>
                    <w:br/>
                  </w:r>
                  <w:r>
                    <w:rPr>
                      <w:rFonts w:ascii="仿宋_GB2312" w:hAnsi="仿宋_GB2312" w:cs="仿宋_GB2312" w:eastAsia="仿宋_GB2312"/>
                    </w:rPr>
                    <w:t xml:space="preserve"> 支持对流媒体的管理和配置，能够进行添加、修改和删除；</w:t>
                  </w:r>
                  <w:r>
                    <w:br/>
                  </w:r>
                  <w:r>
                    <w:rPr>
                      <w:rFonts w:ascii="仿宋_GB2312" w:hAnsi="仿宋_GB2312" w:cs="仿宋_GB2312" w:eastAsia="仿宋_GB2312"/>
                    </w:rPr>
                    <w:t xml:space="preserve"> 8.4支持对庭审公告系统、法警系统、法庭控制屏的配置操作；支持对系统版本版本的升级管理，支持软件的上传和下载修改；支持对客户端启动检测项配置；支持对法庭纪律的修改、删除、预览、下载操作。</w:t>
                  </w:r>
                  <w:r>
                    <w:br/>
                  </w:r>
                  <w:r>
                    <w:rPr>
                      <w:rFonts w:ascii="仿宋_GB2312" w:hAnsi="仿宋_GB2312" w:cs="仿宋_GB2312" w:eastAsia="仿宋_GB2312"/>
                    </w:rPr>
                    <w:t xml:space="preserve"> 9.具备统计分析模块，应具备法庭建设情况、开庭情况、电子签名等统计信息。</w:t>
                  </w:r>
                  <w:r>
                    <w:br/>
                  </w:r>
                  <w:r>
                    <w:rPr>
                      <w:rFonts w:ascii="仿宋_GB2312" w:hAnsi="仿宋_GB2312" w:cs="仿宋_GB2312" w:eastAsia="仿宋_GB2312"/>
                    </w:rPr>
                    <w:t xml:space="preserve"> 9.1智慧法庭建设情况统计：支持对法庭建设情况进行统计，统计内容包含智科技法庭、智慧法庭等；</w:t>
                  </w:r>
                  <w:r>
                    <w:br/>
                  </w:r>
                  <w:r>
                    <w:rPr>
                      <w:rFonts w:ascii="仿宋_GB2312" w:hAnsi="仿宋_GB2312" w:cs="仿宋_GB2312" w:eastAsia="仿宋_GB2312"/>
                    </w:rPr>
                    <w:t xml:space="preserve"> 9.2开庭情况统计：支持对开庭数量、排期数量、开庭比例、开庭总时长进行显示，并支持导出表格；</w:t>
                  </w:r>
                  <w:r>
                    <w:br/>
                  </w:r>
                  <w:r>
                    <w:rPr>
                      <w:rFonts w:ascii="仿宋_GB2312" w:hAnsi="仿宋_GB2312" w:cs="仿宋_GB2312" w:eastAsia="仿宋_GB2312"/>
                    </w:rPr>
                    <w:t xml:space="preserve"> 9.3电子签名统计：支持对开庭数量、签名率进行统计；</w:t>
                  </w:r>
                  <w:r>
                    <w:br/>
                  </w:r>
                  <w:r>
                    <w:rPr>
                      <w:rFonts w:ascii="仿宋_GB2312" w:hAnsi="仿宋_GB2312" w:cs="仿宋_GB2312" w:eastAsia="仿宋_GB2312"/>
                    </w:rPr>
                    <w:t xml:space="preserve"> 10.具备系统管理模块，应具备对角色权限配置及系统授权查看的功能。</w:t>
                  </w:r>
                  <w:r>
                    <w:br/>
                  </w:r>
                  <w:r>
                    <w:rPr>
                      <w:rFonts w:ascii="仿宋_GB2312" w:hAnsi="仿宋_GB2312" w:cs="仿宋_GB2312" w:eastAsia="仿宋_GB2312"/>
                    </w:rPr>
                    <w:t xml:space="preserve"> 10.1角色-权限管理：</w:t>
                  </w:r>
                  <w:r>
                    <w:br/>
                  </w:r>
                  <w:r>
                    <w:rPr>
                      <w:rFonts w:ascii="仿宋_GB2312" w:hAnsi="仿宋_GB2312" w:cs="仿宋_GB2312" w:eastAsia="仿宋_GB2312"/>
                    </w:rPr>
                    <w:t xml:space="preserve"> 10.1.1具备对角色名称的搜索；</w:t>
                  </w:r>
                  <w:r>
                    <w:br/>
                  </w:r>
                  <w:r>
                    <w:rPr>
                      <w:rFonts w:ascii="仿宋_GB2312" w:hAnsi="仿宋_GB2312" w:cs="仿宋_GB2312" w:eastAsia="仿宋_GB2312"/>
                    </w:rPr>
                    <w:t xml:space="preserve"> 10.1.2具备对用户角色的权限进行授权管理；</w:t>
                  </w:r>
                  <w:r>
                    <w:br/>
                  </w:r>
                  <w:r>
                    <w:rPr>
                      <w:rFonts w:ascii="仿宋_GB2312" w:hAnsi="仿宋_GB2312" w:cs="仿宋_GB2312" w:eastAsia="仿宋_GB2312"/>
                    </w:rPr>
                    <w:t xml:space="preserve"> 10.2授权管理：具备对授权时间及数量进行查看；</w:t>
                  </w:r>
                  <w:r>
                    <w:br/>
                  </w:r>
                  <w:r>
                    <w:rPr>
                      <w:rFonts w:ascii="仿宋_GB2312" w:hAnsi="仿宋_GB2312" w:cs="仿宋_GB2312" w:eastAsia="仿宋_GB2312"/>
                    </w:rPr>
                    <w:t xml:space="preserve"> 11.具备日志管理模块，应具备对用户登录及操作进行相关记录。</w:t>
                  </w:r>
                  <w:r>
                    <w:br/>
                  </w:r>
                  <w:r>
                    <w:rPr>
                      <w:rFonts w:ascii="仿宋_GB2312" w:hAnsi="仿宋_GB2312" w:cs="仿宋_GB2312" w:eastAsia="仿宋_GB2312"/>
                    </w:rPr>
                    <w:t xml:space="preserve"> 11.1用户模块：</w:t>
                  </w:r>
                  <w:r>
                    <w:br/>
                  </w:r>
                  <w:r>
                    <w:rPr>
                      <w:rFonts w:ascii="仿宋_GB2312" w:hAnsi="仿宋_GB2312" w:cs="仿宋_GB2312" w:eastAsia="仿宋_GB2312"/>
                    </w:rPr>
                    <w:t xml:space="preserve"> 11.1.1具备按登录、登出条件进行搜索；</w:t>
                  </w:r>
                  <w:r>
                    <w:br/>
                  </w:r>
                  <w:r>
                    <w:rPr>
                      <w:rFonts w:ascii="仿宋_GB2312" w:hAnsi="仿宋_GB2312" w:cs="仿宋_GB2312" w:eastAsia="仿宋_GB2312"/>
                    </w:rPr>
                    <w:t xml:space="preserve"> 11.1.2具备以列表形式展示用户名称、ip地址、操作时间、日志内容等信息；</w:t>
                  </w:r>
                  <w:r>
                    <w:br/>
                  </w:r>
                  <w:r>
                    <w:rPr>
                      <w:rFonts w:ascii="仿宋_GB2312" w:hAnsi="仿宋_GB2312" w:cs="仿宋_GB2312" w:eastAsia="仿宋_GB2312"/>
                    </w:rPr>
                    <w:t xml:space="preserve"> 11.2庭审模块：</w:t>
                  </w:r>
                  <w:r>
                    <w:br/>
                  </w:r>
                  <w:r>
                    <w:rPr>
                      <w:rFonts w:ascii="仿宋_GB2312" w:hAnsi="仿宋_GB2312" w:cs="仿宋_GB2312" w:eastAsia="仿宋_GB2312"/>
                    </w:rPr>
                    <w:t xml:space="preserve"> 11.2.1具备按开庭、休庭、继续庭审、闭庭条件进行搜索；</w:t>
                  </w:r>
                  <w:r>
                    <w:br/>
                  </w:r>
                  <w:r>
                    <w:rPr>
                      <w:rFonts w:ascii="仿宋_GB2312" w:hAnsi="仿宋_GB2312" w:cs="仿宋_GB2312" w:eastAsia="仿宋_GB2312"/>
                    </w:rPr>
                    <w:t xml:space="preserve"> 11.2.2具备以列表形式展示用户名称、ip地址、操作时间、日志内容等信息；</w:t>
                  </w:r>
                  <w:r>
                    <w:br/>
                  </w:r>
                  <w:r>
                    <w:rPr>
                      <w:rFonts w:ascii="仿宋_GB2312" w:hAnsi="仿宋_GB2312" w:cs="仿宋_GB2312" w:eastAsia="仿宋_GB2312"/>
                    </w:rPr>
                    <w:t xml:space="preserve"> ▲12.具备数据管理模块，支持对回传办公办案平台的数据的信息进行记录。支持按案号、开庭时间、回传状态等条件进行搜索，其中回传状态包括：成功、失败、回传中。</w:t>
                  </w:r>
                </w:p>
              </w:tc>
              <w:tc>
                <w:tcPr>
                  <w:tcW w:type="dxa" w:w="581"/>
                </w:tcPr>
                <w:p>
                  <w:pPr>
                    <w:pStyle w:val="null3"/>
                    <w:jc w:val="center"/>
                  </w:pPr>
                  <w:r>
                    <w:rPr>
                      <w:rFonts w:ascii="仿宋_GB2312" w:hAnsi="仿宋_GB2312" w:cs="仿宋_GB2312" w:eastAsia="仿宋_GB2312"/>
                    </w:rPr>
                    <w:t>1</w:t>
                  </w:r>
                </w:p>
              </w:tc>
              <w:tc>
                <w:tcPr>
                  <w:tcW w:type="dxa" w:w="229"/>
                </w:tcPr>
                <w:p>
                  <w:pPr>
                    <w:pStyle w:val="null3"/>
                    <w:jc w:val="center"/>
                  </w:pPr>
                  <w:r>
                    <w:rPr>
                      <w:rFonts w:ascii="仿宋_GB2312" w:hAnsi="仿宋_GB2312" w:cs="仿宋_GB2312" w:eastAsia="仿宋_GB2312"/>
                    </w:rPr>
                    <w:t>套</w:t>
                  </w:r>
                </w:p>
              </w:tc>
            </w:tr>
            <w:tr>
              <w:tc>
                <w:tcPr>
                  <w:tcW w:type="dxa" w:w="581"/>
                  <w:vMerge w:val="restart"/>
                </w:tcPr>
                <w:p>
                  <w:pPr>
                    <w:pStyle w:val="null3"/>
                    <w:jc w:val="center"/>
                  </w:pPr>
                  <w:r>
                    <w:rPr>
                      <w:rFonts w:ascii="仿宋_GB2312" w:hAnsi="仿宋_GB2312" w:cs="仿宋_GB2312" w:eastAsia="仿宋_GB2312"/>
                    </w:rPr>
                    <w:t>2</w:t>
                  </w:r>
                </w:p>
              </w:tc>
              <w:tc>
                <w:tcPr>
                  <w:tcW w:type="dxa" w:w="581"/>
                  <w:vMerge w:val="restart"/>
                </w:tcPr>
                <w:p>
                  <w:pPr>
                    <w:pStyle w:val="null3"/>
                  </w:pPr>
                  <w:r>
                    <w:rPr>
                      <w:rFonts w:ascii="仿宋_GB2312" w:hAnsi="仿宋_GB2312" w:cs="仿宋_GB2312" w:eastAsia="仿宋_GB2312"/>
                    </w:rPr>
                    <w:t>高清数字媒体综合控制系统</w:t>
                  </w:r>
                </w:p>
              </w:tc>
              <w:tc>
                <w:tcPr>
                  <w:tcW w:type="dxa" w:w="581"/>
                </w:tcPr>
                <w:p>
                  <w:pPr>
                    <w:pStyle w:val="null3"/>
                  </w:pPr>
                  <w:r>
                    <w:rPr>
                      <w:rFonts w:ascii="仿宋_GB2312" w:hAnsi="仿宋_GB2312" w:cs="仿宋_GB2312" w:eastAsia="仿宋_GB2312"/>
                    </w:rPr>
                    <w:t>1.提供庭审录像全生命周期管理服务，支持录像资源多条件检索、在线流媒体播放、录像文件打包下载服务；提供双模式数据视图服务：排期视图、案件视图。</w:t>
                  </w:r>
                  <w:r>
                    <w:br/>
                  </w:r>
                  <w:r>
                    <w:rPr>
                      <w:rFonts w:ascii="仿宋_GB2312" w:hAnsi="仿宋_GB2312" w:cs="仿宋_GB2312" w:eastAsia="仿宋_GB2312"/>
                    </w:rPr>
                    <w:t xml:space="preserve"> 2.排期视图检索服务：支持案号、案由、承办部门、承办法官、开庭形式、开庭场地多条件组合检索。</w:t>
                  </w:r>
                  <w:r>
                    <w:br/>
                  </w:r>
                  <w:r>
                    <w:rPr>
                      <w:rFonts w:ascii="仿宋_GB2312" w:hAnsi="仿宋_GB2312" w:cs="仿宋_GB2312" w:eastAsia="仿宋_GB2312"/>
                    </w:rPr>
                    <w:t xml:space="preserve"> 3.案件视图检索服务：支持案号、案由、承办部门、承办法官条件检索。</w:t>
                  </w:r>
                  <w:r>
                    <w:br/>
                  </w:r>
                  <w:r>
                    <w:rPr>
                      <w:rFonts w:ascii="仿宋_GB2312" w:hAnsi="仿宋_GB2312" w:cs="仿宋_GB2312" w:eastAsia="仿宋_GB2312"/>
                    </w:rPr>
                    <w:t xml:space="preserve"> 4.嵌入式媒体控制系统服务，适配1U机架式虚拟化部署规范，搭载国产化ARM架构多核处理器适配调度服务；配套国产化芯片适配检测校验服务；</w:t>
                  </w:r>
                  <w:r>
                    <w:br/>
                  </w:r>
                  <w:r>
                    <w:rPr>
                      <w:rFonts w:ascii="仿宋_GB2312" w:hAnsi="仿宋_GB2312" w:cs="仿宋_GB2312" w:eastAsia="仿宋_GB2312"/>
                    </w:rPr>
                    <w:t xml:space="preserve"> 5.内置网络防护、病毒入侵拦截、非法攻击防护安全能力，全年7×24小时不间断后台驻留运行服务。</w:t>
                  </w:r>
                  <w:r>
                    <w:br/>
                  </w:r>
                  <w:r>
                    <w:rPr>
                      <w:rFonts w:ascii="仿宋_GB2312" w:hAnsi="仿宋_GB2312" w:cs="仿宋_GB2312" w:eastAsia="仿宋_GB2312"/>
                    </w:rPr>
                    <w:t xml:space="preserve"> 6.离线庭审独立运行服务，网络中断状态下可独立完成庭审录音录像、法庭设备联动控制全流程业务，不依赖外网连通。</w:t>
                  </w:r>
                  <w:r>
                    <w:br/>
                  </w:r>
                  <w:r>
                    <w:rPr>
                      <w:rFonts w:ascii="仿宋_GB2312" w:hAnsi="仿宋_GB2312" w:cs="仿宋_GB2312" w:eastAsia="仿宋_GB2312"/>
                    </w:rPr>
                    <w:t xml:space="preserve"> 7.Web远程运维管控服务，支持浏览器远程登录完成系统参数配置、程序升级、通道调试。</w:t>
                  </w:r>
                  <w:r>
                    <w:br/>
                  </w:r>
                  <w:r>
                    <w:rPr>
                      <w:rFonts w:ascii="仿宋_GB2312" w:hAnsi="仿宋_GB2312" w:cs="仿宋_GB2312" w:eastAsia="仿宋_GB2312"/>
                    </w:rPr>
                    <w:t xml:space="preserve"> 内置数字视频矩阵调度服务，可视化展示视频通道链路，自适应多档输出分辨率。</w:t>
                  </w:r>
                  <w:r>
                    <w:br/>
                  </w:r>
                  <w:r>
                    <w:rPr>
                      <w:rFonts w:ascii="仿宋_GB2312" w:hAnsi="仿宋_GB2312" w:cs="仿宋_GB2312" w:eastAsia="仿宋_GB2312"/>
                    </w:rPr>
                    <w:t xml:space="preserve"> 8.自定义场景一键联动服务，可编程配置开庭、闭庭、远程庭审、本地庭审场景一键设备联动逻辑。</w:t>
                  </w:r>
                  <w:r>
                    <w:br/>
                  </w:r>
                  <w:r>
                    <w:rPr>
                      <w:rFonts w:ascii="仿宋_GB2312" w:hAnsi="仿宋_GB2312" w:cs="仿宋_GB2312" w:eastAsia="仿宋_GB2312"/>
                    </w:rPr>
                    <w:t xml:space="preserve"> 9.智能音频算法处理服务，集成自动混音、啸叫抑制、降噪、回声消除、分组混音算法引擎。</w:t>
                  </w:r>
                  <w:r>
                    <w:br/>
                  </w:r>
                  <w:r>
                    <w:rPr>
                      <w:rFonts w:ascii="仿宋_GB2312" w:hAnsi="仿宋_GB2312" w:cs="仿宋_GB2312" w:eastAsia="仿宋_GB2312"/>
                    </w:rPr>
                    <w:t xml:space="preserve"> 10.大型音频混音矩阵运算服务，支持语音激励自动拾音切换逻辑。</w:t>
                  </w:r>
                  <w:r>
                    <w:br/>
                  </w:r>
                  <w:r>
                    <w:rPr>
                      <w:rFonts w:ascii="仿宋_GB2312" w:hAnsi="仿宋_GB2312" w:cs="仿宋_GB2312" w:eastAsia="仿宋_GB2312"/>
                    </w:rPr>
                    <w:t xml:space="preserve"> 11.麦克风独立PCM编码转写服务，单支话筒独立音频编码处理，无需额外声卡即可完成语音文字转写；</w:t>
                  </w:r>
                  <w:r>
                    <w:br/>
                  </w:r>
                  <w:r>
                    <w:rPr>
                      <w:rFonts w:ascii="仿宋_GB2312" w:hAnsi="仿宋_GB2312" w:cs="仿宋_GB2312" w:eastAsia="仿宋_GB2312"/>
                    </w:rPr>
                    <w:t xml:space="preserve"> 12.多路高清视频编码处理服务，支持8路1080P/2路4K并发编码，兼容H.264/H.265编解码标准。</w:t>
                  </w:r>
                  <w:r>
                    <w:br/>
                  </w:r>
                  <w:r>
                    <w:rPr>
                      <w:rFonts w:ascii="仿宋_GB2312" w:hAnsi="仿宋_GB2312" w:cs="仿宋_GB2312" w:eastAsia="仿宋_GB2312"/>
                    </w:rPr>
                    <w:t xml:space="preserve"> 13.多路音频编码处理服务，支持16路音频同步编码，兼容AAC/G711/PCM音频协议；</w:t>
                  </w:r>
                  <w:r>
                    <w:br/>
                  </w:r>
                  <w:r>
                    <w:rPr>
                      <w:rFonts w:ascii="仿宋_GB2312" w:hAnsi="仿宋_GB2312" w:cs="仿宋_GB2312" w:eastAsia="仿宋_GB2312"/>
                    </w:rPr>
                    <w:t xml:space="preserve"> 14.H.323标准视频通话协议适配服务，支持第三方庭审设备互联互通。</w:t>
                  </w:r>
                  <w:r>
                    <w:br/>
                  </w:r>
                  <w:r>
                    <w:rPr>
                      <w:rFonts w:ascii="仿宋_GB2312" w:hAnsi="仿宋_GB2312" w:cs="仿宋_GB2312" w:eastAsia="仿宋_GB2312"/>
                    </w:rPr>
                    <w:t xml:space="preserve"> 15.多方远程庭审并发调度服务，最大支持5方异地当事人同时接入庭审。</w:t>
                  </w:r>
                  <w:r>
                    <w:br/>
                  </w:r>
                  <w:r>
                    <w:rPr>
                      <w:rFonts w:ascii="仿宋_GB2312" w:hAnsi="仿宋_GB2312" w:cs="仿宋_GB2312" w:eastAsia="仿宋_GB2312"/>
                    </w:rPr>
                    <w:t xml:space="preserve"> 16.多流媒体协议适配转发服务，兼容RTSP/RTMP/HTTPS音视频传输协议。</w:t>
                  </w:r>
                  <w:r>
                    <w:br/>
                  </w:r>
                  <w:r>
                    <w:rPr>
                      <w:rFonts w:ascii="仿宋_GB2312" w:hAnsi="仿宋_GB2312" w:cs="仿宋_GB2312" w:eastAsia="仿宋_GB2312"/>
                    </w:rPr>
                    <w:t xml:space="preserve"> 17.证人隐私保护算法服务，内置画面马赛克、人声变声处理程序，保护证人信息。</w:t>
                  </w:r>
                  <w:r>
                    <w:br/>
                  </w:r>
                  <w:r>
                    <w:rPr>
                      <w:rFonts w:ascii="仿宋_GB2312" w:hAnsi="仿宋_GB2312" w:cs="仿宋_GB2312" w:eastAsia="仿宋_GB2312"/>
                    </w:rPr>
                    <w:t xml:space="preserve"> 18.高并发流媒体录制引擎服务，支撑多法庭同步录制任务，保障音视频同步、高并发稳定录制。</w:t>
                  </w:r>
                </w:p>
              </w:tc>
              <w:tc>
                <w:tcPr>
                  <w:tcW w:type="dxa" w:w="581"/>
                </w:tcPr>
                <w:p>
                  <w:pPr>
                    <w:pStyle w:val="null3"/>
                    <w:jc w:val="center"/>
                  </w:pPr>
                  <w:r>
                    <w:rPr>
                      <w:rFonts w:ascii="仿宋_GB2312" w:hAnsi="仿宋_GB2312" w:cs="仿宋_GB2312" w:eastAsia="仿宋_GB2312"/>
                    </w:rPr>
                    <w:t>7</w:t>
                  </w:r>
                </w:p>
              </w:tc>
              <w:tc>
                <w:tcPr>
                  <w:tcW w:type="dxa" w:w="229"/>
                </w:tcPr>
                <w:p>
                  <w:pPr>
                    <w:pStyle w:val="null3"/>
                    <w:jc w:val="center"/>
                  </w:pPr>
                  <w:r>
                    <w:rPr>
                      <w:rFonts w:ascii="仿宋_GB2312" w:hAnsi="仿宋_GB2312" w:cs="仿宋_GB2312" w:eastAsia="仿宋_GB2312"/>
                    </w:rPr>
                    <w:t>套</w:t>
                  </w:r>
                </w:p>
              </w:tc>
            </w:tr>
            <w:tr>
              <w:tc>
                <w:tcPr>
                  <w:tcW w:type="dxa" w:w="581"/>
                  <w:vMerge/>
                </w:tcPr>
                <w:p/>
              </w:tc>
              <w:tc>
                <w:tcPr>
                  <w:tcW w:type="dxa" w:w="581"/>
                  <w:vMerge/>
                </w:tcPr>
                <w:p/>
              </w:tc>
              <w:tc>
                <w:tcPr>
                  <w:tcW w:type="dxa" w:w="581"/>
                </w:tcPr>
                <w:p>
                  <w:pPr>
                    <w:pStyle w:val="null3"/>
                  </w:pPr>
                  <w:r>
                    <w:rPr>
                      <w:rFonts w:ascii="仿宋_GB2312" w:hAnsi="仿宋_GB2312" w:cs="仿宋_GB2312" w:eastAsia="仿宋_GB2312"/>
                    </w:rPr>
                    <w:t>1.系统架构要求：采用轻量化、高适配服务器软件架构，支持标准1U级设备资源适配调度，兼容行业标准机架式服务环境，系统运行稳定、低功耗、高并发，适配法庭常态化不间断运行场景。</w:t>
                  </w:r>
                  <w:r>
                    <w:br/>
                  </w:r>
                  <w:r>
                    <w:rPr>
                      <w:rFonts w:ascii="仿宋_GB2312" w:hAnsi="仿宋_GB2312" w:cs="仿宋_GB2312" w:eastAsia="仿宋_GB2312"/>
                    </w:rPr>
                    <w:t xml:space="preserve"> ▲2. 系统核心算力架构：应采用国产化ARM适配软件架构，搭载四核及以上算力调度内核，支持多线程并行处理，可同步承载音视频编解码、音频处理、矩阵调度、场景控制等多项业务并发运行。</w:t>
                  </w:r>
                  <w:r>
                    <w:br/>
                  </w:r>
                  <w:r>
                    <w:rPr>
                      <w:rFonts w:ascii="仿宋_GB2312" w:hAnsi="仿宋_GB2312" w:cs="仿宋_GB2312" w:eastAsia="仿宋_GB2312"/>
                    </w:rPr>
                    <w:t xml:space="preserve"> 3.视频接入软件能力：支持≥2路4K（3840*2160）超高清视频信号解码接入，适配主流HDMI视频传输协议，支持视频画面与音频信号同步绑定、同步采集，无音画不同步、画面延迟问题。</w:t>
                  </w:r>
                  <w:r>
                    <w:br/>
                  </w:r>
                  <w:r>
                    <w:rPr>
                      <w:rFonts w:ascii="仿宋_GB2312" w:hAnsi="仿宋_GB2312" w:cs="仿宋_GB2312" w:eastAsia="仿宋_GB2312"/>
                    </w:rPr>
                    <w:t xml:space="preserve"> 4.视频输出调度软件能力：支持≥2路4K（3840*2160）超高清视频信号编码输出，支持输出画面音频同步叠加、同步推送，可自定义输出画面参数，适配各类显示终端播放需求。</w:t>
                  </w:r>
                  <w:r>
                    <w:br/>
                  </w:r>
                  <w:r>
                    <w:rPr>
                      <w:rFonts w:ascii="仿宋_GB2312" w:hAnsi="仿宋_GB2312" w:cs="仿宋_GB2312" w:eastAsia="仿宋_GB2312"/>
                    </w:rPr>
                    <w:t xml:space="preserve"> 5.话筒音频采集软件能力：支持≥12路MIC/LINE制式音频信号数字化采集，软件内置48V幻象供电适配调度模块，可独立开启、关闭单路话筒供电适配，支持单路音频参数独立调节。</w:t>
                  </w:r>
                  <w:r>
                    <w:br/>
                  </w:r>
                  <w:r>
                    <w:rPr>
                      <w:rFonts w:ascii="仿宋_GB2312" w:hAnsi="仿宋_GB2312" w:cs="仿宋_GB2312" w:eastAsia="仿宋_GB2312"/>
                    </w:rPr>
                    <w:t xml:space="preserve"> 6.证据音频处理软件能力：支持≥4路立体声证据音频信号独立解析、采集与封装，可区分庭审话筒音频与证据音频数据流，实现双音频数据独立存储、同步归档。</w:t>
                  </w:r>
                  <w:r>
                    <w:br/>
                  </w:r>
                  <w:r>
                    <w:rPr>
                      <w:rFonts w:ascii="仿宋_GB2312" w:hAnsi="仿宋_GB2312" w:cs="仿宋_GB2312" w:eastAsia="仿宋_GB2312"/>
                    </w:rPr>
                    <w:t xml:space="preserve"> 7.线路音频输出调度软件能力：支持≥4路平衡线路音频信号编码输出调度，可自定义各路音频输出音量、增益、延时参数，适配法庭音响系统音频适配需求。</w:t>
                  </w:r>
                  <w:r>
                    <w:br/>
                  </w:r>
                  <w:r>
                    <w:rPr>
                      <w:rFonts w:ascii="仿宋_GB2312" w:hAnsi="仿宋_GB2312" w:cs="仿宋_GB2312" w:eastAsia="仿宋_GB2312"/>
                    </w:rPr>
                    <w:t xml:space="preserve"> ▲8.音频功率适配调度软件能力：内置双声道音频功率智能调度算法，支持2通道100W音频功率适配输出调控，可自动匹配功放设备运行参数，智能调节输出功率、保护音频设备稳定运行。</w:t>
                  </w:r>
                  <w:r>
                    <w:br/>
                  </w:r>
                  <w:r>
                    <w:rPr>
                      <w:rFonts w:ascii="仿宋_GB2312" w:hAnsi="仿宋_GB2312" w:cs="仿宋_GB2312" w:eastAsia="仿宋_GB2312"/>
                    </w:rPr>
                    <w:t xml:space="preserve"> ▲9.网络接入调度软件能力：内置多网口数据调度模块，支持≥6路千兆网络数据流并发处理，适配网络编码摄像机设备接入、数据接收、协议解析，可实现多路网络视频信号稳定接入与统一管理。</w:t>
                  </w:r>
                  <w:r>
                    <w:br/>
                  </w:r>
                  <w:r>
                    <w:rPr>
                      <w:rFonts w:ascii="仿宋_GB2312" w:hAnsi="仿宋_GB2312" w:cs="仿宋_GB2312" w:eastAsia="仿宋_GB2312"/>
                    </w:rPr>
                    <w:t xml:space="preserve"> ▲10.外围设备适配软件能力：兼容USB、TYPE-C协议外围存储设备数据交互，支持外接U盘、光驱等存储设备的文件读取、写入、导入导出，支持设备热插拔识别与自动适配。</w:t>
                  </w:r>
                  <w:r>
                    <w:br/>
                  </w:r>
                  <w:r>
                    <w:rPr>
                      <w:rFonts w:ascii="仿宋_GB2312" w:hAnsi="仿宋_GB2312" w:cs="仿宋_GB2312" w:eastAsia="仿宋_GB2312"/>
                    </w:rPr>
                    <w:t xml:space="preserve"> 11.串口设备控制软件能力：内置串口协议解析模块，支持≥1路RS485/422、≥1路RS232协议可编程控制，可适配控制面板、电源控制器、摄像机等外围设备，支持自定义控制指令、联动逻辑、设备参数调控。</w:t>
                  </w:r>
                  <w:r>
                    <w:br/>
                  </w:r>
                  <w:r>
                    <w:rPr>
                      <w:rFonts w:ascii="仿宋_GB2312" w:hAnsi="仿宋_GB2312" w:cs="仿宋_GB2312" w:eastAsia="仿宋_GB2312"/>
                    </w:rPr>
                    <w:t xml:space="preserve"> 12.远程运维管理能力：内置B/S架构WEB网页管理系统，支持浏览器端远程对系统进行参数配置、设备管理、状态监控、故障排查、程序在线升级，无需安装客户端软件。</w:t>
                  </w:r>
                  <w:r>
                    <w:br/>
                  </w:r>
                  <w:r>
                    <w:rPr>
                      <w:rFonts w:ascii="仿宋_GB2312" w:hAnsi="仿宋_GB2312" w:cs="仿宋_GB2312" w:eastAsia="仿宋_GB2312"/>
                    </w:rPr>
                    <w:t xml:space="preserve"> 13.智能视频矩阵软件功能：内置数字化视频矩阵调度系统，支持全局可视化通道链路状态展示，可实时查看视频输入、输出、流转链路；支持多分辨率自适应输出，兼容3840×2160、1920×1080、1280×720、1024×768、1280×800、1280×1024等主流分辨率。</w:t>
                  </w:r>
                  <w:r>
                    <w:br/>
                  </w:r>
                  <w:r>
                    <w:rPr>
                      <w:rFonts w:ascii="仿宋_GB2312" w:hAnsi="仿宋_GB2312" w:cs="仿宋_GB2312" w:eastAsia="仿宋_GB2312"/>
                    </w:rPr>
                    <w:t xml:space="preserve"> 14.多画面合成软件功能：支持智能视频画面合成技术，可自定义2、3、4、6、8、9等分画面分割模式，适配不同庭审场景画面展示需求；画面合成分辨率最高支持3840×2160、1920×1080，合成画面无卡顿、无撕裂、画质无损。</w:t>
                  </w:r>
                  <w:r>
                    <w:br/>
                  </w:r>
                  <w:r>
                    <w:rPr>
                      <w:rFonts w:ascii="仿宋_GB2312" w:hAnsi="仿宋_GB2312" w:cs="仿宋_GB2312" w:eastAsia="仿宋_GB2312"/>
                    </w:rPr>
                    <w:t xml:space="preserve"> 15.可编程软中控软件功能：搭载可视化可编程中控系统，支持用户自定义场景模板，可实现一键式开庭、闭庭、远程庭审、本地庭审等场景联动，支持场景下音视频设备、串口设备、流媒体传输的自动化联动控制。</w:t>
                  </w:r>
                  <w:r>
                    <w:br/>
                  </w:r>
                  <w:r>
                    <w:rPr>
                      <w:rFonts w:ascii="仿宋_GB2312" w:hAnsi="仿宋_GB2312" w:cs="仿宋_GB2312" w:eastAsia="仿宋_GB2312"/>
                    </w:rPr>
                    <w:t xml:space="preserve"> 16.智能音频处理软件功能：内置专业音频算法模块，集成自动混音、反馈抑制、智能噪声消除、回声消除、分组混音功能，可自动优化庭审音频效果，消除环境杂音、回声、啸叫问题。</w:t>
                  </w:r>
                  <w:r>
                    <w:br/>
                  </w:r>
                  <w:r>
                    <w:rPr>
                      <w:rFonts w:ascii="仿宋_GB2312" w:hAnsi="仿宋_GB2312" w:cs="仿宋_GB2312" w:eastAsia="仿宋_GB2312"/>
                    </w:rPr>
                    <w:t xml:space="preserve"> 17.大型音频矩阵调度功能：内置≥20×24数字化音频混音矩阵，支持多路音频信号自由调度、分组切换，搭载智能语音激励算法，可实现话筒声音自动触发、自动切换、静音联动。</w:t>
                  </w:r>
                  <w:r>
                    <w:br/>
                  </w:r>
                  <w:r>
                    <w:rPr>
                      <w:rFonts w:ascii="仿宋_GB2312" w:hAnsi="仿宋_GB2312" w:cs="仿宋_GB2312" w:eastAsia="仿宋_GB2312"/>
                    </w:rPr>
                    <w:t xml:space="preserve"> ▲18.独立话筒编码转写软件能力：支持每支话筒音频信号独立PCM编码封装，无需外接声卡及编码设备，软件原生支持多路语音独立编码、实时解析，可直接对接庭审语音转写系统，实现语音实时转文字。</w:t>
                  </w:r>
                  <w:r>
                    <w:br/>
                  </w:r>
                  <w:r>
                    <w:rPr>
                      <w:rFonts w:ascii="仿宋_GB2312" w:hAnsi="仿宋_GB2312" w:cs="仿宋_GB2312" w:eastAsia="仿宋_GB2312"/>
                    </w:rPr>
                    <w:t xml:space="preserve"> 19.高清视频编解码能力：软件支持多路视频并发编解码，可满足≥8路1080P或2路4K分辨率视频同步编码处理，兼容H.265、H.264主流编解码标准，支持视频画质压缩优化、码率自适应调节。</w:t>
                  </w:r>
                  <w:r>
                    <w:br/>
                  </w:r>
                  <w:r>
                    <w:rPr>
                      <w:rFonts w:ascii="仿宋_GB2312" w:hAnsi="仿宋_GB2312" w:cs="仿宋_GB2312" w:eastAsia="仿宋_GB2312"/>
                    </w:rPr>
                    <w:t xml:space="preserve"> ▲20.多路音频编解码软件能力：支持≥16路音频信号同步编解码处理，兼容AAC、G711、PCM全主流音频编解码协议，支持音频码率、采样率自定义调节，适配庭审录音、直播、归档、转写全场景需求。</w:t>
                  </w:r>
                  <w:r>
                    <w:br/>
                  </w:r>
                  <w:r>
                    <w:rPr>
                      <w:rFonts w:ascii="仿宋_GB2312" w:hAnsi="仿宋_GB2312" w:cs="仿宋_GB2312" w:eastAsia="仿宋_GB2312"/>
                    </w:rPr>
                    <w:t xml:space="preserve"> 21.远程会议协议兼容能力：支持标准H.323视频通话协议，可与法院各类第三方视频终端、庭审系统无缝互联互通，协议适配无壁垒，兼容政法专网通信标准。</w:t>
                  </w:r>
                  <w:r>
                    <w:br/>
                  </w:r>
                  <w:r>
                    <w:rPr>
                      <w:rFonts w:ascii="仿宋_GB2312" w:hAnsi="仿宋_GB2312" w:cs="仿宋_GB2312" w:eastAsia="仿宋_GB2312"/>
                    </w:rPr>
                    <w:t xml:space="preserve"> 22.多方远程庭审调度能力：支持最大5方终端同时在线远程庭审会商，软件支持多方画面合成、语音互通、数据同步、权限管控，可实现跨区域远程开庭、在线质证、远程合议。</w:t>
                  </w:r>
                  <w:r>
                    <w:br/>
                  </w:r>
                  <w:r>
                    <w:rPr>
                      <w:rFonts w:ascii="仿宋_GB2312" w:hAnsi="仿宋_GB2312" w:cs="仿宋_GB2312" w:eastAsia="仿宋_GB2312"/>
                    </w:rPr>
                    <w:t xml:space="preserve"> ▲23.流媒体传输协议能力：软件原生支持RTSP、RTMP、HTTPS主流流媒体音视频传输协议，支持视频直播推流、拉流、点播回放，支持加密传输、稳定传输，适配专网、公网多环境传输需求；</w:t>
                  </w:r>
                  <w:r>
                    <w:br/>
                  </w:r>
                  <w:r>
                    <w:rPr>
                      <w:rFonts w:ascii="仿宋_GB2312" w:hAnsi="仿宋_GB2312" w:cs="仿宋_GB2312" w:eastAsia="仿宋_GB2312"/>
                    </w:rPr>
                    <w:t xml:space="preserve"> 24.智能存储管理软件功能：内置本地化存储管理模块，支持≥2T存储空间资源调度管理，可实现庭审录音录像实时自动备份、分段存储、循环覆盖、断点续存；默认生成MP4标准格式文件，支持文件检索、回放、导出、归档。</w:t>
                  </w:r>
                </w:p>
              </w:tc>
              <w:tc>
                <w:tcPr>
                  <w:tcW w:type="dxa" w:w="581"/>
                </w:tcPr>
                <w:p>
                  <w:pPr>
                    <w:pStyle w:val="null3"/>
                    <w:jc w:val="center"/>
                  </w:pPr>
                  <w:r>
                    <w:rPr>
                      <w:rFonts w:ascii="仿宋_GB2312" w:hAnsi="仿宋_GB2312" w:cs="仿宋_GB2312" w:eastAsia="仿宋_GB2312"/>
                    </w:rPr>
                    <w:t>7</w:t>
                  </w:r>
                </w:p>
              </w:tc>
              <w:tc>
                <w:tcPr>
                  <w:tcW w:type="dxa" w:w="229"/>
                </w:tcPr>
                <w:p>
                  <w:pPr>
                    <w:pStyle w:val="null3"/>
                    <w:jc w:val="center"/>
                  </w:pPr>
                  <w:r>
                    <w:rPr>
                      <w:rFonts w:ascii="仿宋_GB2312" w:hAnsi="仿宋_GB2312" w:cs="仿宋_GB2312" w:eastAsia="仿宋_GB2312"/>
                    </w:rPr>
                    <w:t>套</w:t>
                  </w:r>
                </w:p>
              </w:tc>
            </w:tr>
            <w:tr>
              <w:tc>
                <w:tcPr>
                  <w:tcW w:type="dxa" w:w="581"/>
                </w:tcPr>
                <w:p>
                  <w:pPr>
                    <w:pStyle w:val="null3"/>
                    <w:jc w:val="center"/>
                  </w:pPr>
                  <w:r>
                    <w:rPr>
                      <w:rFonts w:ascii="仿宋_GB2312" w:hAnsi="仿宋_GB2312" w:cs="仿宋_GB2312" w:eastAsia="仿宋_GB2312"/>
                    </w:rPr>
                    <w:t>3</w:t>
                  </w:r>
                </w:p>
              </w:tc>
              <w:tc>
                <w:tcPr>
                  <w:tcW w:type="dxa" w:w="581"/>
                </w:tcPr>
                <w:p>
                  <w:pPr>
                    <w:pStyle w:val="null3"/>
                  </w:pPr>
                  <w:r>
                    <w:rPr>
                      <w:rFonts w:ascii="仿宋_GB2312" w:hAnsi="仿宋_GB2312" w:cs="仿宋_GB2312" w:eastAsia="仿宋_GB2312"/>
                    </w:rPr>
                    <w:t>书记员应用系统</w:t>
                  </w:r>
                </w:p>
              </w:tc>
              <w:tc>
                <w:tcPr>
                  <w:tcW w:type="dxa" w:w="581"/>
                </w:tcPr>
                <w:p>
                  <w:pPr>
                    <w:pStyle w:val="null3"/>
                  </w:pPr>
                  <w:r>
                    <w:rPr>
                      <w:rFonts w:ascii="仿宋_GB2312" w:hAnsi="仿宋_GB2312" w:cs="仿宋_GB2312" w:eastAsia="仿宋_GB2312"/>
                    </w:rPr>
                    <w:t>需满足《全国法院办公办案平台中数字法庭建设技术规范》的相关要求，“一张网”下自建自用的数字法庭应满足UI设计规范，系统架构设计采用B/S架构。配合庭审资源管理平台使用，提供书记员、法官、当事人应用端，包含排期管理、庭审录音录像、笔录制作、笔录同步等功能。</w:t>
                  </w:r>
                  <w:r>
                    <w:br/>
                  </w:r>
                  <w:r>
                    <w:rPr>
                      <w:rFonts w:ascii="仿宋_GB2312" w:hAnsi="仿宋_GB2312" w:cs="仿宋_GB2312" w:eastAsia="仿宋_GB2312"/>
                    </w:rPr>
                    <w:t xml:space="preserve"> 一、法官应用模块</w:t>
                  </w:r>
                  <w:r>
                    <w:br/>
                  </w:r>
                  <w:r>
                    <w:rPr>
                      <w:rFonts w:ascii="仿宋_GB2312" w:hAnsi="仿宋_GB2312" w:cs="仿宋_GB2312" w:eastAsia="仿宋_GB2312"/>
                    </w:rPr>
                    <w:t xml:space="preserve"> 1.系统需支持与书记员客户端联动，当书记员系统进入庭审后，法官系统提示是否登录到庭审系统中，具备点击姓名进入无需输入用户名和密码，避免法官操作复杂。</w:t>
                  </w:r>
                  <w:r>
                    <w:br/>
                  </w:r>
                  <w:r>
                    <w:rPr>
                      <w:rFonts w:ascii="仿宋_GB2312" w:hAnsi="仿宋_GB2312" w:cs="仿宋_GB2312" w:eastAsia="仿宋_GB2312"/>
                    </w:rPr>
                    <w:t xml:space="preserve"> 2.系统需支持独立登录并具备我的案件、待审排期、庭审直播、庭审点播模块，需支持通过案号、当事人、立案时间、案由、承办人查询案件信息，支持通过案号、开庭时间、开庭地点、开庭状态等信息进行查询待审排期信息。</w:t>
                  </w:r>
                  <w:r>
                    <w:br/>
                  </w:r>
                  <w:r>
                    <w:rPr>
                      <w:rFonts w:ascii="仿宋_GB2312" w:hAnsi="仿宋_GB2312" w:cs="仿宋_GB2312" w:eastAsia="仿宋_GB2312"/>
                    </w:rPr>
                    <w:t xml:space="preserve"> 3.系统需支持在待审排期模块下，对案件排期进行修改、删除等操作。</w:t>
                  </w:r>
                  <w:r>
                    <w:br/>
                  </w:r>
                  <w:r>
                    <w:rPr>
                      <w:rFonts w:ascii="仿宋_GB2312" w:hAnsi="仿宋_GB2312" w:cs="仿宋_GB2312" w:eastAsia="仿宋_GB2312"/>
                    </w:rPr>
                    <w:t xml:space="preserve"> 4.系统需支持庭审录像下载、播放视频的功能，下载内容包含庭审复合画面、庭审笔录等内容。</w:t>
                  </w:r>
                  <w:r>
                    <w:br/>
                  </w:r>
                  <w:r>
                    <w:rPr>
                      <w:rFonts w:ascii="仿宋_GB2312" w:hAnsi="仿宋_GB2312" w:cs="仿宋_GB2312" w:eastAsia="仿宋_GB2312"/>
                    </w:rPr>
                    <w:t xml:space="preserve"> 5.系统需支持与书记员客户端联动，能够接收庭审状态通知，如开庭、休庭以及闭庭的状态。</w:t>
                  </w:r>
                  <w:r>
                    <w:br/>
                  </w:r>
                  <w:r>
                    <w:rPr>
                      <w:rFonts w:ascii="仿宋_GB2312" w:hAnsi="仿宋_GB2312" w:cs="仿宋_GB2312" w:eastAsia="仿宋_GB2312"/>
                    </w:rPr>
                    <w:t xml:space="preserve"> ▲6.系统需支持与书记员系统的庭审笔录实时联动，法官可实时同步查看书记员记录笔录的内容，同时支持法官与书记员协同编辑笔录。</w:t>
                  </w:r>
                  <w:r>
                    <w:br/>
                  </w:r>
                  <w:r>
                    <w:rPr>
                      <w:rFonts w:ascii="仿宋_GB2312" w:hAnsi="仿宋_GB2312" w:cs="仿宋_GB2312" w:eastAsia="仿宋_GB2312"/>
                    </w:rPr>
                    <w:t xml:space="preserve"> ▲7.系统需支持开启跟随和关闭跟随笔录内容的功能，方便法官对笔录内容自行翻看查阅。</w:t>
                  </w:r>
                  <w:r>
                    <w:br/>
                  </w:r>
                  <w:r>
                    <w:rPr>
                      <w:rFonts w:ascii="仿宋_GB2312" w:hAnsi="仿宋_GB2312" w:cs="仿宋_GB2312" w:eastAsia="仿宋_GB2312"/>
                    </w:rPr>
                    <w:t xml:space="preserve"> ▲8.系统登录后支持双屏/三屏模式的手动切换，针对每屏的功能，可以通过模块的拖动确定每屏功能，灵活适应不同法官的需求，屏幕所占比例支持灵活的拖动变化，适用不同用户的阅读和使用习惯。</w:t>
                  </w:r>
                  <w:r>
                    <w:br/>
                  </w:r>
                  <w:r>
                    <w:rPr>
                      <w:rFonts w:ascii="仿宋_GB2312" w:hAnsi="仿宋_GB2312" w:cs="仿宋_GB2312" w:eastAsia="仿宋_GB2312"/>
                    </w:rPr>
                    <w:t xml:space="preserve"> 9.系统应具备庭审人员模块，通过此模块可查看诉讼参与人的信息，包含诉讼地位、人员姓名、联系电话、证件号码等，同时具备展开和收起庭审视频图像的功能。</w:t>
                  </w:r>
                  <w:r>
                    <w:br/>
                  </w:r>
                  <w:r>
                    <w:rPr>
                      <w:rFonts w:ascii="仿宋_GB2312" w:hAnsi="仿宋_GB2312" w:cs="仿宋_GB2312" w:eastAsia="仿宋_GB2312"/>
                    </w:rPr>
                    <w:t xml:space="preserve"> 10.系统应具备庭审指导功能，可显示审判组织成员并自动生成群组，可通过即时通讯功能辅助加强法官、书记员之间的文字交流。</w:t>
                  </w:r>
                  <w:r>
                    <w:br/>
                  </w:r>
                  <w:r>
                    <w:rPr>
                      <w:rFonts w:ascii="仿宋_GB2312" w:hAnsi="仿宋_GB2312" w:cs="仿宋_GB2312" w:eastAsia="仿宋_GB2312"/>
                    </w:rPr>
                    <w:t xml:space="preserve"> ▲11.系统应具备笔录控制功能，支持授权当事人查看笔录功能，开启后当事人可查看书记员笔录内容。</w:t>
                  </w:r>
                  <w:r>
                    <w:br/>
                  </w:r>
                  <w:r>
                    <w:rPr>
                      <w:rFonts w:ascii="仿宋_GB2312" w:hAnsi="仿宋_GB2312" w:cs="仿宋_GB2312" w:eastAsia="仿宋_GB2312"/>
                    </w:rPr>
                    <w:t xml:space="preserve"> 12.系统在双屏模式下，庭审笔录模块应与其它功能模块进行双屏查看，并支持单屏全屏显示。</w:t>
                  </w:r>
                  <w:r>
                    <w:br/>
                  </w:r>
                  <w:r>
                    <w:rPr>
                      <w:rFonts w:ascii="仿宋_GB2312" w:hAnsi="仿宋_GB2312" w:cs="仿宋_GB2312" w:eastAsia="仿宋_GB2312"/>
                    </w:rPr>
                    <w:t xml:space="preserve"> 13.支持鲲鹏、飞腾、兆芯等国产芯片架构的信创电脑。</w:t>
                  </w:r>
                  <w:r>
                    <w:br/>
                  </w:r>
                  <w:r>
                    <w:rPr>
                      <w:rFonts w:ascii="仿宋_GB2312" w:hAnsi="仿宋_GB2312" w:cs="仿宋_GB2312" w:eastAsia="仿宋_GB2312"/>
                    </w:rPr>
                    <w:t xml:space="preserve"> 二、书记员应用模块</w:t>
                  </w:r>
                  <w:r>
                    <w:br/>
                  </w:r>
                  <w:r>
                    <w:rPr>
                      <w:rFonts w:ascii="仿宋_GB2312" w:hAnsi="仿宋_GB2312" w:cs="仿宋_GB2312" w:eastAsia="仿宋_GB2312"/>
                    </w:rPr>
                    <w:t xml:space="preserve"> 1.系统需支持与法官、当事人系统联动，当书记员系统进入庭审后，法官、当事人系统有相应的状态变化。</w:t>
                  </w:r>
                  <w:r>
                    <w:br/>
                  </w:r>
                  <w:r>
                    <w:rPr>
                      <w:rFonts w:ascii="仿宋_GB2312" w:hAnsi="仿宋_GB2312" w:cs="仿宋_GB2312" w:eastAsia="仿宋_GB2312"/>
                    </w:rPr>
                    <w:t xml:space="preserve"> 2.系统需支持独立登录并具备我的案件、待审排期、庭审直播、庭审点播模块，需支持通过案号、当事人、立案时间、案由、承办人查询案件信息，支持通过案号、开庭时间、开庭地点、开庭状态等信息进行查询待审排期信息。</w:t>
                  </w:r>
                  <w:r>
                    <w:br/>
                  </w:r>
                  <w:r>
                    <w:rPr>
                      <w:rFonts w:ascii="仿宋_GB2312" w:hAnsi="仿宋_GB2312" w:cs="仿宋_GB2312" w:eastAsia="仿宋_GB2312"/>
                    </w:rPr>
                    <w:t xml:space="preserve"> 3.系统需支持在待审排期模块下，对案件排期进行修改、删除等操作，点击案号可直接进入庭审系统页面。</w:t>
                  </w:r>
                  <w:r>
                    <w:br/>
                  </w:r>
                  <w:r>
                    <w:rPr>
                      <w:rFonts w:ascii="仿宋_GB2312" w:hAnsi="仿宋_GB2312" w:cs="仿宋_GB2312" w:eastAsia="仿宋_GB2312"/>
                    </w:rPr>
                    <w:t xml:space="preserve"> 4.系统需支持庭审录像下载、播放视频的功能，下载内容包含庭审复合画面、庭审笔录等内容，能够下载签名笔录支持导出、打印。</w:t>
                  </w:r>
                  <w:r>
                    <w:br/>
                  </w:r>
                  <w:r>
                    <w:rPr>
                      <w:rFonts w:ascii="仿宋_GB2312" w:hAnsi="仿宋_GB2312" w:cs="仿宋_GB2312" w:eastAsia="仿宋_GB2312"/>
                    </w:rPr>
                    <w:t xml:space="preserve"> 5.系统需具备新建案件和新建排期的功能，支持录入临时开庭的案号及案件类型并进行开庭录像。</w:t>
                  </w:r>
                  <w:r>
                    <w:br/>
                  </w:r>
                  <w:r>
                    <w:rPr>
                      <w:rFonts w:ascii="仿宋_GB2312" w:hAnsi="仿宋_GB2312" w:cs="仿宋_GB2312" w:eastAsia="仿宋_GB2312"/>
                    </w:rPr>
                    <w:t xml:space="preserve"> 6.系统需具备合并审理功能，通过选择多个案件进行合并审理。</w:t>
                  </w:r>
                  <w:r>
                    <w:br/>
                  </w:r>
                  <w:r>
                    <w:rPr>
                      <w:rFonts w:ascii="仿宋_GB2312" w:hAnsi="仿宋_GB2312" w:cs="仿宋_GB2312" w:eastAsia="仿宋_GB2312"/>
                    </w:rPr>
                    <w:t xml:space="preserve"> ▲7.系统需支持多种法庭用途，包括：开庭审理、庭询、谈话、宣判、其他、提讯（犯罪嫌疑人）、证据交换、听证等。</w:t>
                  </w:r>
                  <w:r>
                    <w:br/>
                  </w:r>
                  <w:r>
                    <w:rPr>
                      <w:rFonts w:ascii="仿宋_GB2312" w:hAnsi="仿宋_GB2312" w:cs="仿宋_GB2312" w:eastAsia="仿宋_GB2312"/>
                    </w:rPr>
                    <w:t xml:space="preserve"> 8.系统需支持多种开庭方式，包括：本地开庭、远程开庭、互联网开庭、远程+互联网开庭等。</w:t>
                  </w:r>
                  <w:r>
                    <w:br/>
                  </w:r>
                  <w:r>
                    <w:rPr>
                      <w:rFonts w:ascii="仿宋_GB2312" w:hAnsi="仿宋_GB2312" w:cs="仿宋_GB2312" w:eastAsia="仿宋_GB2312"/>
                    </w:rPr>
                    <w:t xml:space="preserve"> 9.系统登录后支持单屏/双屏模式的手动切换，在双屏模式下，屏幕所占比例支持灵活的拖动变化，适用不同用户的阅读和使用习惯。</w:t>
                  </w:r>
                  <w:r>
                    <w:br/>
                  </w:r>
                  <w:r>
                    <w:rPr>
                      <w:rFonts w:ascii="仿宋_GB2312" w:hAnsi="仿宋_GB2312" w:cs="仿宋_GB2312" w:eastAsia="仿宋_GB2312"/>
                    </w:rPr>
                    <w:t xml:space="preserve"> 10.系统应具备语音播报模块，语音播报内容包含法庭纪律、权利义务、权利义务告知等。</w:t>
                  </w:r>
                  <w:r>
                    <w:br/>
                  </w:r>
                  <w:r>
                    <w:rPr>
                      <w:rFonts w:ascii="仿宋_GB2312" w:hAnsi="仿宋_GB2312" w:cs="仿宋_GB2312" w:eastAsia="仿宋_GB2312"/>
                    </w:rPr>
                    <w:t xml:space="preserve"> ▲11.系统应具备到庭提醒功能，在语音播报模块下选择到庭提醒模块，支持自定义呼叫当事人到法庭参与庭审，具备手动输入文字的功能；</w:t>
                  </w:r>
                  <w:r>
                    <w:br/>
                  </w:r>
                  <w:r>
                    <w:rPr>
                      <w:rFonts w:ascii="仿宋_GB2312" w:hAnsi="仿宋_GB2312" w:cs="仿宋_GB2312" w:eastAsia="仿宋_GB2312"/>
                    </w:rPr>
                    <w:t xml:space="preserve"> 12.系统应具备笔录编辑功能，书记员可以编辑笔录，支持将笔录内容同步到法官及当事人客户端，保证法官及当事人对于笔录内容的知情权，发现笔录记录问题可以及时提醒做出修改完善。</w:t>
                  </w:r>
                  <w:r>
                    <w:br/>
                  </w:r>
                  <w:r>
                    <w:rPr>
                      <w:rFonts w:ascii="仿宋_GB2312" w:hAnsi="仿宋_GB2312" w:cs="仿宋_GB2312" w:eastAsia="仿宋_GB2312"/>
                    </w:rPr>
                    <w:t xml:space="preserve"> 13.书记员笔录记录过程中，支持从第一页第一行开始，到最后一页，在每行前边具备行号显示，以同步给当事人进行笔录核对时同步消息，行号显示不得影响排版效果。</w:t>
                  </w:r>
                  <w:r>
                    <w:br/>
                  </w:r>
                  <w:r>
                    <w:rPr>
                      <w:rFonts w:ascii="仿宋_GB2312" w:hAnsi="仿宋_GB2312" w:cs="仿宋_GB2312" w:eastAsia="仿宋_GB2312"/>
                    </w:rPr>
                    <w:t xml:space="preserve"> 14.系统应具备存疑列表展示功能，可以展示当事人对笔录存疑的内容。</w:t>
                  </w:r>
                  <w:r>
                    <w:br/>
                  </w:r>
                  <w:r>
                    <w:rPr>
                      <w:rFonts w:ascii="仿宋_GB2312" w:hAnsi="仿宋_GB2312" w:cs="仿宋_GB2312" w:eastAsia="仿宋_GB2312"/>
                    </w:rPr>
                    <w:t xml:space="preserve"> ▲15.系统应支持快捷入口功功能，可快捷跳转第三方应用界面，第三方应用界面支持内嵌打开和外部打开两种方式，在庭审中随时调用其他应用。</w:t>
                  </w:r>
                  <w:r>
                    <w:br/>
                  </w:r>
                  <w:r>
                    <w:rPr>
                      <w:rFonts w:ascii="仿宋_GB2312" w:hAnsi="仿宋_GB2312" w:cs="仿宋_GB2312" w:eastAsia="仿宋_GB2312"/>
                    </w:rPr>
                    <w:t xml:space="preserve"> ▲16.系统应支持在记录笔录过程中，根据个人习惯对笔录区域进行放大缩小、适合页面、适合宽度、全屏模式、沉浸模式、护眼模式的调整。</w:t>
                  </w:r>
                  <w:r>
                    <w:br/>
                  </w:r>
                  <w:r>
                    <w:rPr>
                      <w:rFonts w:ascii="仿宋_GB2312" w:hAnsi="仿宋_GB2312" w:cs="仿宋_GB2312" w:eastAsia="仿宋_GB2312"/>
                    </w:rPr>
                    <w:t xml:space="preserve"> 三、当事人应用模块</w:t>
                  </w:r>
                  <w:r>
                    <w:br/>
                  </w:r>
                  <w:r>
                    <w:rPr>
                      <w:rFonts w:ascii="仿宋_GB2312" w:hAnsi="仿宋_GB2312" w:cs="仿宋_GB2312" w:eastAsia="仿宋_GB2312"/>
                    </w:rPr>
                    <w:t xml:space="preserve"> 1.系统需支持在未进入庭审前显示法庭纪律的内容，有助于提醒当事人遵守法庭纪律。</w:t>
                  </w:r>
                  <w:r>
                    <w:br/>
                  </w:r>
                  <w:r>
                    <w:rPr>
                      <w:rFonts w:ascii="仿宋_GB2312" w:hAnsi="仿宋_GB2312" w:cs="仿宋_GB2312" w:eastAsia="仿宋_GB2312"/>
                    </w:rPr>
                    <w:t xml:space="preserve"> 2.系统需支持与书记员客户端联动，当书记员系统进入庭审后，当事人系统自动登录的到庭审系统中，避免当事人操作复杂。</w:t>
                  </w:r>
                  <w:r>
                    <w:br/>
                  </w:r>
                  <w:r>
                    <w:rPr>
                      <w:rFonts w:ascii="仿宋_GB2312" w:hAnsi="仿宋_GB2312" w:cs="仿宋_GB2312" w:eastAsia="仿宋_GB2312"/>
                    </w:rPr>
                    <w:t xml:space="preserve"> 3.系统进入后应具备显示案号、开庭状态的信息。</w:t>
                  </w:r>
                  <w:r>
                    <w:br/>
                  </w:r>
                  <w:r>
                    <w:rPr>
                      <w:rFonts w:ascii="仿宋_GB2312" w:hAnsi="仿宋_GB2312" w:cs="仿宋_GB2312" w:eastAsia="仿宋_GB2312"/>
                    </w:rPr>
                    <w:t xml:space="preserve"> 4.系统应支持双屏或单屏全屏显示，支持与书记员客户端联动，能够接收庭审状态通知，如开庭、休庭、以及闭庭的状态。</w:t>
                  </w:r>
                  <w:r>
                    <w:br/>
                  </w:r>
                  <w:r>
                    <w:rPr>
                      <w:rFonts w:ascii="仿宋_GB2312" w:hAnsi="仿宋_GB2312" w:cs="仿宋_GB2312" w:eastAsia="仿宋_GB2312"/>
                    </w:rPr>
                    <w:t xml:space="preserve"> 5.系统应支持默认显示书记员记录的实时笔录内容，可实时同步查看书记员记录笔录的内容，通过法官或书记员端的权限控制，也可以实现自己翻看。</w:t>
                  </w:r>
                  <w:r>
                    <w:br/>
                  </w:r>
                  <w:r>
                    <w:rPr>
                      <w:rFonts w:ascii="仿宋_GB2312" w:hAnsi="仿宋_GB2312" w:cs="仿宋_GB2312" w:eastAsia="仿宋_GB2312"/>
                    </w:rPr>
                    <w:t xml:space="preserve"> 6.当法官认为当事人不应该看到庭审笔录时，可以直接在法官端或者书记员端灵活控制授权当事人查看笔录或者不查看笔录。</w:t>
                  </w:r>
                </w:p>
                <w:p>
                  <w:pPr>
                    <w:pStyle w:val="null3"/>
                  </w:pPr>
                  <w:r>
                    <w:rPr>
                      <w:rFonts w:ascii="仿宋_GB2312" w:hAnsi="仿宋_GB2312" w:cs="仿宋_GB2312" w:eastAsia="仿宋_GB2312"/>
                    </w:rPr>
                    <w:t>7.系统应支持对书记员记录的笔录内容进行存疑标记，可以选择笔录内容进行存疑标记。</w:t>
                  </w:r>
                </w:p>
              </w:tc>
              <w:tc>
                <w:tcPr>
                  <w:tcW w:type="dxa" w:w="581"/>
                </w:tcPr>
                <w:p>
                  <w:pPr>
                    <w:pStyle w:val="null3"/>
                    <w:jc w:val="center"/>
                  </w:pPr>
                  <w:r>
                    <w:rPr>
                      <w:rFonts w:ascii="仿宋_GB2312" w:hAnsi="仿宋_GB2312" w:cs="仿宋_GB2312" w:eastAsia="仿宋_GB2312"/>
                    </w:rPr>
                    <w:t>7</w:t>
                  </w:r>
                </w:p>
              </w:tc>
              <w:tc>
                <w:tcPr>
                  <w:tcW w:type="dxa" w:w="229"/>
                </w:tcPr>
                <w:p>
                  <w:pPr>
                    <w:pStyle w:val="null3"/>
                    <w:jc w:val="center"/>
                  </w:pPr>
                  <w:r>
                    <w:rPr>
                      <w:rFonts w:ascii="仿宋_GB2312" w:hAnsi="仿宋_GB2312" w:cs="仿宋_GB2312" w:eastAsia="仿宋_GB2312"/>
                    </w:rPr>
                    <w:t>套</w:t>
                  </w:r>
                </w:p>
              </w:tc>
            </w:tr>
            <w:tr>
              <w:tc>
                <w:tcPr>
                  <w:tcW w:type="dxa" w:w="581"/>
                </w:tcPr>
                <w:p>
                  <w:pPr>
                    <w:pStyle w:val="null3"/>
                    <w:jc w:val="center"/>
                  </w:pPr>
                  <w:r>
                    <w:rPr>
                      <w:rFonts w:ascii="仿宋_GB2312" w:hAnsi="仿宋_GB2312" w:cs="仿宋_GB2312" w:eastAsia="仿宋_GB2312"/>
                    </w:rPr>
                    <w:t>4</w:t>
                  </w:r>
                </w:p>
              </w:tc>
              <w:tc>
                <w:tcPr>
                  <w:tcW w:type="dxa" w:w="581"/>
                </w:tcPr>
                <w:p>
                  <w:pPr>
                    <w:pStyle w:val="null3"/>
                  </w:pPr>
                  <w:r>
                    <w:rPr>
                      <w:rFonts w:ascii="仿宋_GB2312" w:hAnsi="仿宋_GB2312" w:cs="仿宋_GB2312" w:eastAsia="仿宋_GB2312"/>
                    </w:rPr>
                    <w:t>书记员办公系统</w:t>
                  </w:r>
                </w:p>
              </w:tc>
              <w:tc>
                <w:tcPr>
                  <w:tcW w:type="dxa" w:w="581"/>
                </w:tcPr>
                <w:p>
                  <w:pPr>
                    <w:pStyle w:val="null3"/>
                  </w:pPr>
                  <w:r>
                    <w:rPr>
                      <w:rFonts w:ascii="仿宋_GB2312" w:hAnsi="仿宋_GB2312" w:cs="仿宋_GB2312" w:eastAsia="仿宋_GB2312"/>
                    </w:rPr>
                    <w:t>1.设备适配部署服务：提供国产台式终端专属部署调试服务，包含设备整机适配调试、环境兼容部署、业务场景适配优化，确保设备适配政务、庭审等办公场景常态化稳定运行，交付前完成全功能调试验收。</w:t>
                  </w:r>
                  <w:r>
                    <w:br/>
                  </w:r>
                  <w:r>
                    <w:rPr>
                      <w:rFonts w:ascii="仿宋_GB2312" w:hAnsi="仿宋_GB2312" w:cs="仿宋_GB2312" w:eastAsia="仿宋_GB2312"/>
                    </w:rPr>
                    <w:t xml:space="preserve"> 2.核心性能优化保障服务：提供终端算力调度、多任务运行专项优化服务，针对设备核心运行性能进行专项调优，保障多程序、多业务平台并发运行稳定。</w:t>
                  </w:r>
                  <w:r>
                    <w:br/>
                  </w:r>
                  <w:r>
                    <w:rPr>
                      <w:rFonts w:ascii="仿宋_GB2312" w:hAnsi="仿宋_GB2312" w:cs="仿宋_GB2312" w:eastAsia="仿宋_GB2312"/>
                    </w:rPr>
                    <w:t xml:space="preserve"> 3.硬件适配调试服务：提供主板总线、硬件协同适配调试服务，针对终端各硬件组件联动运行进行优化调试，排查硬件兼容隐患，保障设备整体运行稳定性。</w:t>
                  </w:r>
                  <w:r>
                    <w:br/>
                  </w:r>
                  <w:r>
                    <w:rPr>
                      <w:rFonts w:ascii="仿宋_GB2312" w:hAnsi="仿宋_GB2312" w:cs="仿宋_GB2312" w:eastAsia="仿宋_GB2312"/>
                    </w:rPr>
                    <w:t xml:space="preserve"> 4.内存运维优化服务：提供内存资源调度、扩容适配、运行纠错专项运维服务，支持内存扩展适配调试、动态资源优化、运行故障排查，保障设备内存高效稳定运行。</w:t>
                  </w:r>
                  <w:r>
                    <w:br/>
                  </w:r>
                  <w:r>
                    <w:rPr>
                      <w:rFonts w:ascii="仿宋_GB2312" w:hAnsi="仿宋_GB2312" w:cs="仿宋_GB2312" w:eastAsia="仿宋_GB2312"/>
                    </w:rPr>
                    <w:t xml:space="preserve"> 5.存储运维保障服务：提供固态硬盘读写优化、碎片整理、数据安全管理、硬盘扩容适配服务，支持数据迁移、分区管理、存储故障排查，保障业务数据安全存储。</w:t>
                  </w:r>
                  <w:r>
                    <w:br/>
                  </w:r>
                  <w:r>
                    <w:rPr>
                      <w:rFonts w:ascii="仿宋_GB2312" w:hAnsi="仿宋_GB2312" w:cs="仿宋_GB2312" w:eastAsia="仿宋_GB2312"/>
                    </w:rPr>
                    <w:t xml:space="preserve"> 6.显示输出调试服务：提供视频输出适配、多显示模式调试、外接显示设备适配服务，解决画面异常、适配不兼容等问题，满足办公投屏、画面输出使用需求。</w:t>
                  </w:r>
                  <w:r>
                    <w:br/>
                  </w:r>
                  <w:r>
                    <w:rPr>
                      <w:rFonts w:ascii="仿宋_GB2312" w:hAnsi="仿宋_GB2312" w:cs="仿宋_GB2312" w:eastAsia="仿宋_GB2312"/>
                    </w:rPr>
                    <w:t xml:space="preserve"> 7.音频降噪优化服务：提供语音通话、音频采集专项调试优化服务，针对办公通话、线上会议、语音采集场景进行音质优化，有效消除环境噪音，保障语音清晰。</w:t>
                  </w:r>
                  <w:r>
                    <w:br/>
                  </w:r>
                  <w:r>
                    <w:rPr>
                      <w:rFonts w:ascii="仿宋_GB2312" w:hAnsi="仿宋_GB2312" w:cs="仿宋_GB2312" w:eastAsia="仿宋_GB2312"/>
                    </w:rPr>
                    <w:t xml:space="preserve"> 8.网络运维保障服务：提供千兆网络适配调试、网络稳定性优化、断线重连、网络故障排查运维服务，保障办公专网、公网持续稳定互联互通。</w:t>
                  </w:r>
                  <w:r>
                    <w:br/>
                  </w:r>
                  <w:r>
                    <w:rPr>
                      <w:rFonts w:ascii="仿宋_GB2312" w:hAnsi="仿宋_GB2312" w:cs="仿宋_GB2312" w:eastAsia="仿宋_GB2312"/>
                    </w:rPr>
                    <w:t xml:space="preserve"> 9.设备扩容适配服务：提供PCIe、M.2扩展设备适配调试、扩容安装、兼容优化服务，支持各类拓展外设安装部署、调试运维，保障扩展设备正常使用。</w:t>
                  </w:r>
                  <w:r>
                    <w:br/>
                  </w:r>
                  <w:r>
                    <w:rPr>
                      <w:rFonts w:ascii="仿宋_GB2312" w:hAnsi="仿宋_GB2312" w:cs="仿宋_GB2312" w:eastAsia="仿宋_GB2312"/>
                    </w:rPr>
                    <w:t xml:space="preserve"> 10.外设运维服务：提供USB设备、串口设备等各类办公外设接入适配、故障排查、热插拔调试运维服务，解决外设接入异常、设备不识别等问题。</w:t>
                  </w:r>
                  <w:r>
                    <w:br/>
                  </w:r>
                  <w:r>
                    <w:rPr>
                      <w:rFonts w:ascii="仿宋_GB2312" w:hAnsi="仿宋_GB2312" w:cs="仿宋_GB2312" w:eastAsia="仿宋_GB2312"/>
                    </w:rPr>
                    <w:t xml:space="preserve"> 11.输入设备运维服务：提供键盘、鼠标输入设备调试、故障检修、灵敏度优化服务，保障输入设备长期稳定使用，无输入故障、操作异常问题。</w:t>
                  </w:r>
                  <w:r>
                    <w:br/>
                  </w:r>
                  <w:r>
                    <w:rPr>
                      <w:rFonts w:ascii="仿宋_GB2312" w:hAnsi="仿宋_GB2312" w:cs="仿宋_GB2312" w:eastAsia="仿宋_GB2312"/>
                    </w:rPr>
                    <w:t xml:space="preserve"> 12.数据安全防护服务：提供设备断电保护专项运维保障服务，针对断电关机、数据留存进行专项优化防护，突发断电场景下保障系统正常关机、业务数据不丢失，降低设备故障风险。</w:t>
                  </w:r>
                  <w:r>
                    <w:br/>
                  </w:r>
                  <w:r>
                    <w:rPr>
                      <w:rFonts w:ascii="仿宋_GB2312" w:hAnsi="仿宋_GB2312" w:cs="仿宋_GB2312" w:eastAsia="仿宋_GB2312"/>
                    </w:rPr>
                    <w:t xml:space="preserve"> 13.固件安全运维服务：提供国产固件安全校验、底层安全加固、启动安全防护运维服务，定期开展固件安全检测、漏洞修复，满足国产化安全管控要求。</w:t>
                  </w:r>
                  <w:r>
                    <w:br/>
                  </w:r>
                  <w:r>
                    <w:rPr>
                      <w:rFonts w:ascii="仿宋_GB2312" w:hAnsi="仿宋_GB2312" w:cs="仿宋_GB2312" w:eastAsia="仿宋_GB2312"/>
                    </w:rPr>
                    <w:t xml:space="preserve"> 14.设备功耗散热运维服务：提供机箱设备散热、功耗管控专项优化运维服务，适配小型设备运行场景，规避高温、功耗异常导致的设备故障。</w:t>
                  </w:r>
                  <w:r>
                    <w:br/>
                  </w:r>
                  <w:r>
                    <w:rPr>
                      <w:rFonts w:ascii="仿宋_GB2312" w:hAnsi="仿宋_GB2312" w:cs="仿宋_GB2312" w:eastAsia="仿宋_GB2312"/>
                    </w:rPr>
                    <w:t xml:space="preserve"> 15.系统适配运维服务：提供国产操作系统、Windows操作系统双系统适配调试、系统优化、兼容运维服务，解决系统运行卡顿、软件不兼容、系统故障等问题。</w:t>
                  </w:r>
                  <w:r>
                    <w:br/>
                  </w:r>
                  <w:r>
                    <w:rPr>
                      <w:rFonts w:ascii="仿宋_GB2312" w:hAnsi="仿宋_GB2312" w:cs="仿宋_GB2312" w:eastAsia="仿宋_GB2312"/>
                    </w:rPr>
                    <w:t xml:space="preserve"> 16.显示设备运维服务：提供高清显示器专属调试、画质优化、分辨率及刷新率适配、多接口信号调试服务，保障显示设备高清流畅运行。</w:t>
                  </w:r>
                </w:p>
              </w:tc>
              <w:tc>
                <w:tcPr>
                  <w:tcW w:type="dxa" w:w="581"/>
                </w:tcPr>
                <w:p>
                  <w:pPr>
                    <w:pStyle w:val="null3"/>
                    <w:jc w:val="center"/>
                  </w:pPr>
                  <w:r>
                    <w:rPr>
                      <w:rFonts w:ascii="仿宋_GB2312" w:hAnsi="仿宋_GB2312" w:cs="仿宋_GB2312" w:eastAsia="仿宋_GB2312"/>
                    </w:rPr>
                    <w:t>7</w:t>
                  </w:r>
                </w:p>
              </w:tc>
              <w:tc>
                <w:tcPr>
                  <w:tcW w:type="dxa" w:w="229"/>
                </w:tcPr>
                <w:p>
                  <w:pPr>
                    <w:pStyle w:val="null3"/>
                    <w:jc w:val="center"/>
                  </w:pPr>
                  <w:r>
                    <w:rPr>
                      <w:rFonts w:ascii="仿宋_GB2312" w:hAnsi="仿宋_GB2312" w:cs="仿宋_GB2312" w:eastAsia="仿宋_GB2312"/>
                    </w:rPr>
                    <w:t>套</w:t>
                  </w:r>
                </w:p>
              </w:tc>
            </w:tr>
            <w:tr>
              <w:tc>
                <w:tcPr>
                  <w:tcW w:type="dxa" w:w="581"/>
                </w:tcPr>
                <w:p>
                  <w:pPr>
                    <w:pStyle w:val="null3"/>
                    <w:jc w:val="center"/>
                  </w:pPr>
                  <w:r>
                    <w:rPr>
                      <w:rFonts w:ascii="仿宋_GB2312" w:hAnsi="仿宋_GB2312" w:cs="仿宋_GB2312" w:eastAsia="仿宋_GB2312"/>
                    </w:rPr>
                    <w:t>5</w:t>
                  </w:r>
                </w:p>
              </w:tc>
              <w:tc>
                <w:tcPr>
                  <w:tcW w:type="dxa" w:w="581"/>
                </w:tcPr>
                <w:p>
                  <w:pPr>
                    <w:pStyle w:val="null3"/>
                  </w:pPr>
                  <w:r>
                    <w:rPr>
                      <w:rFonts w:ascii="仿宋_GB2312" w:hAnsi="仿宋_GB2312" w:cs="仿宋_GB2312" w:eastAsia="仿宋_GB2312"/>
                    </w:rPr>
                    <w:t>设备控制管理系统</w:t>
                  </w:r>
                </w:p>
              </w:tc>
              <w:tc>
                <w:tcPr>
                  <w:tcW w:type="dxa" w:w="581"/>
                </w:tcPr>
                <w:p>
                  <w:pPr>
                    <w:pStyle w:val="null3"/>
                  </w:pPr>
                  <w:r>
                    <w:rPr>
                      <w:rFonts w:ascii="仿宋_GB2312" w:hAnsi="仿宋_GB2312" w:cs="仿宋_GB2312" w:eastAsia="仿宋_GB2312"/>
                    </w:rPr>
                    <w:t>8路电源开关控制器，用于控制外设供电电源。与配合可编程媒体控制系统或由第三方控制单独使用。支持单独时序控制，单路容量达AC/~250V/10A；内置光电隔离模块，可保障负载和主机安全。</w:t>
                  </w:r>
                </w:p>
              </w:tc>
              <w:tc>
                <w:tcPr>
                  <w:tcW w:type="dxa" w:w="581"/>
                </w:tcPr>
                <w:p>
                  <w:pPr>
                    <w:pStyle w:val="null3"/>
                    <w:jc w:val="center"/>
                  </w:pPr>
                  <w:r>
                    <w:rPr>
                      <w:rFonts w:ascii="仿宋_GB2312" w:hAnsi="仿宋_GB2312" w:cs="仿宋_GB2312" w:eastAsia="仿宋_GB2312"/>
                    </w:rPr>
                    <w:t>7</w:t>
                  </w:r>
                </w:p>
              </w:tc>
              <w:tc>
                <w:tcPr>
                  <w:tcW w:type="dxa" w:w="229"/>
                </w:tcPr>
                <w:p>
                  <w:pPr>
                    <w:pStyle w:val="null3"/>
                    <w:jc w:val="center"/>
                  </w:pPr>
                  <w:r>
                    <w:rPr>
                      <w:rFonts w:ascii="仿宋_GB2312" w:hAnsi="仿宋_GB2312" w:cs="仿宋_GB2312" w:eastAsia="仿宋_GB2312"/>
                    </w:rPr>
                    <w:t>台</w:t>
                  </w:r>
                </w:p>
              </w:tc>
            </w:tr>
            <w:tr>
              <w:tc>
                <w:tcPr>
                  <w:tcW w:type="dxa" w:w="581"/>
                </w:tcPr>
                <w:p>
                  <w:pPr>
                    <w:pStyle w:val="null3"/>
                    <w:jc w:val="center"/>
                  </w:pPr>
                  <w:r>
                    <w:rPr>
                      <w:rFonts w:ascii="仿宋_GB2312" w:hAnsi="仿宋_GB2312" w:cs="仿宋_GB2312" w:eastAsia="仿宋_GB2312"/>
                    </w:rPr>
                    <w:t>6</w:t>
                  </w:r>
                </w:p>
              </w:tc>
              <w:tc>
                <w:tcPr>
                  <w:tcW w:type="dxa" w:w="581"/>
                </w:tcPr>
                <w:p>
                  <w:pPr>
                    <w:pStyle w:val="null3"/>
                  </w:pPr>
                  <w:r>
                    <w:rPr>
                      <w:rFonts w:ascii="仿宋_GB2312" w:hAnsi="仿宋_GB2312" w:cs="仿宋_GB2312" w:eastAsia="仿宋_GB2312"/>
                    </w:rPr>
                    <w:t>可编程面板</w:t>
                  </w:r>
                </w:p>
              </w:tc>
              <w:tc>
                <w:tcPr>
                  <w:tcW w:type="dxa" w:w="581"/>
                </w:tcPr>
                <w:p>
                  <w:pPr>
                    <w:pStyle w:val="null3"/>
                  </w:pPr>
                  <w:r>
                    <w:rPr>
                      <w:rFonts w:ascii="仿宋_GB2312" w:hAnsi="仿宋_GB2312" w:cs="仿宋_GB2312" w:eastAsia="仿宋_GB2312"/>
                    </w:rPr>
                    <w:t>16键可编程输入控制面板，按键功能可自定义，与庭审主机系统配合使用，含面板底座。</w:t>
                  </w:r>
                </w:p>
              </w:tc>
              <w:tc>
                <w:tcPr>
                  <w:tcW w:type="dxa" w:w="581"/>
                </w:tcPr>
                <w:p>
                  <w:pPr>
                    <w:pStyle w:val="null3"/>
                    <w:jc w:val="center"/>
                  </w:pPr>
                  <w:r>
                    <w:rPr>
                      <w:rFonts w:ascii="仿宋_GB2312" w:hAnsi="仿宋_GB2312" w:cs="仿宋_GB2312" w:eastAsia="仿宋_GB2312"/>
                    </w:rPr>
                    <w:t>7</w:t>
                  </w:r>
                </w:p>
              </w:tc>
              <w:tc>
                <w:tcPr>
                  <w:tcW w:type="dxa" w:w="229"/>
                </w:tcPr>
                <w:p>
                  <w:pPr>
                    <w:pStyle w:val="null3"/>
                    <w:jc w:val="center"/>
                  </w:pPr>
                  <w:r>
                    <w:rPr>
                      <w:rFonts w:ascii="仿宋_GB2312" w:hAnsi="仿宋_GB2312" w:cs="仿宋_GB2312" w:eastAsia="仿宋_GB2312"/>
                    </w:rPr>
                    <w:t>项</w:t>
                  </w:r>
                </w:p>
              </w:tc>
            </w:tr>
            <w:tr>
              <w:tc>
                <w:tcPr>
                  <w:tcW w:type="dxa" w:w="581"/>
                </w:tcPr>
                <w:p>
                  <w:pPr>
                    <w:pStyle w:val="null3"/>
                    <w:jc w:val="center"/>
                  </w:pPr>
                  <w:r>
                    <w:rPr>
                      <w:rFonts w:ascii="仿宋_GB2312" w:hAnsi="仿宋_GB2312" w:cs="仿宋_GB2312" w:eastAsia="仿宋_GB2312"/>
                    </w:rPr>
                    <w:t>7</w:t>
                  </w:r>
                </w:p>
              </w:tc>
              <w:tc>
                <w:tcPr>
                  <w:tcW w:type="dxa" w:w="581"/>
                </w:tcPr>
                <w:p>
                  <w:pPr>
                    <w:pStyle w:val="null3"/>
                  </w:pPr>
                  <w:r>
                    <w:rPr>
                      <w:rFonts w:ascii="仿宋_GB2312" w:hAnsi="仿宋_GB2312" w:cs="仿宋_GB2312" w:eastAsia="仿宋_GB2312"/>
                    </w:rPr>
                    <w:t>庭审发言话筒</w:t>
                  </w:r>
                </w:p>
              </w:tc>
              <w:tc>
                <w:tcPr>
                  <w:tcW w:type="dxa" w:w="581"/>
                </w:tcPr>
                <w:p>
                  <w:pPr>
                    <w:pStyle w:val="null3"/>
                  </w:pPr>
                  <w:r>
                    <w:rPr>
                      <w:rFonts w:ascii="仿宋_GB2312" w:hAnsi="仿宋_GB2312" w:cs="仿宋_GB2312" w:eastAsia="仿宋_GB2312"/>
                    </w:rPr>
                    <w:t>1.抗RF射频干扰，减少手机等信号对会议的影响；</w:t>
                  </w:r>
                  <w:r>
                    <w:br/>
                  </w:r>
                  <w:r>
                    <w:rPr>
                      <w:rFonts w:ascii="仿宋_GB2312" w:hAnsi="仿宋_GB2312" w:cs="仿宋_GB2312" w:eastAsia="仿宋_GB2312"/>
                    </w:rPr>
                    <w:t xml:space="preserve"> 2.音质清晰自然，灵敏度高，拾音效果佳；</w:t>
                  </w:r>
                  <w:r>
                    <w:br/>
                  </w:r>
                  <w:r>
                    <w:rPr>
                      <w:rFonts w:ascii="仿宋_GB2312" w:hAnsi="仿宋_GB2312" w:cs="仿宋_GB2312" w:eastAsia="仿宋_GB2312"/>
                    </w:rPr>
                    <w:t xml:space="preserve"> 3.换能方式：电容式；</w:t>
                  </w:r>
                  <w:r>
                    <w:br/>
                  </w:r>
                  <w:r>
                    <w:rPr>
                      <w:rFonts w:ascii="仿宋_GB2312" w:hAnsi="仿宋_GB2312" w:cs="仿宋_GB2312" w:eastAsia="仿宋_GB2312"/>
                    </w:rPr>
                    <w:t xml:space="preserve"> 4.收音角度：90度；</w:t>
                  </w:r>
                  <w:r>
                    <w:br/>
                  </w:r>
                  <w:r>
                    <w:rPr>
                      <w:rFonts w:ascii="仿宋_GB2312" w:hAnsi="仿宋_GB2312" w:cs="仿宋_GB2312" w:eastAsia="仿宋_GB2312"/>
                    </w:rPr>
                    <w:t xml:space="preserve"> 5.信噪比：不低于 68dB（测试条件：1KHz）；</w:t>
                  </w:r>
                  <w:r>
                    <w:br/>
                  </w:r>
                  <w:r>
                    <w:rPr>
                      <w:rFonts w:ascii="仿宋_GB2312" w:hAnsi="仿宋_GB2312" w:cs="仿宋_GB2312" w:eastAsia="仿宋_GB2312"/>
                    </w:rPr>
                    <w:t xml:space="preserve"> 6.收音头：配备固定式充电背板；</w:t>
                  </w:r>
                  <w:r>
                    <w:br/>
                  </w:r>
                  <w:r>
                    <w:rPr>
                      <w:rFonts w:ascii="仿宋_GB2312" w:hAnsi="仿宋_GB2312" w:cs="仿宋_GB2312" w:eastAsia="仿宋_GB2312"/>
                    </w:rPr>
                    <w:t xml:space="preserve"> 7.频率响应：30-20KHz；</w:t>
                  </w:r>
                  <w:r>
                    <w:br/>
                  </w:r>
                  <w:r>
                    <w:rPr>
                      <w:rFonts w:ascii="仿宋_GB2312" w:hAnsi="仿宋_GB2312" w:cs="仿宋_GB2312" w:eastAsia="仿宋_GB2312"/>
                    </w:rPr>
                    <w:t xml:space="preserve"> 8.灵敏度：-35dB；</w:t>
                  </w:r>
                  <w:r>
                    <w:br/>
                  </w:r>
                  <w:r>
                    <w:rPr>
                      <w:rFonts w:ascii="仿宋_GB2312" w:hAnsi="仿宋_GB2312" w:cs="仿宋_GB2312" w:eastAsia="仿宋_GB2312"/>
                    </w:rPr>
                    <w:t xml:space="preserve"> 9.阻抗：250Ω；</w:t>
                  </w:r>
                  <w:r>
                    <w:br/>
                  </w:r>
                  <w:r>
                    <w:rPr>
                      <w:rFonts w:ascii="仿宋_GB2312" w:hAnsi="仿宋_GB2312" w:cs="仿宋_GB2312" w:eastAsia="仿宋_GB2312"/>
                    </w:rPr>
                    <w:t xml:space="preserve"> 10.指向特性：超指向性工作电压：2只AAA碱性电池或幻像6v-48v；</w:t>
                  </w:r>
                </w:p>
              </w:tc>
              <w:tc>
                <w:tcPr>
                  <w:tcW w:type="dxa" w:w="581"/>
                </w:tcPr>
                <w:p>
                  <w:pPr>
                    <w:pStyle w:val="null3"/>
                    <w:jc w:val="center"/>
                  </w:pPr>
                  <w:r>
                    <w:rPr>
                      <w:rFonts w:ascii="仿宋_GB2312" w:hAnsi="仿宋_GB2312" w:cs="仿宋_GB2312" w:eastAsia="仿宋_GB2312"/>
                    </w:rPr>
                    <w:t>42</w:t>
                  </w:r>
                </w:p>
              </w:tc>
              <w:tc>
                <w:tcPr>
                  <w:tcW w:type="dxa" w:w="229"/>
                </w:tcPr>
                <w:p>
                  <w:pPr>
                    <w:pStyle w:val="null3"/>
                    <w:jc w:val="center"/>
                  </w:pPr>
                  <w:r>
                    <w:rPr>
                      <w:rFonts w:ascii="仿宋_GB2312" w:hAnsi="仿宋_GB2312" w:cs="仿宋_GB2312" w:eastAsia="仿宋_GB2312"/>
                    </w:rPr>
                    <w:t>支</w:t>
                  </w:r>
                </w:p>
              </w:tc>
            </w:tr>
            <w:tr>
              <w:tc>
                <w:tcPr>
                  <w:tcW w:type="dxa" w:w="581"/>
                </w:tcPr>
                <w:p>
                  <w:pPr>
                    <w:pStyle w:val="null3"/>
                    <w:jc w:val="center"/>
                  </w:pPr>
                  <w:r>
                    <w:rPr>
                      <w:rFonts w:ascii="仿宋_GB2312" w:hAnsi="仿宋_GB2312" w:cs="仿宋_GB2312" w:eastAsia="仿宋_GB2312"/>
                    </w:rPr>
                    <w:t>8</w:t>
                  </w:r>
                </w:p>
              </w:tc>
              <w:tc>
                <w:tcPr>
                  <w:tcW w:type="dxa" w:w="581"/>
                </w:tcPr>
                <w:p>
                  <w:pPr>
                    <w:pStyle w:val="null3"/>
                  </w:pPr>
                  <w:r>
                    <w:rPr>
                      <w:rFonts w:ascii="仿宋_GB2312" w:hAnsi="仿宋_GB2312" w:cs="仿宋_GB2312" w:eastAsia="仿宋_GB2312"/>
                    </w:rPr>
                    <w:t>法庭音频功放</w:t>
                  </w:r>
                </w:p>
              </w:tc>
              <w:tc>
                <w:tcPr>
                  <w:tcW w:type="dxa" w:w="581"/>
                </w:tcPr>
                <w:p>
                  <w:pPr>
                    <w:pStyle w:val="null3"/>
                  </w:pPr>
                  <w:r>
                    <w:rPr>
                      <w:rFonts w:ascii="仿宋_GB2312" w:hAnsi="仿宋_GB2312" w:cs="仿宋_GB2312" w:eastAsia="仿宋_GB2312"/>
                    </w:rPr>
                    <w:t>1.8Ω立体声功率≥100W×2；</w:t>
                  </w:r>
                  <w:r>
                    <w:br/>
                  </w:r>
                  <w:r>
                    <w:rPr>
                      <w:rFonts w:ascii="仿宋_GB2312" w:hAnsi="仿宋_GB2312" w:cs="仿宋_GB2312" w:eastAsia="仿宋_GB2312"/>
                    </w:rPr>
                    <w:t xml:space="preserve"> 2.4Ω立体声功率≥150W×2；</w:t>
                  </w:r>
                  <w:r>
                    <w:br/>
                  </w:r>
                  <w:r>
                    <w:rPr>
                      <w:rFonts w:ascii="仿宋_GB2312" w:hAnsi="仿宋_GB2312" w:cs="仿宋_GB2312" w:eastAsia="仿宋_GB2312"/>
                    </w:rPr>
                    <w:t xml:space="preserve"> 3.8Ω桥接单声道功率≥300W；</w:t>
                  </w:r>
                  <w:r>
                    <w:br/>
                  </w:r>
                  <w:r>
                    <w:rPr>
                      <w:rFonts w:ascii="仿宋_GB2312" w:hAnsi="仿宋_GB2312" w:cs="仿宋_GB2312" w:eastAsia="仿宋_GB2312"/>
                    </w:rPr>
                    <w:t xml:space="preserve"> 4.频响范围20Hz-20KHz+/-1dB；</w:t>
                  </w:r>
                  <w:r>
                    <w:br/>
                  </w:r>
                  <w:r>
                    <w:rPr>
                      <w:rFonts w:ascii="仿宋_GB2312" w:hAnsi="仿宋_GB2312" w:cs="仿宋_GB2312" w:eastAsia="仿宋_GB2312"/>
                    </w:rPr>
                    <w:t xml:space="preserve"> 5.总谐波失真THD&lt;0.5%；</w:t>
                  </w:r>
                  <w:r>
                    <w:br/>
                  </w:r>
                  <w:r>
                    <w:rPr>
                      <w:rFonts w:ascii="仿宋_GB2312" w:hAnsi="仿宋_GB2312" w:cs="仿宋_GB2312" w:eastAsia="仿宋_GB2312"/>
                    </w:rPr>
                    <w:t xml:space="preserve"> 6.输入灵敏度：0dB(775mV)；</w:t>
                  </w:r>
                  <w:r>
                    <w:br/>
                  </w:r>
                  <w:r>
                    <w:rPr>
                      <w:rFonts w:ascii="仿宋_GB2312" w:hAnsi="仿宋_GB2312" w:cs="仿宋_GB2312" w:eastAsia="仿宋_GB2312"/>
                    </w:rPr>
                    <w:t xml:space="preserve"> 7.信噪比≥93dB；</w:t>
                  </w:r>
                  <w:r>
                    <w:br/>
                  </w:r>
                  <w:r>
                    <w:rPr>
                      <w:rFonts w:ascii="仿宋_GB2312" w:hAnsi="仿宋_GB2312" w:cs="仿宋_GB2312" w:eastAsia="仿宋_GB2312"/>
                    </w:rPr>
                    <w:t xml:space="preserve"> 8.转换速率60V/us；</w:t>
                  </w:r>
                  <w:r>
                    <w:br/>
                  </w:r>
                  <w:r>
                    <w:rPr>
                      <w:rFonts w:ascii="仿宋_GB2312" w:hAnsi="仿宋_GB2312" w:cs="仿宋_GB2312" w:eastAsia="仿宋_GB2312"/>
                    </w:rPr>
                    <w:t xml:space="preserve"> 9.输入阻抗20KΩ(平衡)/10KΩ(不平衡)；</w:t>
                  </w:r>
                </w:p>
              </w:tc>
              <w:tc>
                <w:tcPr>
                  <w:tcW w:type="dxa" w:w="581"/>
                </w:tcPr>
                <w:p>
                  <w:pPr>
                    <w:pStyle w:val="null3"/>
                    <w:jc w:val="center"/>
                  </w:pPr>
                  <w:r>
                    <w:rPr>
                      <w:rFonts w:ascii="仿宋_GB2312" w:hAnsi="仿宋_GB2312" w:cs="仿宋_GB2312" w:eastAsia="仿宋_GB2312"/>
                    </w:rPr>
                    <w:t>7</w:t>
                  </w:r>
                </w:p>
              </w:tc>
              <w:tc>
                <w:tcPr>
                  <w:tcW w:type="dxa" w:w="229"/>
                </w:tcPr>
                <w:p>
                  <w:pPr>
                    <w:pStyle w:val="null3"/>
                    <w:jc w:val="center"/>
                  </w:pPr>
                  <w:r>
                    <w:rPr>
                      <w:rFonts w:ascii="仿宋_GB2312" w:hAnsi="仿宋_GB2312" w:cs="仿宋_GB2312" w:eastAsia="仿宋_GB2312"/>
                    </w:rPr>
                    <w:t>台</w:t>
                  </w:r>
                </w:p>
              </w:tc>
            </w:tr>
            <w:tr>
              <w:tc>
                <w:tcPr>
                  <w:tcW w:type="dxa" w:w="581"/>
                </w:tcPr>
                <w:p>
                  <w:pPr>
                    <w:pStyle w:val="null3"/>
                    <w:jc w:val="center"/>
                  </w:pPr>
                  <w:r>
                    <w:rPr>
                      <w:rFonts w:ascii="仿宋_GB2312" w:hAnsi="仿宋_GB2312" w:cs="仿宋_GB2312" w:eastAsia="仿宋_GB2312"/>
                    </w:rPr>
                    <w:t>9</w:t>
                  </w:r>
                </w:p>
              </w:tc>
              <w:tc>
                <w:tcPr>
                  <w:tcW w:type="dxa" w:w="581"/>
                </w:tcPr>
                <w:p>
                  <w:pPr>
                    <w:pStyle w:val="null3"/>
                  </w:pPr>
                  <w:r>
                    <w:rPr>
                      <w:rFonts w:ascii="仿宋_GB2312" w:hAnsi="仿宋_GB2312" w:cs="仿宋_GB2312" w:eastAsia="仿宋_GB2312"/>
                    </w:rPr>
                    <w:t>法庭音箱</w:t>
                  </w:r>
                </w:p>
              </w:tc>
              <w:tc>
                <w:tcPr>
                  <w:tcW w:type="dxa" w:w="581"/>
                </w:tcPr>
                <w:p>
                  <w:pPr>
                    <w:pStyle w:val="null3"/>
                  </w:pPr>
                  <w:r>
                    <w:rPr>
                      <w:rFonts w:ascii="仿宋_GB2312" w:hAnsi="仿宋_GB2312" w:cs="仿宋_GB2312" w:eastAsia="仿宋_GB2312"/>
                    </w:rPr>
                    <w:t>1.额定功率：≥80W；</w:t>
                  </w:r>
                  <w:r>
                    <w:br/>
                  </w:r>
                  <w:r>
                    <w:rPr>
                      <w:rFonts w:ascii="仿宋_GB2312" w:hAnsi="仿宋_GB2312" w:cs="仿宋_GB2312" w:eastAsia="仿宋_GB2312"/>
                    </w:rPr>
                    <w:t xml:space="preserve"> 2.阻抗：8Ω；</w:t>
                  </w:r>
                  <w:r>
                    <w:br/>
                  </w:r>
                  <w:r>
                    <w:rPr>
                      <w:rFonts w:ascii="仿宋_GB2312" w:hAnsi="仿宋_GB2312" w:cs="仿宋_GB2312" w:eastAsia="仿宋_GB2312"/>
                    </w:rPr>
                    <w:t xml:space="preserve"> 3.灵敏度：≥89dB；</w:t>
                  </w:r>
                  <w:r>
                    <w:br/>
                  </w:r>
                  <w:r>
                    <w:rPr>
                      <w:rFonts w:ascii="仿宋_GB2312" w:hAnsi="仿宋_GB2312" w:cs="仿宋_GB2312" w:eastAsia="仿宋_GB2312"/>
                    </w:rPr>
                    <w:t xml:space="preserve"> 4.频响：50Hz～20KHz；</w:t>
                  </w:r>
                  <w:r>
                    <w:br/>
                  </w:r>
                  <w:r>
                    <w:rPr>
                      <w:rFonts w:ascii="仿宋_GB2312" w:hAnsi="仿宋_GB2312" w:cs="仿宋_GB2312" w:eastAsia="仿宋_GB2312"/>
                    </w:rPr>
                    <w:t xml:space="preserve"> 5.箱体含壁挂安装套件。</w:t>
                  </w:r>
                </w:p>
              </w:tc>
              <w:tc>
                <w:tcPr>
                  <w:tcW w:type="dxa" w:w="581"/>
                </w:tcPr>
                <w:p>
                  <w:pPr>
                    <w:pStyle w:val="null3"/>
                    <w:jc w:val="center"/>
                  </w:pPr>
                  <w:r>
                    <w:rPr>
                      <w:rFonts w:ascii="仿宋_GB2312" w:hAnsi="仿宋_GB2312" w:cs="仿宋_GB2312" w:eastAsia="仿宋_GB2312"/>
                    </w:rPr>
                    <w:t>28</w:t>
                  </w:r>
                </w:p>
              </w:tc>
              <w:tc>
                <w:tcPr>
                  <w:tcW w:type="dxa" w:w="229"/>
                </w:tcPr>
                <w:p>
                  <w:pPr>
                    <w:pStyle w:val="null3"/>
                    <w:jc w:val="center"/>
                  </w:pPr>
                  <w:r>
                    <w:rPr>
                      <w:rFonts w:ascii="仿宋_GB2312" w:hAnsi="仿宋_GB2312" w:cs="仿宋_GB2312" w:eastAsia="仿宋_GB2312"/>
                    </w:rPr>
                    <w:t>只</w:t>
                  </w:r>
                </w:p>
              </w:tc>
            </w:tr>
            <w:tr>
              <w:tc>
                <w:tcPr>
                  <w:tcW w:type="dxa" w:w="581"/>
                </w:tcPr>
                <w:p>
                  <w:pPr>
                    <w:pStyle w:val="null3"/>
                    <w:jc w:val="center"/>
                  </w:pPr>
                  <w:r>
                    <w:rPr>
                      <w:rFonts w:ascii="仿宋_GB2312" w:hAnsi="仿宋_GB2312" w:cs="仿宋_GB2312" w:eastAsia="仿宋_GB2312"/>
                    </w:rPr>
                    <w:t>10</w:t>
                  </w:r>
                </w:p>
              </w:tc>
              <w:tc>
                <w:tcPr>
                  <w:tcW w:type="dxa" w:w="581"/>
                </w:tcPr>
                <w:p>
                  <w:pPr>
                    <w:pStyle w:val="null3"/>
                  </w:pPr>
                  <w:r>
                    <w:rPr>
                      <w:rFonts w:ascii="仿宋_GB2312" w:hAnsi="仿宋_GB2312" w:cs="仿宋_GB2312" w:eastAsia="仿宋_GB2312"/>
                    </w:rPr>
                    <w:t>高清自动变焦摄像机</w:t>
                  </w:r>
                </w:p>
              </w:tc>
              <w:tc>
                <w:tcPr>
                  <w:tcW w:type="dxa" w:w="581"/>
                </w:tcPr>
                <w:p>
                  <w:pPr>
                    <w:pStyle w:val="null3"/>
                  </w:pPr>
                  <w:r>
                    <w:rPr>
                      <w:rFonts w:ascii="仿宋_GB2312" w:hAnsi="仿宋_GB2312" w:cs="仿宋_GB2312" w:eastAsia="仿宋_GB2312"/>
                    </w:rPr>
                    <w:t>1.图像传感器：1/2.8英寸500万高品质CMOS传感器；</w:t>
                  </w:r>
                  <w:r>
                    <w:br/>
                  </w:r>
                  <w:r>
                    <w:rPr>
                      <w:rFonts w:ascii="仿宋_GB2312" w:hAnsi="仿宋_GB2312" w:cs="仿宋_GB2312" w:eastAsia="仿宋_GB2312"/>
                    </w:rPr>
                    <w:t xml:space="preserve"> 2.镜头：光学变倍20倍光学变焦f＝4.7～94mm；</w:t>
                  </w:r>
                  <w:r>
                    <w:br/>
                  </w:r>
                  <w:r>
                    <w:rPr>
                      <w:rFonts w:ascii="仿宋_GB2312" w:hAnsi="仿宋_GB2312" w:cs="仿宋_GB2312" w:eastAsia="仿宋_GB2312"/>
                    </w:rPr>
                    <w:t xml:space="preserve"> 3.可视视角：2.9°（窄角）～55.4°（广角）；</w:t>
                  </w:r>
                  <w:r>
                    <w:br/>
                  </w:r>
                  <w:r>
                    <w:rPr>
                      <w:rFonts w:ascii="仿宋_GB2312" w:hAnsi="仿宋_GB2312" w:cs="仿宋_GB2312" w:eastAsia="仿宋_GB2312"/>
                    </w:rPr>
                    <w:t xml:space="preserve"> 4.光圈系数：F1.6～F3.5；</w:t>
                  </w:r>
                  <w:r>
                    <w:br/>
                  </w:r>
                  <w:r>
                    <w:rPr>
                      <w:rFonts w:ascii="仿宋_GB2312" w:hAnsi="仿宋_GB2312" w:cs="仿宋_GB2312" w:eastAsia="仿宋_GB2312"/>
                    </w:rPr>
                    <w:t xml:space="preserve"> 5.最低照度：0.5Lux(F1.8,AGCON)；</w:t>
                  </w:r>
                  <w:r>
                    <w:br/>
                  </w:r>
                  <w:r>
                    <w:rPr>
                      <w:rFonts w:ascii="仿宋_GB2312" w:hAnsi="仿宋_GB2312" w:cs="仿宋_GB2312" w:eastAsia="仿宋_GB2312"/>
                    </w:rPr>
                    <w:t xml:space="preserve"> 6.数字降噪：2D﹠3D数字降噪；</w:t>
                  </w:r>
                  <w:r>
                    <w:br/>
                  </w:r>
                  <w:r>
                    <w:rPr>
                      <w:rFonts w:ascii="仿宋_GB2312" w:hAnsi="仿宋_GB2312" w:cs="仿宋_GB2312" w:eastAsia="仿宋_GB2312"/>
                    </w:rPr>
                    <w:t xml:space="preserve"> 7.白平衡模式：支持手动/自动/一键白平衡/3000K/4000K/5000K/6500K；</w:t>
                  </w:r>
                  <w:r>
                    <w:br/>
                  </w:r>
                  <w:r>
                    <w:rPr>
                      <w:rFonts w:ascii="仿宋_GB2312" w:hAnsi="仿宋_GB2312" w:cs="仿宋_GB2312" w:eastAsia="仿宋_GB2312"/>
                    </w:rPr>
                    <w:t xml:space="preserve"> 8.视频调节功能：可自定义调节亮度、色度、饱和度、对比度、锐度、黑白模式、伽马曲线；</w:t>
                  </w:r>
                  <w:r>
                    <w:br/>
                  </w:r>
                  <w:r>
                    <w:rPr>
                      <w:rFonts w:ascii="仿宋_GB2312" w:hAnsi="仿宋_GB2312" w:cs="仿宋_GB2312" w:eastAsia="仿宋_GB2312"/>
                    </w:rPr>
                    <w:t xml:space="preserve"> 9.视频压缩格式：支持H.265、H.264双编码格式；</w:t>
                  </w:r>
                  <w:r>
                    <w:br/>
                  </w:r>
                  <w:r>
                    <w:rPr>
                      <w:rFonts w:ascii="仿宋_GB2312" w:hAnsi="仿宋_GB2312" w:cs="仿宋_GB2312" w:eastAsia="仿宋_GB2312"/>
                    </w:rPr>
                    <w:t xml:space="preserve"> 10.控制协议：兼容VISCA/Pelco-D/Pelco-P等主流通用云台控制协议；     </w:t>
                  </w:r>
                  <w:r>
                    <w:br/>
                  </w:r>
                  <w:r>
                    <w:rPr>
                      <w:rFonts w:ascii="仿宋_GB2312" w:hAnsi="仿宋_GB2312" w:cs="仿宋_GB2312" w:eastAsia="仿宋_GB2312"/>
                    </w:rPr>
                    <w:t xml:space="preserve"> 11.波特率：支持115200/9600/4800/2400bps多档位波特率自适应；</w:t>
                  </w:r>
                </w:p>
              </w:tc>
              <w:tc>
                <w:tcPr>
                  <w:tcW w:type="dxa" w:w="581"/>
                </w:tcPr>
                <w:p>
                  <w:pPr>
                    <w:pStyle w:val="null3"/>
                    <w:jc w:val="center"/>
                  </w:pPr>
                  <w:r>
                    <w:rPr>
                      <w:rFonts w:ascii="仿宋_GB2312" w:hAnsi="仿宋_GB2312" w:cs="仿宋_GB2312" w:eastAsia="仿宋_GB2312"/>
                    </w:rPr>
                    <w:t>28</w:t>
                  </w:r>
                </w:p>
              </w:tc>
              <w:tc>
                <w:tcPr>
                  <w:tcW w:type="dxa" w:w="229"/>
                </w:tcPr>
                <w:p>
                  <w:pPr>
                    <w:pStyle w:val="null3"/>
                    <w:jc w:val="center"/>
                  </w:pPr>
                  <w:r>
                    <w:rPr>
                      <w:rFonts w:ascii="仿宋_GB2312" w:hAnsi="仿宋_GB2312" w:cs="仿宋_GB2312" w:eastAsia="仿宋_GB2312"/>
                    </w:rPr>
                    <w:t>台</w:t>
                  </w:r>
                </w:p>
              </w:tc>
            </w:tr>
            <w:tr>
              <w:tc>
                <w:tcPr>
                  <w:tcW w:type="dxa" w:w="581"/>
                </w:tcPr>
                <w:p>
                  <w:pPr>
                    <w:pStyle w:val="null3"/>
                    <w:jc w:val="center"/>
                  </w:pPr>
                  <w:r>
                    <w:rPr>
                      <w:rFonts w:ascii="仿宋_GB2312" w:hAnsi="仿宋_GB2312" w:cs="仿宋_GB2312" w:eastAsia="仿宋_GB2312"/>
                    </w:rPr>
                    <w:t>11</w:t>
                  </w:r>
                </w:p>
              </w:tc>
              <w:tc>
                <w:tcPr>
                  <w:tcW w:type="dxa" w:w="581"/>
                </w:tcPr>
                <w:p>
                  <w:pPr>
                    <w:pStyle w:val="null3"/>
                  </w:pPr>
                  <w:r>
                    <w:rPr>
                      <w:rFonts w:ascii="仿宋_GB2312" w:hAnsi="仿宋_GB2312" w:cs="仿宋_GB2312" w:eastAsia="仿宋_GB2312"/>
                    </w:rPr>
                    <w:t>高拍仪</w:t>
                  </w:r>
                </w:p>
              </w:tc>
              <w:tc>
                <w:tcPr>
                  <w:tcW w:type="dxa" w:w="581"/>
                </w:tcPr>
                <w:p>
                  <w:pPr>
                    <w:pStyle w:val="null3"/>
                  </w:pPr>
                  <w:r>
                    <w:rPr>
                      <w:rFonts w:ascii="仿宋_GB2312" w:hAnsi="仿宋_GB2312" w:cs="仿宋_GB2312" w:eastAsia="仿宋_GB2312"/>
                    </w:rPr>
                    <w:t>1.传感器类型：高清CMOS传感器，≥3800万像素，分辨率≥7168*5376；</w:t>
                  </w:r>
                  <w:r>
                    <w:br/>
                  </w:r>
                  <w:r>
                    <w:rPr>
                      <w:rFonts w:ascii="仿宋_GB2312" w:hAnsi="仿宋_GB2312" w:cs="仿宋_GB2312" w:eastAsia="仿宋_GB2312"/>
                    </w:rPr>
                    <w:t xml:space="preserve"> 2.对焦方式：定焦及实体底座+ -按键放大缩小；</w:t>
                  </w:r>
                  <w:r>
                    <w:br/>
                  </w:r>
                  <w:r>
                    <w:rPr>
                      <w:rFonts w:ascii="仿宋_GB2312" w:hAnsi="仿宋_GB2312" w:cs="仿宋_GB2312" w:eastAsia="仿宋_GB2312"/>
                    </w:rPr>
                    <w:t xml:space="preserve"> 3.支持系统：Linux包括麒麟、统信UOS、中科方德、鸿蒙和Windows等通用版本；专用版本支持Q7文件自动签名；</w:t>
                  </w:r>
                  <w:r>
                    <w:br/>
                  </w:r>
                  <w:r>
                    <w:rPr>
                      <w:rFonts w:ascii="仿宋_GB2312" w:hAnsi="仿宋_GB2312" w:cs="仿宋_GB2312" w:eastAsia="仿宋_GB2312"/>
                    </w:rPr>
                    <w:t xml:space="preserve"> 4.接口：≥2*USB2.0接口及HDMI接口；</w:t>
                  </w:r>
                  <w:r>
                    <w:br/>
                  </w:r>
                  <w:r>
                    <w:rPr>
                      <w:rFonts w:ascii="仿宋_GB2312" w:hAnsi="仿宋_GB2312" w:cs="仿宋_GB2312" w:eastAsia="仿宋_GB2312"/>
                    </w:rPr>
                    <w:t xml:space="preserve"> 5.触发机制：脚踏板/指按键/软件按键/智能自动检测；</w:t>
                  </w:r>
                  <w:r>
                    <w:br/>
                  </w:r>
                  <w:r>
                    <w:rPr>
                      <w:rFonts w:ascii="仿宋_GB2312" w:hAnsi="仿宋_GB2312" w:cs="仿宋_GB2312" w:eastAsia="仿宋_GB2312"/>
                    </w:rPr>
                    <w:t xml:space="preserve"> 6.智能功能：支持成册卷宗书籍物证的激光曲面展平自动分页展示；</w:t>
                  </w:r>
                  <w:r>
                    <w:br/>
                  </w:r>
                  <w:r>
                    <w:rPr>
                      <w:rFonts w:ascii="仿宋_GB2312" w:hAnsi="仿宋_GB2312" w:cs="仿宋_GB2312" w:eastAsia="仿宋_GB2312"/>
                    </w:rPr>
                    <w:t xml:space="preserve"> 7.文件格式：支持JPG,PNG,PDF,TXT,DOCX,XLSX,OFD,双层PDF,双层OFD；</w:t>
                  </w:r>
                  <w:r>
                    <w:br/>
                  </w:r>
                  <w:r>
                    <w:rPr>
                      <w:rFonts w:ascii="仿宋_GB2312" w:hAnsi="仿宋_GB2312" w:cs="仿宋_GB2312" w:eastAsia="仿宋_GB2312"/>
                    </w:rPr>
                    <w:t xml:space="preserve"> 8.支持国产操作系统内实现并支持与业务系统兼容调用示证、采集归档；</w:t>
                  </w:r>
                </w:p>
              </w:tc>
              <w:tc>
                <w:tcPr>
                  <w:tcW w:type="dxa" w:w="581"/>
                </w:tcPr>
                <w:p>
                  <w:pPr>
                    <w:pStyle w:val="null3"/>
                    <w:jc w:val="center"/>
                  </w:pPr>
                  <w:r>
                    <w:rPr>
                      <w:rFonts w:ascii="仿宋_GB2312" w:hAnsi="仿宋_GB2312" w:cs="仿宋_GB2312" w:eastAsia="仿宋_GB2312"/>
                    </w:rPr>
                    <w:t>7</w:t>
                  </w:r>
                </w:p>
              </w:tc>
              <w:tc>
                <w:tcPr>
                  <w:tcW w:type="dxa" w:w="229"/>
                </w:tcPr>
                <w:p>
                  <w:pPr>
                    <w:pStyle w:val="null3"/>
                    <w:jc w:val="center"/>
                  </w:pPr>
                  <w:r>
                    <w:rPr>
                      <w:rFonts w:ascii="仿宋_GB2312" w:hAnsi="仿宋_GB2312" w:cs="仿宋_GB2312" w:eastAsia="仿宋_GB2312"/>
                    </w:rPr>
                    <w:t>台</w:t>
                  </w:r>
                </w:p>
              </w:tc>
            </w:tr>
            <w:tr>
              <w:tc>
                <w:tcPr>
                  <w:tcW w:type="dxa" w:w="581"/>
                </w:tcPr>
                <w:p>
                  <w:pPr>
                    <w:pStyle w:val="null3"/>
                    <w:jc w:val="center"/>
                  </w:pPr>
                  <w:r>
                    <w:rPr>
                      <w:rFonts w:ascii="仿宋_GB2312" w:hAnsi="仿宋_GB2312" w:cs="仿宋_GB2312" w:eastAsia="仿宋_GB2312"/>
                    </w:rPr>
                    <w:t>12</w:t>
                  </w:r>
                </w:p>
              </w:tc>
              <w:tc>
                <w:tcPr>
                  <w:tcW w:type="dxa" w:w="581"/>
                </w:tcPr>
                <w:p>
                  <w:pPr>
                    <w:pStyle w:val="null3"/>
                  </w:pPr>
                  <w:r>
                    <w:rPr>
                      <w:rFonts w:ascii="仿宋_GB2312" w:hAnsi="仿宋_GB2312" w:cs="仿宋_GB2312" w:eastAsia="仿宋_GB2312"/>
                    </w:rPr>
                    <w:t>签名捺印系统</w:t>
                  </w:r>
                </w:p>
              </w:tc>
              <w:tc>
                <w:tcPr>
                  <w:tcW w:type="dxa" w:w="581"/>
                </w:tcPr>
                <w:p>
                  <w:pPr>
                    <w:pStyle w:val="null3"/>
                  </w:pPr>
                  <w:r>
                    <w:rPr>
                      <w:rFonts w:ascii="仿宋_GB2312" w:hAnsi="仿宋_GB2312" w:cs="仿宋_GB2312" w:eastAsia="仿宋_GB2312"/>
                    </w:rPr>
                    <w:t>1.国产化系统优化与国密安全加固服务：提供国产终端系统底层适配服务，针对终端操作系统进行深度裁剪优化、运行提速、后台资源管控服务；提供国密算法适配与安全加固服务，完成国密加密功能调试、数据加密存储、业务传输加密适配，实现全程国密合规安全运行，保障业务数据不泄露、不篡改。</w:t>
                  </w:r>
                  <w:r>
                    <w:br/>
                  </w:r>
                  <w:r>
                    <w:rPr>
                      <w:rFonts w:ascii="仿宋_GB2312" w:hAnsi="仿宋_GB2312" w:cs="仿宋_GB2312" w:eastAsia="仿宋_GB2312"/>
                    </w:rPr>
                    <w:t xml:space="preserve"> 2.高清显示触控适配调校服务：提供一体化屏幕显示适配服务，针对高清分辨率进行色彩校正、画面适配、清晰度优化；完成电磁电容触控一体化功能调试，优化触控采样逻辑与显示联动效果，保障操作画面清晰、触控响应精准。</w:t>
                  </w:r>
                  <w:r>
                    <w:br/>
                  </w:r>
                  <w:r>
                    <w:rPr>
                      <w:rFonts w:ascii="仿宋_GB2312" w:hAnsi="仿宋_GB2312" w:cs="仿宋_GB2312" w:eastAsia="仿宋_GB2312"/>
                    </w:rPr>
                    <w:t xml:space="preserve"> 3.电子签名专项适配服务：提供无源电磁手写签名适配调试服务，针对电磁感应签名机制进行轨迹优化、压感适配、书写防抖调校，保障电子签名流畅自然、轨迹完整、还原度高，完全满足电子化签署、留痕归档业务要求。</w:t>
                  </w:r>
                  <w:r>
                    <w:br/>
                  </w:r>
                  <w:r>
                    <w:rPr>
                      <w:rFonts w:ascii="仿宋_GB2312" w:hAnsi="仿宋_GB2312" w:cs="仿宋_GB2312" w:eastAsia="仿宋_GB2312"/>
                    </w:rPr>
                    <w:t xml:space="preserve"> 4.触控稳定性运维保障服务：提供触控功能长效优化与耐久保障服务，对触控识别算法进行专项优化，提升设备长期点击、触控运行稳定性；支持五点多点触控功能适配调试，解决多指操作失灵、误触、卡顿问题，保障设备高频次、长时间稳定使用。</w:t>
                  </w:r>
                  <w:r>
                    <w:br/>
                  </w:r>
                  <w:r>
                    <w:rPr>
                      <w:rFonts w:ascii="仿宋_GB2312" w:hAnsi="仿宋_GB2312" w:cs="仿宋_GB2312" w:eastAsia="仿宋_GB2312"/>
                    </w:rPr>
                    <w:t xml:space="preserve"> 5.双链路接入适配服务：提供USB HID免驱适配调试服务，实现设备即插即用、免驱动识别、快速联动上线；同时提供RJ45有线网络接入适配服务，支持网络稳传、自适应适配、断线重连、双链路并行使用，适配多场景接入部署需求。</w:t>
                  </w:r>
                  <w:r>
                    <w:br/>
                  </w:r>
                  <w:r>
                    <w:rPr>
                      <w:rFonts w:ascii="仿宋_GB2312" w:hAnsi="仿宋_GB2312" w:cs="仿宋_GB2312" w:eastAsia="仿宋_GB2312"/>
                    </w:rPr>
                    <w:t xml:space="preserve"> 6.人像采集与指纹模块集成服务：提供高清人像采集调试服务，优化人像拍摄清晰度、色彩、逆光适配、人脸成像效果；完成公安部标准指纹设备集成适配、驱动联调、功能对接服务，实现人像采集、指纹采集双模块协同稳定工作。</w:t>
                  </w:r>
                  <w:r>
                    <w:br/>
                  </w:r>
                  <w:r>
                    <w:rPr>
                      <w:rFonts w:ascii="仿宋_GB2312" w:hAnsi="仿宋_GB2312" w:cs="仿宋_GB2312" w:eastAsia="仿宋_GB2312"/>
                    </w:rPr>
                    <w:t xml:space="preserve"> 7.公安级指纹合规调校服务：严格按照公安部指纹采集标准提供专项合规适配服务，对指纹采集成像、分辨率、图像有效区域进行标准化调校；优化1：1、1：N双模式指纹比对算法，精准控制认假率、拒真率指标，保障指纹核验精度、安全性完全符合公安合规标准，满足政务身份核验、实名采集业务落地。</w:t>
                  </w:r>
                </w:p>
              </w:tc>
              <w:tc>
                <w:tcPr>
                  <w:tcW w:type="dxa" w:w="581"/>
                </w:tcPr>
                <w:p>
                  <w:pPr>
                    <w:pStyle w:val="null3"/>
                    <w:jc w:val="center"/>
                  </w:pPr>
                  <w:r>
                    <w:rPr>
                      <w:rFonts w:ascii="仿宋_GB2312" w:hAnsi="仿宋_GB2312" w:cs="仿宋_GB2312" w:eastAsia="仿宋_GB2312"/>
                    </w:rPr>
                    <w:t>7</w:t>
                  </w:r>
                </w:p>
              </w:tc>
              <w:tc>
                <w:tcPr>
                  <w:tcW w:type="dxa" w:w="229"/>
                </w:tcPr>
                <w:p>
                  <w:pPr>
                    <w:pStyle w:val="null3"/>
                    <w:jc w:val="center"/>
                  </w:pPr>
                  <w:r>
                    <w:rPr>
                      <w:rFonts w:ascii="仿宋_GB2312" w:hAnsi="仿宋_GB2312" w:cs="仿宋_GB2312" w:eastAsia="仿宋_GB2312"/>
                    </w:rPr>
                    <w:t>套</w:t>
                  </w:r>
                </w:p>
              </w:tc>
            </w:tr>
            <w:tr>
              <w:tc>
                <w:tcPr>
                  <w:tcW w:type="dxa" w:w="581"/>
                </w:tcPr>
                <w:p>
                  <w:pPr>
                    <w:pStyle w:val="null3"/>
                    <w:jc w:val="center"/>
                  </w:pPr>
                  <w:r>
                    <w:rPr>
                      <w:rFonts w:ascii="仿宋_GB2312" w:hAnsi="仿宋_GB2312" w:cs="仿宋_GB2312" w:eastAsia="仿宋_GB2312"/>
                    </w:rPr>
                    <w:t>13</w:t>
                  </w:r>
                </w:p>
              </w:tc>
              <w:tc>
                <w:tcPr>
                  <w:tcW w:type="dxa" w:w="581"/>
                </w:tcPr>
                <w:p>
                  <w:pPr>
                    <w:pStyle w:val="null3"/>
                  </w:pPr>
                  <w:r>
                    <w:rPr>
                      <w:rFonts w:ascii="仿宋_GB2312" w:hAnsi="仿宋_GB2312" w:cs="仿宋_GB2312" w:eastAsia="仿宋_GB2312"/>
                    </w:rPr>
                    <w:t>庭审公告系统</w:t>
                  </w:r>
                </w:p>
              </w:tc>
              <w:tc>
                <w:tcPr>
                  <w:tcW w:type="dxa" w:w="581"/>
                </w:tcPr>
                <w:p>
                  <w:pPr>
                    <w:pStyle w:val="null3"/>
                  </w:pPr>
                  <w:r>
                    <w:rPr>
                      <w:rFonts w:ascii="仿宋_GB2312" w:hAnsi="仿宋_GB2312" w:cs="仿宋_GB2312" w:eastAsia="仿宋_GB2312"/>
                    </w:rPr>
                    <w:t>1.数字法庭开庭公告显示系统软件，适用于法庭外，具有公告展示、语音呼叫等功能；</w:t>
                  </w:r>
                  <w:r>
                    <w:br/>
                  </w:r>
                  <w:r>
                    <w:rPr>
                      <w:rFonts w:ascii="仿宋_GB2312" w:hAnsi="仿宋_GB2312" w:cs="仿宋_GB2312" w:eastAsia="仿宋_GB2312"/>
                    </w:rPr>
                    <w:t xml:space="preserve"> 2.提供当前法庭的庭审信息，包括法庭名称、承办人等案件信息；</w:t>
                  </w:r>
                  <w:r>
                    <w:br/>
                  </w:r>
                  <w:r>
                    <w:rPr>
                      <w:rFonts w:ascii="仿宋_GB2312" w:hAnsi="仿宋_GB2312" w:cs="仿宋_GB2312" w:eastAsia="仿宋_GB2312"/>
                    </w:rPr>
                    <w:t xml:space="preserve"> 3.提供显示法庭当前正在开庭案件信息内容以及后续排期等情况的。</w:t>
                  </w:r>
                </w:p>
              </w:tc>
              <w:tc>
                <w:tcPr>
                  <w:tcW w:type="dxa" w:w="581"/>
                </w:tcPr>
                <w:p>
                  <w:pPr>
                    <w:pStyle w:val="null3"/>
                    <w:jc w:val="center"/>
                  </w:pPr>
                  <w:r>
                    <w:rPr>
                      <w:rFonts w:ascii="仿宋_GB2312" w:hAnsi="仿宋_GB2312" w:cs="仿宋_GB2312" w:eastAsia="仿宋_GB2312"/>
                    </w:rPr>
                    <w:t>7</w:t>
                  </w:r>
                </w:p>
              </w:tc>
              <w:tc>
                <w:tcPr>
                  <w:tcW w:type="dxa" w:w="229"/>
                </w:tcPr>
                <w:p>
                  <w:pPr>
                    <w:pStyle w:val="null3"/>
                    <w:jc w:val="center"/>
                  </w:pPr>
                  <w:r>
                    <w:rPr>
                      <w:rFonts w:ascii="仿宋_GB2312" w:hAnsi="仿宋_GB2312" w:cs="仿宋_GB2312" w:eastAsia="仿宋_GB2312"/>
                    </w:rPr>
                    <w:t>套</w:t>
                  </w:r>
                </w:p>
              </w:tc>
            </w:tr>
            <w:tr>
              <w:tc>
                <w:tcPr>
                  <w:tcW w:type="dxa" w:w="581"/>
                </w:tcPr>
                <w:p>
                  <w:pPr>
                    <w:pStyle w:val="null3"/>
                    <w:jc w:val="center"/>
                  </w:pPr>
                  <w:r>
                    <w:rPr>
                      <w:rFonts w:ascii="仿宋_GB2312" w:hAnsi="仿宋_GB2312" w:cs="仿宋_GB2312" w:eastAsia="仿宋_GB2312"/>
                    </w:rPr>
                    <w:t>14</w:t>
                  </w:r>
                </w:p>
              </w:tc>
              <w:tc>
                <w:tcPr>
                  <w:tcW w:type="dxa" w:w="581"/>
                </w:tcPr>
                <w:p>
                  <w:pPr>
                    <w:pStyle w:val="null3"/>
                  </w:pPr>
                  <w:r>
                    <w:rPr>
                      <w:rFonts w:ascii="仿宋_GB2312" w:hAnsi="仿宋_GB2312" w:cs="仿宋_GB2312" w:eastAsia="仿宋_GB2312"/>
                    </w:rPr>
                    <w:t>大屏显示设备</w:t>
                  </w:r>
                </w:p>
              </w:tc>
              <w:tc>
                <w:tcPr>
                  <w:tcW w:type="dxa" w:w="581"/>
                </w:tcPr>
                <w:p>
                  <w:pPr>
                    <w:pStyle w:val="null3"/>
                  </w:pPr>
                  <w:r>
                    <w:rPr>
                      <w:rFonts w:ascii="仿宋_GB2312" w:hAnsi="仿宋_GB2312" w:cs="仿宋_GB2312" w:eastAsia="仿宋_GB2312"/>
                    </w:rPr>
                    <w:t>≥55英寸防蓝光护眼超薄全面屏4K电视，内存≥2+32GB，输入接口HDMI。</w:t>
                  </w:r>
                </w:p>
              </w:tc>
              <w:tc>
                <w:tcPr>
                  <w:tcW w:type="dxa" w:w="581"/>
                </w:tcPr>
                <w:p>
                  <w:pPr>
                    <w:pStyle w:val="null3"/>
                    <w:jc w:val="center"/>
                  </w:pPr>
                  <w:r>
                    <w:rPr>
                      <w:rFonts w:ascii="仿宋_GB2312" w:hAnsi="仿宋_GB2312" w:cs="仿宋_GB2312" w:eastAsia="仿宋_GB2312"/>
                    </w:rPr>
                    <w:t>14</w:t>
                  </w:r>
                </w:p>
              </w:tc>
              <w:tc>
                <w:tcPr>
                  <w:tcW w:type="dxa" w:w="229"/>
                </w:tcPr>
                <w:p>
                  <w:pPr>
                    <w:pStyle w:val="null3"/>
                    <w:jc w:val="center"/>
                  </w:pPr>
                  <w:r>
                    <w:rPr>
                      <w:rFonts w:ascii="仿宋_GB2312" w:hAnsi="仿宋_GB2312" w:cs="仿宋_GB2312" w:eastAsia="仿宋_GB2312"/>
                    </w:rPr>
                    <w:t>台</w:t>
                  </w:r>
                </w:p>
              </w:tc>
            </w:tr>
            <w:tr>
              <w:tc>
                <w:tcPr>
                  <w:tcW w:type="dxa" w:w="581"/>
                </w:tcPr>
                <w:p>
                  <w:pPr>
                    <w:pStyle w:val="null3"/>
                    <w:jc w:val="center"/>
                  </w:pPr>
                  <w:r>
                    <w:rPr>
                      <w:rFonts w:ascii="仿宋_GB2312" w:hAnsi="仿宋_GB2312" w:cs="仿宋_GB2312" w:eastAsia="仿宋_GB2312"/>
                    </w:rPr>
                    <w:t>15</w:t>
                  </w:r>
                </w:p>
              </w:tc>
              <w:tc>
                <w:tcPr>
                  <w:tcW w:type="dxa" w:w="581"/>
                </w:tcPr>
                <w:p>
                  <w:pPr>
                    <w:pStyle w:val="null3"/>
                  </w:pPr>
                  <w:r>
                    <w:rPr>
                      <w:rFonts w:ascii="仿宋_GB2312" w:hAnsi="仿宋_GB2312" w:cs="仿宋_GB2312" w:eastAsia="仿宋_GB2312"/>
                    </w:rPr>
                    <w:t>大屏显示设备挂架</w:t>
                  </w:r>
                </w:p>
              </w:tc>
              <w:tc>
                <w:tcPr>
                  <w:tcW w:type="dxa" w:w="581"/>
                </w:tcPr>
                <w:p>
                  <w:pPr>
                    <w:pStyle w:val="null3"/>
                  </w:pPr>
                  <w:r>
                    <w:rPr>
                      <w:rFonts w:ascii="仿宋_GB2312" w:hAnsi="仿宋_GB2312" w:cs="仿宋_GB2312" w:eastAsia="仿宋_GB2312"/>
                    </w:rPr>
                    <w:t>40-70英寸大型长臂电视挂架，承重≥68KG，稳固电视挂架旋转伸缩。</w:t>
                  </w:r>
                </w:p>
              </w:tc>
              <w:tc>
                <w:tcPr>
                  <w:tcW w:type="dxa" w:w="581"/>
                </w:tcPr>
                <w:p>
                  <w:pPr>
                    <w:pStyle w:val="null3"/>
                    <w:jc w:val="center"/>
                  </w:pPr>
                  <w:r>
                    <w:rPr>
                      <w:rFonts w:ascii="仿宋_GB2312" w:hAnsi="仿宋_GB2312" w:cs="仿宋_GB2312" w:eastAsia="仿宋_GB2312"/>
                    </w:rPr>
                    <w:t>14</w:t>
                  </w:r>
                </w:p>
              </w:tc>
              <w:tc>
                <w:tcPr>
                  <w:tcW w:type="dxa" w:w="229"/>
                </w:tcPr>
                <w:p>
                  <w:pPr>
                    <w:pStyle w:val="null3"/>
                    <w:jc w:val="center"/>
                  </w:pPr>
                  <w:r>
                    <w:rPr>
                      <w:rFonts w:ascii="仿宋_GB2312" w:hAnsi="仿宋_GB2312" w:cs="仿宋_GB2312" w:eastAsia="仿宋_GB2312"/>
                    </w:rPr>
                    <w:t>项</w:t>
                  </w:r>
                </w:p>
              </w:tc>
            </w:tr>
            <w:tr>
              <w:tc>
                <w:tcPr>
                  <w:tcW w:type="dxa" w:w="581"/>
                </w:tcPr>
                <w:p>
                  <w:pPr>
                    <w:pStyle w:val="null3"/>
                    <w:jc w:val="center"/>
                  </w:pPr>
                  <w:r>
                    <w:rPr>
                      <w:rFonts w:ascii="仿宋_GB2312" w:hAnsi="仿宋_GB2312" w:cs="仿宋_GB2312" w:eastAsia="仿宋_GB2312"/>
                    </w:rPr>
                    <w:t>16</w:t>
                  </w:r>
                </w:p>
              </w:tc>
              <w:tc>
                <w:tcPr>
                  <w:tcW w:type="dxa" w:w="581"/>
                </w:tcPr>
                <w:p>
                  <w:pPr>
                    <w:pStyle w:val="null3"/>
                  </w:pPr>
                  <w:r>
                    <w:rPr>
                      <w:rFonts w:ascii="仿宋_GB2312" w:hAnsi="仿宋_GB2312" w:cs="仿宋_GB2312" w:eastAsia="仿宋_GB2312"/>
                    </w:rPr>
                    <w:t>液晶显示器</w:t>
                  </w:r>
                </w:p>
              </w:tc>
              <w:tc>
                <w:tcPr>
                  <w:tcW w:type="dxa" w:w="581"/>
                </w:tcPr>
                <w:p>
                  <w:pPr>
                    <w:pStyle w:val="null3"/>
                  </w:pPr>
                  <w:r>
                    <w:rPr>
                      <w:rFonts w:ascii="仿宋_GB2312" w:hAnsi="仿宋_GB2312" w:cs="仿宋_GB2312" w:eastAsia="仿宋_GB2312"/>
                    </w:rPr>
                    <w:t>≥23英寸全高清窄边框低蓝光不闪屏广视角，可壁挂商用办公电脑显示器(HDMI/VGA接口)。</w:t>
                  </w:r>
                </w:p>
              </w:tc>
              <w:tc>
                <w:tcPr>
                  <w:tcW w:type="dxa" w:w="581"/>
                </w:tcPr>
                <w:p>
                  <w:pPr>
                    <w:pStyle w:val="null3"/>
                    <w:jc w:val="center"/>
                  </w:pPr>
                  <w:r>
                    <w:rPr>
                      <w:rFonts w:ascii="仿宋_GB2312" w:hAnsi="仿宋_GB2312" w:cs="仿宋_GB2312" w:eastAsia="仿宋_GB2312"/>
                    </w:rPr>
                    <w:t>35</w:t>
                  </w:r>
                </w:p>
              </w:tc>
              <w:tc>
                <w:tcPr>
                  <w:tcW w:type="dxa" w:w="229"/>
                </w:tcPr>
                <w:p>
                  <w:pPr>
                    <w:pStyle w:val="null3"/>
                    <w:jc w:val="center"/>
                  </w:pPr>
                  <w:r>
                    <w:rPr>
                      <w:rFonts w:ascii="仿宋_GB2312" w:hAnsi="仿宋_GB2312" w:cs="仿宋_GB2312" w:eastAsia="仿宋_GB2312"/>
                    </w:rPr>
                    <w:t>台</w:t>
                  </w:r>
                </w:p>
              </w:tc>
            </w:tr>
            <w:tr>
              <w:tc>
                <w:tcPr>
                  <w:tcW w:type="dxa" w:w="581"/>
                </w:tcPr>
                <w:p>
                  <w:pPr>
                    <w:pStyle w:val="null3"/>
                    <w:jc w:val="center"/>
                  </w:pPr>
                  <w:r>
                    <w:rPr>
                      <w:rFonts w:ascii="仿宋_GB2312" w:hAnsi="仿宋_GB2312" w:cs="仿宋_GB2312" w:eastAsia="仿宋_GB2312"/>
                    </w:rPr>
                    <w:t>17</w:t>
                  </w:r>
                </w:p>
              </w:tc>
              <w:tc>
                <w:tcPr>
                  <w:tcW w:type="dxa" w:w="581"/>
                </w:tcPr>
                <w:p>
                  <w:pPr>
                    <w:pStyle w:val="null3"/>
                  </w:pPr>
                  <w:r>
                    <w:rPr>
                      <w:rFonts w:ascii="仿宋_GB2312" w:hAnsi="仿宋_GB2312" w:cs="仿宋_GB2312" w:eastAsia="仿宋_GB2312"/>
                    </w:rPr>
                    <w:t>分配器</w:t>
                  </w:r>
                </w:p>
              </w:tc>
              <w:tc>
                <w:tcPr>
                  <w:tcW w:type="dxa" w:w="581"/>
                </w:tcPr>
                <w:p>
                  <w:pPr>
                    <w:pStyle w:val="null3"/>
                  </w:pPr>
                  <w:r>
                    <w:rPr>
                      <w:rFonts w:ascii="仿宋_GB2312" w:hAnsi="仿宋_GB2312" w:cs="仿宋_GB2312" w:eastAsia="仿宋_GB2312"/>
                    </w:rPr>
                    <w:t>8路视频分配器，支持分辨率（dpi）：1080P，支持堆叠。</w:t>
                  </w:r>
                </w:p>
              </w:tc>
              <w:tc>
                <w:tcPr>
                  <w:tcW w:type="dxa" w:w="581"/>
                </w:tcPr>
                <w:p>
                  <w:pPr>
                    <w:pStyle w:val="null3"/>
                    <w:jc w:val="center"/>
                  </w:pPr>
                  <w:r>
                    <w:rPr>
                      <w:rFonts w:ascii="仿宋_GB2312" w:hAnsi="仿宋_GB2312" w:cs="仿宋_GB2312" w:eastAsia="仿宋_GB2312"/>
                    </w:rPr>
                    <w:t>7</w:t>
                  </w:r>
                </w:p>
              </w:tc>
              <w:tc>
                <w:tcPr>
                  <w:tcW w:type="dxa" w:w="229"/>
                </w:tcPr>
                <w:p>
                  <w:pPr>
                    <w:pStyle w:val="null3"/>
                    <w:jc w:val="center"/>
                  </w:pPr>
                  <w:r>
                    <w:rPr>
                      <w:rFonts w:ascii="仿宋_GB2312" w:hAnsi="仿宋_GB2312" w:cs="仿宋_GB2312" w:eastAsia="仿宋_GB2312"/>
                    </w:rPr>
                    <w:t>项</w:t>
                  </w:r>
                </w:p>
              </w:tc>
            </w:tr>
            <w:tr>
              <w:tc>
                <w:tcPr>
                  <w:tcW w:type="dxa" w:w="581"/>
                </w:tcPr>
                <w:p>
                  <w:pPr>
                    <w:pStyle w:val="null3"/>
                    <w:jc w:val="center"/>
                  </w:pPr>
                  <w:r>
                    <w:rPr>
                      <w:rFonts w:ascii="仿宋_GB2312" w:hAnsi="仿宋_GB2312" w:cs="仿宋_GB2312" w:eastAsia="仿宋_GB2312"/>
                    </w:rPr>
                    <w:t>18</w:t>
                  </w:r>
                </w:p>
              </w:tc>
              <w:tc>
                <w:tcPr>
                  <w:tcW w:type="dxa" w:w="581"/>
                </w:tcPr>
                <w:p>
                  <w:pPr>
                    <w:pStyle w:val="null3"/>
                  </w:pPr>
                  <w:r>
                    <w:rPr>
                      <w:rFonts w:ascii="仿宋_GB2312" w:hAnsi="仿宋_GB2312" w:cs="仿宋_GB2312" w:eastAsia="仿宋_GB2312"/>
                    </w:rPr>
                    <w:t>网络交换机</w:t>
                  </w:r>
                </w:p>
              </w:tc>
              <w:tc>
                <w:tcPr>
                  <w:tcW w:type="dxa" w:w="581"/>
                </w:tcPr>
                <w:p>
                  <w:pPr>
                    <w:pStyle w:val="null3"/>
                  </w:pPr>
                  <w:r>
                    <w:rPr>
                      <w:rFonts w:ascii="仿宋_GB2312" w:hAnsi="仿宋_GB2312" w:cs="仿宋_GB2312" w:eastAsia="仿宋_GB2312"/>
                    </w:rPr>
                    <w:t>24端口快速以太网机架交换机，24口全千兆二层非网管交换机。</w:t>
                  </w:r>
                </w:p>
              </w:tc>
              <w:tc>
                <w:tcPr>
                  <w:tcW w:type="dxa" w:w="581"/>
                </w:tcPr>
                <w:p>
                  <w:pPr>
                    <w:pStyle w:val="null3"/>
                    <w:jc w:val="center"/>
                  </w:pPr>
                  <w:r>
                    <w:rPr>
                      <w:rFonts w:ascii="仿宋_GB2312" w:hAnsi="仿宋_GB2312" w:cs="仿宋_GB2312" w:eastAsia="仿宋_GB2312"/>
                    </w:rPr>
                    <w:t>7</w:t>
                  </w:r>
                </w:p>
              </w:tc>
              <w:tc>
                <w:tcPr>
                  <w:tcW w:type="dxa" w:w="229"/>
                </w:tcPr>
                <w:p>
                  <w:pPr>
                    <w:pStyle w:val="null3"/>
                    <w:jc w:val="center"/>
                  </w:pPr>
                  <w:r>
                    <w:rPr>
                      <w:rFonts w:ascii="仿宋_GB2312" w:hAnsi="仿宋_GB2312" w:cs="仿宋_GB2312" w:eastAsia="仿宋_GB2312"/>
                    </w:rPr>
                    <w:t>台</w:t>
                  </w:r>
                </w:p>
              </w:tc>
            </w:tr>
            <w:tr>
              <w:tc>
                <w:tcPr>
                  <w:tcW w:type="dxa" w:w="581"/>
                </w:tcPr>
                <w:p>
                  <w:pPr>
                    <w:pStyle w:val="null3"/>
                    <w:jc w:val="center"/>
                  </w:pPr>
                  <w:r>
                    <w:rPr>
                      <w:rFonts w:ascii="仿宋_GB2312" w:hAnsi="仿宋_GB2312" w:cs="仿宋_GB2312" w:eastAsia="仿宋_GB2312"/>
                    </w:rPr>
                    <w:t>19</w:t>
                  </w:r>
                </w:p>
              </w:tc>
              <w:tc>
                <w:tcPr>
                  <w:tcW w:type="dxa" w:w="581"/>
                </w:tcPr>
                <w:p>
                  <w:pPr>
                    <w:pStyle w:val="null3"/>
                  </w:pPr>
                  <w:r>
                    <w:rPr>
                      <w:rFonts w:ascii="仿宋_GB2312" w:hAnsi="仿宋_GB2312" w:cs="仿宋_GB2312" w:eastAsia="仿宋_GB2312"/>
                    </w:rPr>
                    <w:t>综合布线服务</w:t>
                  </w:r>
                </w:p>
              </w:tc>
              <w:tc>
                <w:tcPr>
                  <w:tcW w:type="dxa" w:w="581"/>
                </w:tcPr>
                <w:p>
                  <w:pPr>
                    <w:pStyle w:val="null3"/>
                  </w:pPr>
                  <w:r>
                    <w:rPr>
                      <w:rFonts w:ascii="仿宋_GB2312" w:hAnsi="仿宋_GB2312" w:cs="仿宋_GB2312" w:eastAsia="仿宋_GB2312"/>
                    </w:rPr>
                    <w:t>进行音、视频等信号线缆铺设。</w:t>
                  </w:r>
                </w:p>
              </w:tc>
              <w:tc>
                <w:tcPr>
                  <w:tcW w:type="dxa" w:w="581"/>
                </w:tcPr>
                <w:p>
                  <w:pPr>
                    <w:pStyle w:val="null3"/>
                    <w:jc w:val="center"/>
                  </w:pPr>
                  <w:r>
                    <w:rPr>
                      <w:rFonts w:ascii="仿宋_GB2312" w:hAnsi="仿宋_GB2312" w:cs="仿宋_GB2312" w:eastAsia="仿宋_GB2312"/>
                    </w:rPr>
                    <w:t>1</w:t>
                  </w:r>
                </w:p>
              </w:tc>
              <w:tc>
                <w:tcPr>
                  <w:tcW w:type="dxa" w:w="229"/>
                </w:tcPr>
                <w:p>
                  <w:pPr>
                    <w:pStyle w:val="null3"/>
                    <w:jc w:val="center"/>
                  </w:pPr>
                  <w:r>
                    <w:rPr>
                      <w:rFonts w:ascii="仿宋_GB2312" w:hAnsi="仿宋_GB2312" w:cs="仿宋_GB2312" w:eastAsia="仿宋_GB2312"/>
                    </w:rPr>
                    <w:t>批</w:t>
                  </w:r>
                </w:p>
              </w:tc>
            </w:tr>
            <w:tr>
              <w:tc>
                <w:tcPr>
                  <w:tcW w:type="dxa" w:w="581"/>
                </w:tcPr>
                <w:p>
                  <w:pPr>
                    <w:pStyle w:val="null3"/>
                    <w:jc w:val="center"/>
                  </w:pPr>
                  <w:r>
                    <w:rPr>
                      <w:rFonts w:ascii="仿宋_GB2312" w:hAnsi="仿宋_GB2312" w:cs="仿宋_GB2312" w:eastAsia="仿宋_GB2312"/>
                    </w:rPr>
                    <w:t>20</w:t>
                  </w:r>
                </w:p>
              </w:tc>
              <w:tc>
                <w:tcPr>
                  <w:tcW w:type="dxa" w:w="581"/>
                </w:tcPr>
                <w:p>
                  <w:pPr>
                    <w:pStyle w:val="null3"/>
                  </w:pPr>
                  <w:r>
                    <w:rPr>
                      <w:rFonts w:ascii="仿宋_GB2312" w:hAnsi="仿宋_GB2312" w:cs="仿宋_GB2312" w:eastAsia="仿宋_GB2312"/>
                    </w:rPr>
                    <w:t>互联网音视频交互网关系统</w:t>
                  </w:r>
                </w:p>
              </w:tc>
              <w:tc>
                <w:tcPr>
                  <w:tcW w:type="dxa" w:w="581"/>
                </w:tcPr>
                <w:p>
                  <w:pPr>
                    <w:pStyle w:val="null3"/>
                  </w:pPr>
                  <w:r>
                    <w:rPr>
                      <w:rFonts w:ascii="仿宋_GB2312" w:hAnsi="仿宋_GB2312" w:cs="仿宋_GB2312" w:eastAsia="仿宋_GB2312"/>
                    </w:rPr>
                    <w:t>在满足安全管理规范下，通过跨网安全传输，将法庭与当事人连接并进行案件排期信息、庭审音视频、庭审笔录等数据进行数据交换。系统主要功能如下：</w:t>
                  </w:r>
                  <w:r>
                    <w:br/>
                  </w:r>
                  <w:r>
                    <w:rPr>
                      <w:rFonts w:ascii="仿宋_GB2312" w:hAnsi="仿宋_GB2312" w:cs="仿宋_GB2312" w:eastAsia="仿宋_GB2312"/>
                    </w:rPr>
                    <w:t xml:space="preserve"> 1.具备音频、视频的同时编解码能力；</w:t>
                  </w:r>
                  <w:r>
                    <w:br/>
                  </w:r>
                  <w:r>
                    <w:rPr>
                      <w:rFonts w:ascii="仿宋_GB2312" w:hAnsi="仿宋_GB2312" w:cs="仿宋_GB2312" w:eastAsia="仿宋_GB2312"/>
                    </w:rPr>
                    <w:t xml:space="preserve"> 2.可同时接入不低于16个当事人,支持最多同时显示9个当事人画面;支持通过语音激励切换当事人画面；</w:t>
                  </w:r>
                  <w:r>
                    <w:br/>
                  </w:r>
                  <w:r>
                    <w:rPr>
                      <w:rFonts w:ascii="仿宋_GB2312" w:hAnsi="仿宋_GB2312" w:cs="仿宋_GB2312" w:eastAsia="仿宋_GB2312"/>
                    </w:rPr>
                    <w:t xml:space="preserve"> ▲3.可根据网络情况动态调整码率/分辨率；</w:t>
                  </w:r>
                  <w:r>
                    <w:br/>
                  </w:r>
                  <w:r>
                    <w:rPr>
                      <w:rFonts w:ascii="仿宋_GB2312" w:hAnsi="仿宋_GB2312" w:cs="仿宋_GB2312" w:eastAsia="仿宋_GB2312"/>
                    </w:rPr>
                    <w:t xml:space="preserve"> ▲4.需支持互联网协议和RTSP协议实时互相转换；</w:t>
                  </w:r>
                  <w:r>
                    <w:br/>
                  </w:r>
                  <w:r>
                    <w:rPr>
                      <w:rFonts w:ascii="仿宋_GB2312" w:hAnsi="仿宋_GB2312" w:cs="仿宋_GB2312" w:eastAsia="仿宋_GB2312"/>
                    </w:rPr>
                    <w:t xml:space="preserve"> 5.将法庭向当事人客户端提供信号传输到互联网音视频网关，与当事人客户端进行音视频的对接传输给法庭庭审主机；</w:t>
                  </w:r>
                  <w:r>
                    <w:br/>
                  </w:r>
                  <w:r>
                    <w:rPr>
                      <w:rFonts w:ascii="仿宋_GB2312" w:hAnsi="仿宋_GB2312" w:cs="仿宋_GB2312" w:eastAsia="仿宋_GB2312"/>
                    </w:rPr>
                    <w:t xml:space="preserve"> ▲6.可远程控制软件重启，支持RTSP/RTMP流发送通道，支持RTSP/RTMP流接受通道；</w:t>
                  </w:r>
                  <w:r>
                    <w:br/>
                  </w:r>
                  <w:r>
                    <w:rPr>
                      <w:rFonts w:ascii="仿宋_GB2312" w:hAnsi="仿宋_GB2312" w:cs="仿宋_GB2312" w:eastAsia="仿宋_GB2312"/>
                    </w:rPr>
                    <w:t xml:space="preserve"> 7.视频输入：≥1路HDMI端口，分辨率≥1080P/720P；</w:t>
                  </w:r>
                  <w:r>
                    <w:br/>
                  </w:r>
                  <w:r>
                    <w:rPr>
                      <w:rFonts w:ascii="仿宋_GB2312" w:hAnsi="仿宋_GB2312" w:cs="仿宋_GB2312" w:eastAsia="仿宋_GB2312"/>
                    </w:rPr>
                    <w:t xml:space="preserve"> 8.视频输出：≥2路HDMI端口，分辨率≥1080P/720P；</w:t>
                  </w:r>
                  <w:r>
                    <w:br/>
                  </w:r>
                  <w:r>
                    <w:rPr>
                      <w:rFonts w:ascii="仿宋_GB2312" w:hAnsi="仿宋_GB2312" w:cs="仿宋_GB2312" w:eastAsia="仿宋_GB2312"/>
                    </w:rPr>
                    <w:t xml:space="preserve"> 9.≥1路3.5mm线性输出；</w:t>
                  </w:r>
                  <w:r>
                    <w:br/>
                  </w:r>
                  <w:r>
                    <w:rPr>
                      <w:rFonts w:ascii="仿宋_GB2312" w:hAnsi="仿宋_GB2312" w:cs="仿宋_GB2312" w:eastAsia="仿宋_GB2312"/>
                    </w:rPr>
                    <w:t xml:space="preserve"> 10.≥1路LINEIN接口；</w:t>
                  </w:r>
                  <w:r>
                    <w:br/>
                  </w:r>
                  <w:r>
                    <w:rPr>
                      <w:rFonts w:ascii="仿宋_GB2312" w:hAnsi="仿宋_GB2312" w:cs="仿宋_GB2312" w:eastAsia="仿宋_GB2312"/>
                    </w:rPr>
                    <w:t xml:space="preserve"> 11.≥1路MICIN接口；</w:t>
                  </w:r>
                  <w:r>
                    <w:br/>
                  </w:r>
                  <w:r>
                    <w:rPr>
                      <w:rFonts w:ascii="仿宋_GB2312" w:hAnsi="仿宋_GB2312" w:cs="仿宋_GB2312" w:eastAsia="仿宋_GB2312"/>
                    </w:rPr>
                    <w:t xml:space="preserve"> 12.USB接口：≥2路USB2.0接口；</w:t>
                  </w:r>
                  <w:r>
                    <w:br/>
                  </w:r>
                  <w:r>
                    <w:rPr>
                      <w:rFonts w:ascii="仿宋_GB2312" w:hAnsi="仿宋_GB2312" w:cs="仿宋_GB2312" w:eastAsia="仿宋_GB2312"/>
                    </w:rPr>
                    <w:t xml:space="preserve"> 13.网络：≥1路100/10BASE-TX；</w:t>
                  </w:r>
                  <w:r>
                    <w:br/>
                  </w:r>
                  <w:r>
                    <w:rPr>
                      <w:rFonts w:ascii="仿宋_GB2312" w:hAnsi="仿宋_GB2312" w:cs="仿宋_GB2312" w:eastAsia="仿宋_GB2312"/>
                    </w:rPr>
                    <w:t xml:space="preserve"> 14.支持7×24小时运行；</w:t>
                  </w:r>
                  <w:r>
                    <w:br/>
                  </w:r>
                  <w:r>
                    <w:rPr>
                      <w:rFonts w:ascii="仿宋_GB2312" w:hAnsi="仿宋_GB2312" w:cs="仿宋_GB2312" w:eastAsia="仿宋_GB2312"/>
                    </w:rPr>
                    <w:t xml:space="preserve"> 15.为当事人提供使用的软件，当事人可通过互联网接入与法庭进行音视频及庭审数据的实时安全交互，提供案件信息查看、视频接入、远程签名等相关功能；</w:t>
                  </w:r>
                  <w:r>
                    <w:br/>
                  </w:r>
                  <w:r>
                    <w:rPr>
                      <w:rFonts w:ascii="仿宋_GB2312" w:hAnsi="仿宋_GB2312" w:cs="仿宋_GB2312" w:eastAsia="仿宋_GB2312"/>
                    </w:rPr>
                    <w:t xml:space="preserve"> 16.向当事人提供短信消息通知或身份认证码确认服务，短信发送条数最小限量为10万条；</w:t>
                  </w:r>
                </w:p>
              </w:tc>
              <w:tc>
                <w:tcPr>
                  <w:tcW w:type="dxa" w:w="581"/>
                </w:tcPr>
                <w:p>
                  <w:pPr>
                    <w:pStyle w:val="null3"/>
                    <w:jc w:val="center"/>
                  </w:pPr>
                  <w:r>
                    <w:rPr>
                      <w:rFonts w:ascii="仿宋_GB2312" w:hAnsi="仿宋_GB2312" w:cs="仿宋_GB2312" w:eastAsia="仿宋_GB2312"/>
                    </w:rPr>
                    <w:t>2</w:t>
                  </w:r>
                </w:p>
              </w:tc>
              <w:tc>
                <w:tcPr>
                  <w:tcW w:type="dxa" w:w="229"/>
                </w:tcPr>
                <w:p>
                  <w:pPr>
                    <w:pStyle w:val="null3"/>
                    <w:jc w:val="center"/>
                  </w:pPr>
                  <w:r>
                    <w:rPr>
                      <w:rFonts w:ascii="仿宋_GB2312" w:hAnsi="仿宋_GB2312" w:cs="仿宋_GB2312" w:eastAsia="仿宋_GB2312"/>
                    </w:rPr>
                    <w:t>套</w:t>
                  </w:r>
                </w:p>
              </w:tc>
            </w:tr>
            <w:tr>
              <w:tc>
                <w:tcPr>
                  <w:tcW w:type="dxa" w:w="581"/>
                </w:tcPr>
                <w:p>
                  <w:pPr>
                    <w:pStyle w:val="null3"/>
                    <w:jc w:val="center"/>
                  </w:pPr>
                  <w:r>
                    <w:rPr>
                      <w:rFonts w:ascii="仿宋_GB2312" w:hAnsi="仿宋_GB2312" w:cs="仿宋_GB2312" w:eastAsia="仿宋_GB2312"/>
                    </w:rPr>
                    <w:t>21</w:t>
                  </w:r>
                </w:p>
              </w:tc>
              <w:tc>
                <w:tcPr>
                  <w:tcW w:type="dxa" w:w="581"/>
                </w:tcPr>
                <w:p>
                  <w:pPr>
                    <w:pStyle w:val="null3"/>
                  </w:pPr>
                  <w:r>
                    <w:rPr>
                      <w:rFonts w:ascii="仿宋_GB2312" w:hAnsi="仿宋_GB2312" w:cs="仿宋_GB2312" w:eastAsia="仿宋_GB2312"/>
                    </w:rPr>
                    <w:t>安全堡垒系统</w:t>
                  </w:r>
                </w:p>
              </w:tc>
              <w:tc>
                <w:tcPr>
                  <w:tcW w:type="dxa" w:w="581"/>
                </w:tcPr>
                <w:p>
                  <w:pPr>
                    <w:pStyle w:val="null3"/>
                  </w:pPr>
                  <w:r>
                    <w:rPr>
                      <w:rFonts w:ascii="仿宋_GB2312" w:hAnsi="仿宋_GB2312" w:cs="仿宋_GB2312" w:eastAsia="仿宋_GB2312"/>
                    </w:rPr>
                    <w:t>1.国产化适配与授权扩容保障服务：提供信创全适配运维服务，适配国产主流CPU、国产麒麟/统信操作系统环境；提供≥50节点运维授权常态化服务，支持授权弹性扩容服务，最大可扩容至150节点；提供高并发运维承载保障服务，支持字符运维最大并发≥200、图形运维最大并发≥100业务承载调度服务；</w:t>
                  </w:r>
                  <w:r>
                    <w:br/>
                  </w:r>
                  <w:r>
                    <w:rPr>
                      <w:rFonts w:ascii="仿宋_GB2312" w:hAnsi="仿宋_GB2312" w:cs="仿宋_GB2312" w:eastAsia="仿宋_GB2312"/>
                    </w:rPr>
                    <w:t xml:space="preserve"> 2.无改造网络部署实施服务：提供物理旁路单臂模式部署实施服务，以逻辑网关架构完成业务上线，全程无需调整、改造现有网络拓扑结构，零网络改动、零业务中断，快速完成运维审计系统上线部署与调试交付。</w:t>
                  </w:r>
                  <w:r>
                    <w:br/>
                  </w:r>
                  <w:r>
                    <w:rPr>
                      <w:rFonts w:ascii="仿宋_GB2312" w:hAnsi="仿宋_GB2312" w:cs="仿宋_GB2312" w:eastAsia="仿宋_GB2312"/>
                    </w:rPr>
                    <w:t xml:space="preserve"> 3.全协议适配与扩展运维服务：提供全品类运维协议适配支撑服务，常态化保障SSHv1、SSHv2、TELNET字符协议，RDP、VNC图形协议，FTP、SFTP、RDP磁盘映射、RDP剪切板文件传输协议稳定适配与正常审计；提供协议前置机扩展运维服务，可按需扩展KVM、Vmware、数据库、HTTP/HTTPS、CS应用等各类业务协议适配与审计服务，满足多场景业务运维审计需求。</w:t>
                  </w:r>
                  <w:r>
                    <w:br/>
                  </w:r>
                  <w:r>
                    <w:rPr>
                      <w:rFonts w:ascii="仿宋_GB2312" w:hAnsi="仿宋_GB2312" w:cs="仿宋_GB2312" w:eastAsia="仿宋_GB2312"/>
                    </w:rPr>
                    <w:t xml:space="preserve"> ▲4.全场景水印溯源服务：提供运维操作全程水印赋能服务，可按需开启运维操作水印、会话录像水印、实时监控水印服务，实现每一次运维操作可标记、可追踪、可溯源，保障运维行为全程可审计、可追溯；</w:t>
                  </w:r>
                  <w:r>
                    <w:br/>
                  </w:r>
                  <w:r>
                    <w:rPr>
                      <w:rFonts w:ascii="仿宋_GB2312" w:hAnsi="仿宋_GB2312" w:cs="仿宋_GB2312" w:eastAsia="仿宋_GB2312"/>
                    </w:rPr>
                    <w:t xml:space="preserve"> ▲5.全域应用单点登录与审计服务：提供动作流自定义配置技术服务，可实现各类软硬件应用、不同登录方式的业务系统统一单点登录与全量行为审计接入服务，不受目标资源原有登录方式、登录协议限制，全覆盖各类运维场景审计管控；</w:t>
                  </w:r>
                  <w:r>
                    <w:br/>
                  </w:r>
                  <w:r>
                    <w:rPr>
                      <w:rFonts w:ascii="仿宋_GB2312" w:hAnsi="仿宋_GB2312" w:cs="仿宋_GB2312" w:eastAsia="仿宋_GB2312"/>
                    </w:rPr>
                    <w:t xml:space="preserve"> ▲6.应急运维流程定制服务：支持定制紧急运维流程服务，可根据用户安全管理规范自定义应急运维机制，紧急场景下支持运维人员快速合规访问目标设备，系统自动生成、留存运维工单记录，配套提供事后合规审批归档服务，兼顾运维效率与安全合规要求；</w:t>
                  </w:r>
                  <w:r>
                    <w:br/>
                  </w:r>
                  <w:r>
                    <w:rPr>
                      <w:rFonts w:ascii="仿宋_GB2312" w:hAnsi="仿宋_GB2312" w:cs="仿宋_GB2312" w:eastAsia="仿宋_GB2312"/>
                    </w:rPr>
                    <w:t xml:space="preserve"> 7.IPv6双栈运维审计服务：提供IPv6协议适配运维服务，全面支持IPv6网络环境下的设备单点登录、操作行为审计、会话日志留存服务，兼容IPv4/IPv6双栈网络架构，满足新一代网络安全运维合规要求。</w:t>
                  </w:r>
                  <w:r>
                    <w:br/>
                  </w:r>
                  <w:r>
                    <w:rPr>
                      <w:rFonts w:ascii="仿宋_GB2312" w:hAnsi="仿宋_GB2312" w:cs="仿宋_GB2312" w:eastAsia="仿宋_GB2312"/>
                    </w:rPr>
                    <w:t xml:space="preserve"> 8.自定义角色权限管控服务：提供三员分立标准权限配置服务，同时支持按需自定义管理角色、划分权限范畴服务，可根据用户组织架构、安全管理细则、特殊管控需求，灵活配置分级分权管理体系，适配个性化安全运维管理模式。</w:t>
                  </w:r>
                </w:p>
              </w:tc>
              <w:tc>
                <w:tcPr>
                  <w:tcW w:type="dxa" w:w="581"/>
                </w:tcPr>
                <w:p>
                  <w:pPr>
                    <w:pStyle w:val="null3"/>
                    <w:jc w:val="center"/>
                  </w:pPr>
                  <w:r>
                    <w:rPr>
                      <w:rFonts w:ascii="仿宋_GB2312" w:hAnsi="仿宋_GB2312" w:cs="仿宋_GB2312" w:eastAsia="仿宋_GB2312"/>
                    </w:rPr>
                    <w:t>1</w:t>
                  </w:r>
                </w:p>
              </w:tc>
              <w:tc>
                <w:tcPr>
                  <w:tcW w:type="dxa" w:w="229"/>
                </w:tcPr>
                <w:p>
                  <w:pPr>
                    <w:pStyle w:val="null3"/>
                    <w:jc w:val="center"/>
                  </w:pPr>
                  <w:r>
                    <w:rPr>
                      <w:rFonts w:ascii="仿宋_GB2312" w:hAnsi="仿宋_GB2312" w:cs="仿宋_GB2312" w:eastAsia="仿宋_GB2312"/>
                    </w:rPr>
                    <w:t>套</w:t>
                  </w:r>
                </w:p>
              </w:tc>
            </w:tr>
            <w:tr>
              <w:tc>
                <w:tcPr>
                  <w:tcW w:type="dxa" w:w="581"/>
                </w:tcPr>
                <w:p>
                  <w:pPr>
                    <w:pStyle w:val="null3"/>
                    <w:jc w:val="center"/>
                  </w:pPr>
                  <w:r>
                    <w:rPr>
                      <w:rFonts w:ascii="仿宋_GB2312" w:hAnsi="仿宋_GB2312" w:cs="仿宋_GB2312" w:eastAsia="仿宋_GB2312"/>
                    </w:rPr>
                    <w:t>22</w:t>
                  </w:r>
                </w:p>
              </w:tc>
              <w:tc>
                <w:tcPr>
                  <w:tcW w:type="dxa" w:w="581"/>
                </w:tcPr>
                <w:p>
                  <w:pPr>
                    <w:pStyle w:val="null3"/>
                  </w:pPr>
                  <w:r>
                    <w:rPr>
                      <w:rFonts w:ascii="仿宋_GB2312" w:hAnsi="仿宋_GB2312" w:cs="仿宋_GB2312" w:eastAsia="仿宋_GB2312"/>
                    </w:rPr>
                    <w:t>多元解纷指引系统</w:t>
                  </w:r>
                </w:p>
              </w:tc>
              <w:tc>
                <w:tcPr>
                  <w:tcW w:type="dxa" w:w="581"/>
                </w:tcPr>
                <w:p>
                  <w:pPr>
                    <w:pStyle w:val="null3"/>
                  </w:pPr>
                  <w:r>
                    <w:rPr>
                      <w:rFonts w:ascii="仿宋_GB2312" w:hAnsi="仿宋_GB2312" w:cs="仿宋_GB2312" w:eastAsia="仿宋_GB2312"/>
                    </w:rPr>
                    <w:t>1.页面需具备系统操作手册的二维码，支持诉讼参与人可扫码查看系统操作信息。</w:t>
                  </w:r>
                  <w:r>
                    <w:br/>
                  </w:r>
                  <w:r>
                    <w:rPr>
                      <w:rFonts w:ascii="仿宋_GB2312" w:hAnsi="仿宋_GB2312" w:cs="仿宋_GB2312" w:eastAsia="仿宋_GB2312"/>
                    </w:rPr>
                    <w:t xml:space="preserve"> 2.系统需提供必要的诉讼指引，支持展示法院信息和法律宣传视频等，展示的图片、文字、视频等内容可支持通过网页自定义。</w:t>
                  </w:r>
                  <w:r>
                    <w:br/>
                  </w:r>
                  <w:r>
                    <w:rPr>
                      <w:rFonts w:ascii="仿宋_GB2312" w:hAnsi="仿宋_GB2312" w:cs="仿宋_GB2312" w:eastAsia="仿宋_GB2312"/>
                    </w:rPr>
                    <w:t xml:space="preserve"> 3.系统需提供常见纠纷类型，如婚姻家庭纠纷、继承纠纷、人格权纠纷、合同纠纷、侵权纠纷、物权纠纷等。可引导诉讼参与人围绕自身诉求进行评估，并给出咨询意见、推荐案由、案件争议、必备材料、诉讼费用、法律意见、相似案例等涵盖多方面信息的法律咨询意见书。</w:t>
                  </w:r>
                  <w:r>
                    <w:br/>
                  </w:r>
                  <w:r>
                    <w:rPr>
                      <w:rFonts w:ascii="仿宋_GB2312" w:hAnsi="仿宋_GB2312" w:cs="仿宋_GB2312" w:eastAsia="仿宋_GB2312"/>
                    </w:rPr>
                    <w:t xml:space="preserve"> 4.系统需内置婚姻纠纷案件、债务纠纷案件、赡养纠纷案件、抚育费案件等常见案件证据材料目录，供诉讼参与人查看。</w:t>
                  </w:r>
                  <w:r>
                    <w:br/>
                  </w:r>
                  <w:r>
                    <w:rPr>
                      <w:rFonts w:ascii="仿宋_GB2312" w:hAnsi="仿宋_GB2312" w:cs="仿宋_GB2312" w:eastAsia="仿宋_GB2312"/>
                    </w:rPr>
                    <w:t xml:space="preserve"> 5.系统支持以案件级别、地域管辖、专属管辖的规定为基础，通过问答模式为诉讼参与人推荐管辖法院级别与地域。</w:t>
                  </w:r>
                  <w:r>
                    <w:br/>
                  </w:r>
                  <w:r>
                    <w:rPr>
                      <w:rFonts w:ascii="仿宋_GB2312" w:hAnsi="仿宋_GB2312" w:cs="仿宋_GB2312" w:eastAsia="仿宋_GB2312"/>
                    </w:rPr>
                    <w:t xml:space="preserve"> 6.支持诉讼参与人通过案由关键词来检索裁判文书，系统为诉讼参与人提供裁判文书参考列表，可包含案号、文书类型、文书名称、审理法院、裁判日期等内容，支持点击查看裁判文书详情。诉讼参与人还可以通过标题关键词检索法律法规，系统可展示中华人民共和国民法典，包含总则、物权、合同、继承、人格权、婚姻家庭、侵权责任司法解释。</w:t>
                  </w:r>
                  <w:r>
                    <w:br/>
                  </w:r>
                  <w:r>
                    <w:rPr>
                      <w:rFonts w:ascii="仿宋_GB2312" w:hAnsi="仿宋_GB2312" w:cs="仿宋_GB2312" w:eastAsia="仿宋_GB2312"/>
                    </w:rPr>
                    <w:t xml:space="preserve"> 7.系统支持提供民间借贷纠纷、买卖合同纠纷、物业服务合同纠纷、合同纠纷、劳务合同纠纷、机动车交通事故责任纠纷、人事争议纠纷等常见纠纷办理指引。诉讼参与人若需要查看电子版，可通过扫描二维码方式迁移至手机查看。</w:t>
                  </w:r>
                  <w:r>
                    <w:br/>
                  </w:r>
                  <w:r>
                    <w:rPr>
                      <w:rFonts w:ascii="仿宋_GB2312" w:hAnsi="仿宋_GB2312" w:cs="仿宋_GB2312" w:eastAsia="仿宋_GB2312"/>
                    </w:rPr>
                    <w:t xml:space="preserve"> 8.系统支持以图文列表形式展示各解纷渠道小程序码和简介，诉讼参与人若需要关注解纷渠道小程序，可用手机微信扫描二维码添加关注。</w:t>
                  </w:r>
                  <w:r>
                    <w:br/>
                  </w:r>
                  <w:r>
                    <w:rPr>
                      <w:rFonts w:ascii="仿宋_GB2312" w:hAnsi="仿宋_GB2312" w:cs="仿宋_GB2312" w:eastAsia="仿宋_GB2312"/>
                    </w:rPr>
                    <w:t xml:space="preserve"> ▲9.需提供多元解纷指引系统计算机软件著作权登记证书；</w:t>
                  </w:r>
                </w:p>
              </w:tc>
              <w:tc>
                <w:tcPr>
                  <w:tcW w:type="dxa" w:w="581"/>
                </w:tcPr>
                <w:p>
                  <w:pPr>
                    <w:pStyle w:val="null3"/>
                    <w:jc w:val="center"/>
                  </w:pPr>
                  <w:r>
                    <w:rPr>
                      <w:rFonts w:ascii="仿宋_GB2312" w:hAnsi="仿宋_GB2312" w:cs="仿宋_GB2312" w:eastAsia="仿宋_GB2312"/>
                    </w:rPr>
                    <w:t>1</w:t>
                  </w:r>
                </w:p>
              </w:tc>
              <w:tc>
                <w:tcPr>
                  <w:tcW w:type="dxa" w:w="229"/>
                </w:tcPr>
                <w:p>
                  <w:pPr>
                    <w:pStyle w:val="null3"/>
                    <w:jc w:val="center"/>
                  </w:pPr>
                  <w:r>
                    <w:rPr>
                      <w:rFonts w:ascii="仿宋_GB2312" w:hAnsi="仿宋_GB2312" w:cs="仿宋_GB2312" w:eastAsia="仿宋_GB2312"/>
                    </w:rPr>
                    <w:t>套</w:t>
                  </w:r>
                </w:p>
              </w:tc>
            </w:tr>
            <w:tr>
              <w:tc>
                <w:tcPr>
                  <w:tcW w:type="dxa" w:w="581"/>
                </w:tcPr>
                <w:p>
                  <w:pPr>
                    <w:pStyle w:val="null3"/>
                    <w:jc w:val="center"/>
                  </w:pPr>
                  <w:r>
                    <w:rPr>
                      <w:rFonts w:ascii="仿宋_GB2312" w:hAnsi="仿宋_GB2312" w:cs="仿宋_GB2312" w:eastAsia="仿宋_GB2312"/>
                    </w:rPr>
                    <w:t>23</w:t>
                  </w:r>
                </w:p>
              </w:tc>
              <w:tc>
                <w:tcPr>
                  <w:tcW w:type="dxa" w:w="581"/>
                </w:tcPr>
                <w:p>
                  <w:pPr>
                    <w:pStyle w:val="null3"/>
                  </w:pPr>
                  <w:r>
                    <w:rPr>
                      <w:rFonts w:ascii="仿宋_GB2312" w:hAnsi="仿宋_GB2312" w:cs="仿宋_GB2312" w:eastAsia="仿宋_GB2312"/>
                    </w:rPr>
                    <w:t>法院专网非法外联阻断软件</w:t>
                  </w:r>
                </w:p>
              </w:tc>
              <w:tc>
                <w:tcPr>
                  <w:tcW w:type="dxa" w:w="581"/>
                </w:tcPr>
                <w:p>
                  <w:pPr>
                    <w:pStyle w:val="null3"/>
                  </w:pPr>
                  <w:r>
                    <w:rPr>
                      <w:rFonts w:ascii="仿宋_GB2312" w:hAnsi="仿宋_GB2312" w:cs="仿宋_GB2312" w:eastAsia="仿宋_GB2312"/>
                    </w:rPr>
                    <w:t>网络安全阻断软件需实现终端非法外联行为的检测，并进行对应的审计、断网管控、关机管控、告警等处理，从而确保网络边界安全。软件需要以C/S和B/S的方式呈现。其中客户端代理软件的部署需基于C/S架构进行管理，系统的统一管理配置与审计需基于B/S架构实现。</w:t>
                  </w:r>
                  <w:r>
                    <w:br/>
                  </w:r>
                  <w:r>
                    <w:rPr>
                      <w:rFonts w:ascii="仿宋_GB2312" w:hAnsi="仿宋_GB2312" w:cs="仿宋_GB2312" w:eastAsia="仿宋_GB2312"/>
                    </w:rPr>
                    <w:t xml:space="preserve"> 一、系统需要支持一下技术指标：</w:t>
                  </w:r>
                  <w:r>
                    <w:br/>
                  </w:r>
                  <w:r>
                    <w:rPr>
                      <w:rFonts w:ascii="仿宋_GB2312" w:hAnsi="仿宋_GB2312" w:cs="仿宋_GB2312" w:eastAsia="仿宋_GB2312"/>
                    </w:rPr>
                    <w:t xml:space="preserve"> 1.基本指标：支持系统可视化运维管理，可以通过浏览器提供服务管理和启动；</w:t>
                  </w:r>
                  <w:r>
                    <w:br/>
                  </w:r>
                  <w:r>
                    <w:rPr>
                      <w:rFonts w:ascii="仿宋_GB2312" w:hAnsi="仿宋_GB2312" w:cs="仿宋_GB2312" w:eastAsia="仿宋_GB2312"/>
                    </w:rPr>
                    <w:t xml:space="preserve"> 2.支持利用第三方系统进行推送静默安装、批量安装部署客户端；客户端静默安装需支持双击安装即可，无需输入服务器IP等其他操作，降低安装投入。推送安装需无感知、无需人工介入完成安装。</w:t>
                  </w:r>
                  <w:r>
                    <w:br/>
                  </w:r>
                  <w:r>
                    <w:rPr>
                      <w:rFonts w:ascii="仿宋_GB2312" w:hAnsi="仿宋_GB2312" w:cs="仿宋_GB2312" w:eastAsia="仿宋_GB2312"/>
                    </w:rPr>
                    <w:t xml:space="preserve"> 3.升级方式：需支持多种升级方式，使管理员可按照预先设定的升级方式实现全网内的统一升级。管理员通过上传升级包，可对服务器、控制台和PC客户端进行升级。支持设定升级条件（IP段、用户组）控制升级范围并且可以设定客户端的升级执行时间，在预先设定的时间段内进行升级，无需管理员手工干涉，自动完成全部工作。而提前设定升级的IP段，可以减少升级时增加过多的网络流量，保证升级顺利完成并且避免升级时占用过多的网络带宽影响用户正常业务的通讯。管理员在控制台上可以查看升级状态；升级过程中支持断点续传技术，使得下载更加稳定可靠。</w:t>
                  </w:r>
                  <w:r>
                    <w:br/>
                  </w:r>
                  <w:r>
                    <w:rPr>
                      <w:rFonts w:ascii="仿宋_GB2312" w:hAnsi="仿宋_GB2312" w:cs="仿宋_GB2312" w:eastAsia="仿宋_GB2312"/>
                    </w:rPr>
                    <w:t xml:space="preserve"> 4.需支持多系统平台。</w:t>
                  </w:r>
                  <w:r>
                    <w:br/>
                  </w:r>
                  <w:r>
                    <w:rPr>
                      <w:rFonts w:ascii="仿宋_GB2312" w:hAnsi="仿宋_GB2312" w:cs="仿宋_GB2312" w:eastAsia="仿宋_GB2312"/>
                    </w:rPr>
                    <w:t xml:space="preserve"> 5.需支持策略管理：客户端需支持策略管理，包括策略生效时间范围、客户端的状态（在线，离线等）和客户端的平台（Windows、信创、MacOS或不限）等。</w:t>
                  </w:r>
                  <w:r>
                    <w:br/>
                  </w:r>
                  <w:r>
                    <w:rPr>
                      <w:rFonts w:ascii="仿宋_GB2312" w:hAnsi="仿宋_GB2312" w:cs="仿宋_GB2312" w:eastAsia="仿宋_GB2312"/>
                    </w:rPr>
                    <w:t xml:space="preserve"> 6.需支持日志管理：需支持客户端和管理员操作产生的日志会自动保存在服务器上，在控制台上可查询日志和统计信息。日志加密保存在本地计算机，用户不可以删除、修改和替换。日志展示的时候自动判断管理员权限范围，包括账号范围和计算机范围；只能展示管理员管辖范围内的日志，所有的日志展示均支持手动导出。日志可以通过过滤条件查询，过滤条件可以通过日志的各项基本信息项以及关键字进行查询。</w:t>
                  </w:r>
                  <w:r>
                    <w:br/>
                  </w:r>
                  <w:r>
                    <w:rPr>
                      <w:rFonts w:ascii="仿宋_GB2312" w:hAnsi="仿宋_GB2312" w:cs="仿宋_GB2312" w:eastAsia="仿宋_GB2312"/>
                    </w:rPr>
                    <w:t xml:space="preserve"> 7.后台客户端安装管理需支持远程客户端日志拉取功能，用于日常客户端诊断。</w:t>
                  </w:r>
                  <w:r>
                    <w:br/>
                  </w:r>
                  <w:r>
                    <w:rPr>
                      <w:rFonts w:ascii="仿宋_GB2312" w:hAnsi="仿宋_GB2312" w:cs="仿宋_GB2312" w:eastAsia="仿宋_GB2312"/>
                    </w:rPr>
                    <w:t xml:space="preserve"> 8.客户端卸载方式：客户端需支持在线卸载和离线卸载，在线卸载需客户端在线时，后台远程点击卸载按钮，5分钟内完成卸载动作，并恢复对应授权点数；离线卸载需通过工具输入验证码的方式卸载，无验证码或者验证码错误不能卸载，防止卸载工具滥用。</w:t>
                  </w:r>
                  <w:r>
                    <w:br/>
                  </w:r>
                  <w:r>
                    <w:rPr>
                      <w:rFonts w:ascii="仿宋_GB2312" w:hAnsi="仿宋_GB2312" w:cs="仿宋_GB2312" w:eastAsia="仿宋_GB2312"/>
                    </w:rPr>
                    <w:t xml:space="preserve"> 二、非法外联管控功能指标：</w:t>
                  </w:r>
                  <w:r>
                    <w:br/>
                  </w:r>
                  <w:r>
                    <w:rPr>
                      <w:rFonts w:ascii="仿宋_GB2312" w:hAnsi="仿宋_GB2312" w:cs="仿宋_GB2312" w:eastAsia="仿宋_GB2312"/>
                    </w:rPr>
                    <w:t xml:space="preserve"> 1.非法外联策略需支持检测周期设置：检测周期支持设置以秒为单位，需支持10-3600秒，管控方式设置需支持断网管控、关机管控和不管控，发生外联后需支持弹窗提示；断网管控需支持触发外联行为后立刻断网，并且支持设定时间频率的弹窗提醒。</w:t>
                  </w:r>
                  <w:r>
                    <w:br/>
                  </w:r>
                  <w:r>
                    <w:rPr>
                      <w:rFonts w:ascii="仿宋_GB2312" w:hAnsi="仿宋_GB2312" w:cs="仿宋_GB2312" w:eastAsia="仿宋_GB2312"/>
                    </w:rPr>
                    <w:t xml:space="preserve"> 2.非法外联策略需支持灵活的网络检测网址设置，需支持目标用户和策略下发对象的选择；</w:t>
                  </w:r>
                  <w:r>
                    <w:br/>
                  </w:r>
                  <w:r>
                    <w:rPr>
                      <w:rFonts w:ascii="仿宋_GB2312" w:hAnsi="仿宋_GB2312" w:cs="仿宋_GB2312" w:eastAsia="仿宋_GB2312"/>
                    </w:rPr>
                    <w:t xml:space="preserve"> 3.非法外联发生断网后可以支持设定时间后自动恢复网络和远程手动恢复网络；</w:t>
                  </w:r>
                  <w:r>
                    <w:br/>
                  </w:r>
                  <w:r>
                    <w:rPr>
                      <w:rFonts w:ascii="仿宋_GB2312" w:hAnsi="仿宋_GB2312" w:cs="仿宋_GB2312" w:eastAsia="仿宋_GB2312"/>
                    </w:rPr>
                    <w:t xml:space="preserve"> 4.非法外联断网时间可设置自动恢复时间。</w:t>
                  </w:r>
                  <w:r>
                    <w:br/>
                  </w:r>
                  <w:r>
                    <w:rPr>
                      <w:rFonts w:ascii="仿宋_GB2312" w:hAnsi="仿宋_GB2312" w:cs="仿宋_GB2312" w:eastAsia="仿宋_GB2312"/>
                    </w:rPr>
                    <w:t xml:space="preserve"> 5.支持审计非法外联行为发生日志，并且日志信息需包含客户端计算机名、IP、MAC等信息，且行为审计的IP需支持展示出触发非法外联行为的计算机互联网IP。</w:t>
                  </w:r>
                </w:p>
              </w:tc>
              <w:tc>
                <w:tcPr>
                  <w:tcW w:type="dxa" w:w="581"/>
                </w:tcPr>
                <w:p>
                  <w:pPr>
                    <w:pStyle w:val="null3"/>
                    <w:jc w:val="center"/>
                  </w:pPr>
                  <w:r>
                    <w:rPr>
                      <w:rFonts w:ascii="仿宋_GB2312" w:hAnsi="仿宋_GB2312" w:cs="仿宋_GB2312" w:eastAsia="仿宋_GB2312"/>
                    </w:rPr>
                    <w:t>1</w:t>
                  </w:r>
                </w:p>
              </w:tc>
              <w:tc>
                <w:tcPr>
                  <w:tcW w:type="dxa" w:w="229"/>
                </w:tcPr>
                <w:p>
                  <w:pPr>
                    <w:pStyle w:val="null3"/>
                    <w:jc w:val="center"/>
                  </w:pPr>
                  <w:r>
                    <w:rPr>
                      <w:rFonts w:ascii="仿宋_GB2312" w:hAnsi="仿宋_GB2312" w:cs="仿宋_GB2312" w:eastAsia="仿宋_GB2312"/>
                    </w:rPr>
                    <w:t>套</w:t>
                  </w:r>
                </w:p>
              </w:tc>
            </w:tr>
            <w:tr>
              <w:tc>
                <w:tcPr>
                  <w:tcW w:type="dxa" w:w="581"/>
                </w:tcPr>
                <w:p>
                  <w:pPr>
                    <w:pStyle w:val="null3"/>
                    <w:jc w:val="center"/>
                  </w:pPr>
                  <w:r>
                    <w:rPr>
                      <w:rFonts w:ascii="仿宋_GB2312" w:hAnsi="仿宋_GB2312" w:cs="仿宋_GB2312" w:eastAsia="仿宋_GB2312"/>
                    </w:rPr>
                    <w:t>24</w:t>
                  </w:r>
                </w:p>
              </w:tc>
              <w:tc>
                <w:tcPr>
                  <w:tcW w:type="dxa" w:w="581"/>
                </w:tcPr>
                <w:p>
                  <w:pPr>
                    <w:pStyle w:val="null3"/>
                  </w:pPr>
                  <w:r>
                    <w:rPr>
                      <w:rFonts w:ascii="仿宋_GB2312" w:hAnsi="仿宋_GB2312" w:cs="仿宋_GB2312" w:eastAsia="仿宋_GB2312"/>
                    </w:rPr>
                    <w:t>系统联调服务</w:t>
                  </w:r>
                </w:p>
              </w:tc>
              <w:tc>
                <w:tcPr>
                  <w:tcW w:type="dxa" w:w="581"/>
                </w:tcPr>
                <w:p>
                  <w:pPr>
                    <w:pStyle w:val="null3"/>
                  </w:pPr>
                  <w:r>
                    <w:rPr>
                      <w:rFonts w:ascii="仿宋_GB2312" w:hAnsi="仿宋_GB2312" w:cs="仿宋_GB2312" w:eastAsia="仿宋_GB2312"/>
                    </w:rPr>
                    <w:t>提供系统运行维护及联调服务。</w:t>
                  </w:r>
                </w:p>
              </w:tc>
              <w:tc>
                <w:tcPr>
                  <w:tcW w:type="dxa" w:w="581"/>
                </w:tcPr>
                <w:p>
                  <w:pPr>
                    <w:pStyle w:val="null3"/>
                    <w:jc w:val="center"/>
                  </w:pPr>
                  <w:r>
                    <w:rPr>
                      <w:rFonts w:ascii="仿宋_GB2312" w:hAnsi="仿宋_GB2312" w:cs="仿宋_GB2312" w:eastAsia="仿宋_GB2312"/>
                    </w:rPr>
                    <w:t>1</w:t>
                  </w:r>
                </w:p>
              </w:tc>
              <w:tc>
                <w:tcPr>
                  <w:tcW w:type="dxa" w:w="229"/>
                </w:tcPr>
                <w:p>
                  <w:pPr>
                    <w:pStyle w:val="null3"/>
                    <w:jc w:val="center"/>
                  </w:pPr>
                  <w:r>
                    <w:rPr>
                      <w:rFonts w:ascii="仿宋_GB2312" w:hAnsi="仿宋_GB2312" w:cs="仿宋_GB2312" w:eastAsia="仿宋_GB2312"/>
                    </w:rPr>
                    <w:t>项</w:t>
                  </w:r>
                </w:p>
              </w:tc>
            </w:tr>
          </w:tbl>
          <w:p>
            <w:pPr>
              <w:pStyle w:val="null3"/>
            </w:pPr>
            <w:r>
              <w:rPr>
                <w:rFonts w:ascii="仿宋_GB2312" w:hAnsi="仿宋_GB2312" w:cs="仿宋_GB2312" w:eastAsia="仿宋_GB2312"/>
                <w:sz w:val="21"/>
                <w:b/>
              </w:rPr>
              <w:t>二、项目实施要求</w:t>
            </w:r>
            <w:r>
              <w:br/>
            </w:r>
            <w:r>
              <w:rPr>
                <w:rFonts w:ascii="仿宋_GB2312" w:hAnsi="仿宋_GB2312" w:cs="仿宋_GB2312" w:eastAsia="仿宋_GB2312"/>
                <w:sz w:val="21"/>
              </w:rPr>
              <w:t xml:space="preserve"> 1、实施方案</w:t>
            </w:r>
            <w:r>
              <w:br/>
            </w:r>
            <w:r>
              <w:rPr>
                <w:rFonts w:ascii="仿宋_GB2312" w:hAnsi="仿宋_GB2312" w:cs="仿宋_GB2312" w:eastAsia="仿宋_GB2312"/>
                <w:sz w:val="21"/>
              </w:rPr>
              <w:t xml:space="preserve"> 投标人须在投标文件中提交详细、科学、可行的项目总体实施方案，作为项目实施的唯一执行依据，方案需覆盖以下全部核心内容，内容完整、逻辑清晰、贴合实际：</w:t>
            </w:r>
            <w:r>
              <w:br/>
            </w:r>
            <w:r>
              <w:rPr>
                <w:rFonts w:ascii="仿宋_GB2312" w:hAnsi="仿宋_GB2312" w:cs="仿宋_GB2312" w:eastAsia="仿宋_GB2312"/>
                <w:sz w:val="21"/>
              </w:rPr>
              <w:t xml:space="preserve"> 1.1项目组织架构：明确专属项目实施团队组成，包含项目经理、技术负责人、实施工程师、质量管控专员、运维保障专员、资料管理员等核心岗位，详细说明各岗位工作职责、任职能力要求，保障团队分工明确、权责清晰、全程稳定驻场服务。</w:t>
            </w:r>
            <w:r>
              <w:br/>
            </w:r>
            <w:r>
              <w:rPr>
                <w:rFonts w:ascii="仿宋_GB2312" w:hAnsi="仿宋_GB2312" w:cs="仿宋_GB2312" w:eastAsia="仿宋_GB2312"/>
                <w:sz w:val="21"/>
              </w:rPr>
              <w:t xml:space="preserve"> 1.2实施计划与工期安排：结合项目建设内容，制定精细化工期计划，划分项目筹备、方案落地、系统部署、调试优化、培训交付、验收收尾、运维保障等实施阶段，明确各阶段工作内容、时间节点、衔接流程、阶段成果，形成完整可落地的项目进程表。</w:t>
            </w:r>
            <w:r>
              <w:br/>
            </w:r>
            <w:r>
              <w:rPr>
                <w:rFonts w:ascii="仿宋_GB2312" w:hAnsi="仿宋_GB2312" w:cs="仿宋_GB2312" w:eastAsia="仿宋_GB2312"/>
                <w:sz w:val="21"/>
              </w:rPr>
              <w:t xml:space="preserve"> 1.3各阶段实施管理细则：针对每一个实施阶段制定标准化管理流程，明确阶段工作标准、作业规范、自查要求、对接机制，实现全流程标准化管控，杜绝实施偏差、质量漏洞，保障各阶段工作无缝衔接、稳步推进。</w:t>
            </w:r>
            <w:r>
              <w:br/>
            </w:r>
            <w:r>
              <w:rPr>
                <w:rFonts w:ascii="仿宋_GB2312" w:hAnsi="仿宋_GB2312" w:cs="仿宋_GB2312" w:eastAsia="仿宋_GB2312"/>
                <w:sz w:val="21"/>
              </w:rPr>
              <w:t xml:space="preserve"> 1.4人力资源保障：承诺配置全职、稳定、经验丰富的专属实施团队，核心人员固定在岗，建立人员备用及交接机制，杜绝随意更换人员，保障项目实施连续性、稳定性，全程满足项目人力投入需求。</w:t>
            </w:r>
            <w:r>
              <w:br/>
            </w:r>
            <w:r>
              <w:rPr>
                <w:rFonts w:ascii="仿宋_GB2312" w:hAnsi="仿宋_GB2312" w:cs="仿宋_GB2312" w:eastAsia="仿宋_GB2312"/>
                <w:sz w:val="21"/>
              </w:rPr>
              <w:t xml:space="preserve"> 1.5质量管理体系：建立全周期、闭环式质量管理机制，落实三级审核、节点管控、问题台账整改、成果复盘制度，对实施过程、技术成果、交付文档、服务质量全维度管控，确保所有成果符合行业规范及采购人要求。</w:t>
            </w:r>
            <w:r>
              <w:br/>
            </w:r>
            <w:r>
              <w:rPr>
                <w:rFonts w:ascii="仿宋_GB2312" w:hAnsi="仿宋_GB2312" w:cs="仿宋_GB2312" w:eastAsia="仿宋_GB2312"/>
                <w:sz w:val="21"/>
              </w:rPr>
              <w:t xml:space="preserve"> 1.6风险控制管理：全面梳理项目进度、技术、人员、对接、交付等各类潜在风险，建立风险预判、防控、应急处置、复盘优化体系，制定专项风险应对预案，提前规避各类问题，保障项目按期、保质完成。</w:t>
            </w:r>
            <w:r>
              <w:br/>
            </w:r>
            <w:r>
              <w:rPr>
                <w:rFonts w:ascii="仿宋_GB2312" w:hAnsi="仿宋_GB2312" w:cs="仿宋_GB2312" w:eastAsia="仿宋_GB2312"/>
                <w:sz w:val="21"/>
              </w:rPr>
              <w:t xml:space="preserve"> 1.7双方配合机制：明确采购人配合事项及投标人对接服务机制，建立常态化沟通、进度同步、问题反馈、需求确认机制，保障双方高效协同推进项目建设。</w:t>
            </w:r>
            <w:r>
              <w:br/>
            </w:r>
            <w:r>
              <w:rPr>
                <w:rFonts w:ascii="仿宋_GB2312" w:hAnsi="仿宋_GB2312" w:cs="仿宋_GB2312" w:eastAsia="仿宋_GB2312"/>
                <w:sz w:val="21"/>
              </w:rPr>
              <w:t xml:space="preserve">  2、项目交付物要求</w:t>
            </w:r>
            <w:r>
              <w:br/>
            </w:r>
            <w:r>
              <w:rPr>
                <w:rFonts w:ascii="仿宋_GB2312" w:hAnsi="仿宋_GB2312" w:cs="仿宋_GB2312" w:eastAsia="仿宋_GB2312"/>
                <w:sz w:val="21"/>
              </w:rPr>
              <w:t xml:space="preserve"> 2.1对本项目中产出的文档，包括由招标人提供的所有内部资料、技术文档和信息予以保密。必须遵守保密协议，未经招标人书面许可，不得以任何形式向第三方透露本项目的任何内容。</w:t>
            </w:r>
            <w:r>
              <w:br/>
            </w:r>
            <w:r>
              <w:rPr>
                <w:rFonts w:ascii="仿宋_GB2312" w:hAnsi="仿宋_GB2312" w:cs="仿宋_GB2312" w:eastAsia="仿宋_GB2312"/>
                <w:sz w:val="21"/>
              </w:rPr>
              <w:t xml:space="preserve"> 2.2项目实施完成后，投标人须向采购人交付全套完整、规范、可追溯的项目文档，文档格式合规、内容详实、数据准确，包含但不限于以下资料：</w:t>
            </w:r>
            <w:r>
              <w:br/>
            </w:r>
            <w:r>
              <w:rPr>
                <w:rFonts w:ascii="仿宋_GB2312" w:hAnsi="仿宋_GB2312" w:cs="仿宋_GB2312" w:eastAsia="仿宋_GB2312"/>
                <w:sz w:val="21"/>
              </w:rPr>
              <w:t xml:space="preserve"> 1）.项目总体实施方案；</w:t>
            </w:r>
            <w:r>
              <w:br/>
            </w:r>
            <w:r>
              <w:rPr>
                <w:rFonts w:ascii="仿宋_GB2312" w:hAnsi="仿宋_GB2312" w:cs="仿宋_GB2312" w:eastAsia="仿宋_GB2312"/>
                <w:sz w:val="21"/>
              </w:rPr>
              <w:t xml:space="preserve"> 2）.系统部署方案；</w:t>
            </w:r>
            <w:r>
              <w:br/>
            </w:r>
            <w:r>
              <w:rPr>
                <w:rFonts w:ascii="仿宋_GB2312" w:hAnsi="仿宋_GB2312" w:cs="仿宋_GB2312" w:eastAsia="仿宋_GB2312"/>
                <w:sz w:val="21"/>
              </w:rPr>
              <w:t xml:space="preserve"> 3）.系统操作手册；</w:t>
            </w:r>
            <w:r>
              <w:br/>
            </w:r>
            <w:r>
              <w:rPr>
                <w:rFonts w:ascii="仿宋_GB2312" w:hAnsi="仿宋_GB2312" w:cs="仿宋_GB2312" w:eastAsia="仿宋_GB2312"/>
                <w:sz w:val="21"/>
              </w:rPr>
              <w:t xml:space="preserve"> 4）.运维管理手册；</w:t>
            </w:r>
            <w:r>
              <w:br/>
            </w:r>
            <w:r>
              <w:rPr>
                <w:rFonts w:ascii="仿宋_GB2312" w:hAnsi="仿宋_GB2312" w:cs="仿宋_GB2312" w:eastAsia="仿宋_GB2312"/>
                <w:sz w:val="21"/>
              </w:rPr>
              <w:t xml:space="preserve"> 5）.数据备份恢复方案；</w:t>
            </w:r>
            <w:r>
              <w:br/>
            </w:r>
            <w:r>
              <w:rPr>
                <w:rFonts w:ascii="仿宋_GB2312" w:hAnsi="仿宋_GB2312" w:cs="仿宋_GB2312" w:eastAsia="仿宋_GB2312"/>
                <w:sz w:val="21"/>
              </w:rPr>
              <w:t xml:space="preserve"> 6）.项目培训资料（课件、操作教程、答疑手册等）；</w:t>
            </w:r>
            <w:r>
              <w:br/>
            </w:r>
            <w:r>
              <w:rPr>
                <w:rFonts w:ascii="仿宋_GB2312" w:hAnsi="仿宋_GB2312" w:cs="仿宋_GB2312" w:eastAsia="仿宋_GB2312"/>
                <w:sz w:val="21"/>
              </w:rPr>
              <w:t xml:space="preserve"> 7）.项目验收报告及全套验收资料；</w:t>
            </w:r>
            <w:r>
              <w:br/>
            </w:r>
            <w:r>
              <w:rPr>
                <w:rFonts w:ascii="仿宋_GB2312" w:hAnsi="仿宋_GB2312" w:cs="仿宋_GB2312" w:eastAsia="仿宋_GB2312"/>
                <w:sz w:val="21"/>
              </w:rPr>
              <w:t xml:space="preserve"> 8）.采购人要求补充的其他配套技术文档、过程资料。</w:t>
            </w:r>
            <w:r>
              <w:br/>
            </w:r>
            <w:r>
              <w:rPr>
                <w:rFonts w:ascii="仿宋_GB2312" w:hAnsi="仿宋_GB2312" w:cs="仿宋_GB2312" w:eastAsia="仿宋_GB2312"/>
                <w:sz w:val="21"/>
              </w:rPr>
              <w:t xml:space="preserve"> 2.3所有交付文档需纸质版+电子版同步交付，分类整理、统一归档，确保可查阅、可复用、可追溯。</w:t>
            </w:r>
            <w:r>
              <w:br/>
            </w:r>
            <w:r>
              <w:rPr>
                <w:rFonts w:ascii="仿宋_GB2312" w:hAnsi="仿宋_GB2312" w:cs="仿宋_GB2312" w:eastAsia="仿宋_GB2312"/>
                <w:sz w:val="21"/>
                <w:b/>
              </w:rPr>
              <w:t>三、服务要求</w:t>
            </w:r>
            <w:r>
              <w:br/>
            </w:r>
            <w:r>
              <w:rPr>
                <w:rFonts w:ascii="仿宋_GB2312" w:hAnsi="仿宋_GB2312" w:cs="仿宋_GB2312" w:eastAsia="仿宋_GB2312"/>
                <w:sz w:val="21"/>
              </w:rPr>
              <w:t xml:space="preserve"> 1、整体系统须符合《全国法院办公办案平台数字法庭建设技术规范》等法院行业技术规范，支持标准API/webservice通用接口对接省高院审务督察平台、全国一张网办公办案平台，提供对接技术文档，保障互联互通，不绑定特定厂商私有接口方案。</w:t>
            </w:r>
            <w:r>
              <w:br/>
            </w:r>
            <w:r>
              <w:rPr>
                <w:rFonts w:ascii="仿宋_GB2312" w:hAnsi="仿宋_GB2312" w:cs="仿宋_GB2312" w:eastAsia="仿宋_GB2312"/>
                <w:sz w:val="21"/>
              </w:rPr>
              <w:t xml:space="preserve"> 2、整体系统须满足信创自主可控及安全合规要求，支持主流国产操作系统、国产数据库、国产浏览器、国产输入法；兼容合规国产处理器及合规自主可控固件方案。</w:t>
            </w:r>
            <w:r>
              <w:br/>
            </w:r>
            <w:r>
              <w:rPr>
                <w:rFonts w:ascii="仿宋_GB2312" w:hAnsi="仿宋_GB2312" w:cs="仿宋_GB2312" w:eastAsia="仿宋_GB2312"/>
                <w:sz w:val="21"/>
              </w:rPr>
              <w:t xml:space="preserve"> 3、整体实施及部署服务要求</w:t>
            </w:r>
            <w:r>
              <w:br/>
            </w:r>
            <w:r>
              <w:rPr>
                <w:rFonts w:ascii="仿宋_GB2312" w:hAnsi="仿宋_GB2312" w:cs="仿宋_GB2312" w:eastAsia="仿宋_GB2312"/>
                <w:sz w:val="21"/>
              </w:rPr>
              <w:t xml:space="preserve"> 3.1成交供应商须负责本项目全部设备进场、点位勘测、布线调试、硬件安装、软件部署、系统联调、整体联调、数据迁移、历史庭审数据对接、庭审模板配置、庭审流程预设、音视频参数校准、笔录模板配置等全部实施工作，确保整体系统上线后可直接开展日常庭审、远程开庭、互联网庭审、多元调解、诉讼服务等全流程业务。</w:t>
            </w:r>
            <w:r>
              <w:br/>
            </w:r>
            <w:r>
              <w:rPr>
                <w:rFonts w:ascii="仿宋_GB2312" w:hAnsi="仿宋_GB2312" w:cs="仿宋_GB2312" w:eastAsia="仿宋_GB2312"/>
                <w:sz w:val="21"/>
              </w:rPr>
              <w:t xml:space="preserve"> 3.2系统适配对接服务：完成科技法庭系统、笔录系统、远程庭审网关、诉讼服务终端、堡垒机、违规外联管控系统等全系统互联互通适配；完成信创软硬件适配调试，解决底层固件、操作系统、应用程序兼容问题，保障脱机庭审、在线庭审、同步录播、语音转写、笔录协同、示证展示等核心功能稳定可用；提供完整部署文档、配置手册、接口文档。</w:t>
            </w:r>
            <w:r>
              <w:br/>
            </w:r>
            <w:r>
              <w:rPr>
                <w:rFonts w:ascii="仿宋_GB2312" w:hAnsi="仿宋_GB2312" w:cs="仿宋_GB2312" w:eastAsia="仿宋_GB2312"/>
                <w:sz w:val="21"/>
              </w:rPr>
              <w:t xml:space="preserve"> 3.3上线试运行服务：整体系统完成部署后提供不少于7天全流程试运行保障，派驻专职技术人员驻场值守，处理庭审异常卡顿、断连、音视频异常、笔录同步异常、转写异常、远程接入异常等突发问题，形成试运行日志及问题整改报告。</w:t>
            </w:r>
            <w:r>
              <w:br/>
            </w:r>
            <w:r>
              <w:rPr>
                <w:rFonts w:ascii="仿宋_GB2312" w:hAnsi="仿宋_GB2312" w:cs="仿宋_GB2312" w:eastAsia="仿宋_GB2312"/>
                <w:sz w:val="21"/>
              </w:rPr>
              <w:t xml:space="preserve"> 4、技术支持与应急保障服务</w:t>
            </w:r>
            <w:r>
              <w:br/>
            </w:r>
            <w:r>
              <w:rPr>
                <w:rFonts w:ascii="仿宋_GB2312" w:hAnsi="仿宋_GB2312" w:cs="仿宋_GB2312" w:eastAsia="仿宋_GB2312"/>
                <w:sz w:val="21"/>
              </w:rPr>
              <w:t xml:space="preserve"> 4.1建立重大庭审保障预案：包含庭审直播、视频会议、观摩庭审等重大活动，提前完成全系统压力测试、音视频测试、远程链路测试，必要时提供现场技术保障，杜绝庭审中断、录音录像异常、笔录丢失事故。</w:t>
            </w:r>
            <w:r>
              <w:br/>
            </w:r>
            <w:r>
              <w:rPr>
                <w:rFonts w:ascii="仿宋_GB2312" w:hAnsi="仿宋_GB2312" w:cs="仿宋_GB2312" w:eastAsia="仿宋_GB2312"/>
                <w:sz w:val="21"/>
              </w:rPr>
              <w:t xml:space="preserve"> 4.2数据备份与容灾服务：配置定期自动备份策略（庭审笔录、录音录像、系统配置），保障可恢复性；支持离线庭审模式，保障断网情况下基础庭审功能可用，配套内外网运维管理规范。</w:t>
            </w:r>
          </w:p>
          <w:p>
            <w:pPr>
              <w:pStyle w:val="null3"/>
              <w:jc w:val="center"/>
            </w:pPr>
            <w:r>
              <w:rPr>
                <w:rFonts w:ascii="仿宋_GB2312" w:hAnsi="仿宋_GB2312" w:cs="仿宋_GB2312" w:eastAsia="仿宋_GB2312"/>
                <w:sz w:val="21"/>
                <w:b/>
                <w:color w:val="000000"/>
              </w:rPr>
              <w:t>★</w:t>
            </w:r>
            <w:r>
              <w:rPr>
                <w:rFonts w:ascii="仿宋_GB2312" w:hAnsi="仿宋_GB2312" w:cs="仿宋_GB2312" w:eastAsia="仿宋_GB2312"/>
                <w:sz w:val="28"/>
                <w:b/>
                <w:color w:val="000000"/>
              </w:rPr>
              <w:t>第二部分、商务要求</w:t>
            </w:r>
          </w:p>
          <w:p>
            <w:pPr>
              <w:pStyle w:val="null3"/>
            </w:pPr>
            <w:r>
              <w:rPr>
                <w:rFonts w:ascii="仿宋_GB2312" w:hAnsi="仿宋_GB2312" w:cs="仿宋_GB2312" w:eastAsia="仿宋_GB2312"/>
                <w:sz w:val="21"/>
                <w:b/>
              </w:rPr>
              <w:t>一、合同履行期限及地点</w:t>
            </w:r>
            <w:r>
              <w:br/>
            </w:r>
            <w:r>
              <w:rPr>
                <w:rFonts w:ascii="仿宋_GB2312" w:hAnsi="仿宋_GB2312" w:cs="仿宋_GB2312" w:eastAsia="仿宋_GB2312"/>
                <w:sz w:val="21"/>
              </w:rPr>
              <w:t xml:space="preserve"> 1、合同履行期限：本次项目建设周期为60个日历天。</w:t>
            </w:r>
            <w:r>
              <w:br/>
            </w:r>
            <w:r>
              <w:rPr>
                <w:rFonts w:ascii="仿宋_GB2312" w:hAnsi="仿宋_GB2312" w:cs="仿宋_GB2312" w:eastAsia="仿宋_GB2312"/>
                <w:sz w:val="21"/>
              </w:rPr>
              <w:t xml:space="preserve"> 2、服务地点：富平县人民法院。</w:t>
            </w:r>
            <w:r>
              <w:br/>
            </w:r>
            <w:r>
              <w:rPr>
                <w:rFonts w:ascii="仿宋_GB2312" w:hAnsi="仿宋_GB2312" w:cs="仿宋_GB2312" w:eastAsia="仿宋_GB2312"/>
                <w:sz w:val="21"/>
                <w:b/>
              </w:rPr>
              <w:t>二、付款方式</w:t>
            </w:r>
            <w:r>
              <w:br/>
            </w:r>
            <w:r>
              <w:rPr>
                <w:rFonts w:ascii="仿宋_GB2312" w:hAnsi="仿宋_GB2312" w:cs="仿宋_GB2312" w:eastAsia="仿宋_GB2312"/>
                <w:sz w:val="21"/>
              </w:rPr>
              <w:t>1、 预付款，合同签订后，达到付款条件起30个工作日内，支付合同总金额的40.0%</w:t>
            </w:r>
          </w:p>
          <w:p>
            <w:pPr>
              <w:pStyle w:val="null3"/>
            </w:pPr>
            <w:r>
              <w:rPr>
                <w:rFonts w:ascii="仿宋_GB2312" w:hAnsi="仿宋_GB2312" w:cs="仿宋_GB2312" w:eastAsia="仿宋_GB2312"/>
                <w:sz w:val="21"/>
              </w:rPr>
              <w:t>2、 进度款，系统搭建调试全部完成并验收合格，采购人投入正常使用后，达到付款条件起30个工作日内，支付合同总金额的60.0%；</w:t>
            </w:r>
            <w:r>
              <w:br/>
            </w:r>
            <w:r>
              <w:rPr>
                <w:rFonts w:ascii="仿宋_GB2312" w:hAnsi="仿宋_GB2312" w:cs="仿宋_GB2312" w:eastAsia="仿宋_GB2312"/>
                <w:sz w:val="21"/>
              </w:rPr>
              <w:t xml:space="preserve"> 3、支付方式：银行转账；</w:t>
            </w:r>
            <w:r>
              <w:br/>
            </w:r>
            <w:r>
              <w:rPr>
                <w:rFonts w:ascii="仿宋_GB2312" w:hAnsi="仿宋_GB2312" w:cs="仿宋_GB2312" w:eastAsia="仿宋_GB2312"/>
                <w:sz w:val="21"/>
              </w:rPr>
              <w:t xml:space="preserve"> 4、项目总价应包含供应商为完成合同规定的全部内容所发生的费用（包括软件开发费用、配套设备费用、培训费用、系统接口费用及其他各类费用等）和拟获得的利润、应交纳的各种税费等所有费用。系统供应费、运输费（含保险费）、安装调试费、检测验收费及其它费用。 </w:t>
            </w:r>
            <w:r>
              <w:br/>
            </w:r>
            <w:r>
              <w:rPr>
                <w:rFonts w:ascii="仿宋_GB2312" w:hAnsi="仿宋_GB2312" w:cs="仿宋_GB2312" w:eastAsia="仿宋_GB2312"/>
                <w:sz w:val="21"/>
              </w:rPr>
              <w:t xml:space="preserve"> 5、合同有效期内，合同一次包死，不受国家政策性调价或价格变化及外汇汇率变化的影响，并作为最终结算的唯一依据。</w:t>
            </w:r>
            <w:r>
              <w:br/>
            </w:r>
            <w:r>
              <w:rPr>
                <w:rFonts w:ascii="仿宋_GB2312" w:hAnsi="仿宋_GB2312" w:cs="仿宋_GB2312" w:eastAsia="仿宋_GB2312"/>
                <w:sz w:val="21"/>
                <w:b/>
              </w:rPr>
              <w:t>三、质保期：</w:t>
            </w:r>
            <w:r>
              <w:rPr>
                <w:rFonts w:ascii="仿宋_GB2312" w:hAnsi="仿宋_GB2312" w:cs="仿宋_GB2312" w:eastAsia="仿宋_GB2312"/>
                <w:sz w:val="21"/>
              </w:rPr>
              <w:t>供应商需提供自验收合格之日起硬件一年质保，软件系统三年质保，全部软件终生免费升级。</w:t>
            </w:r>
            <w:r>
              <w:br/>
            </w:r>
            <w:r>
              <w:rPr>
                <w:rFonts w:ascii="仿宋_GB2312" w:hAnsi="仿宋_GB2312" w:cs="仿宋_GB2312" w:eastAsia="仿宋_GB2312"/>
                <w:sz w:val="21"/>
                <w:b/>
              </w:rPr>
              <w:t>四、服务要求</w:t>
            </w:r>
            <w:r>
              <w:br/>
            </w:r>
            <w:r>
              <w:rPr>
                <w:rFonts w:ascii="仿宋_GB2312" w:hAnsi="仿宋_GB2312" w:cs="仿宋_GB2312" w:eastAsia="仿宋_GB2312"/>
                <w:sz w:val="21"/>
              </w:rPr>
              <w:t xml:space="preserve"> 1、售后服务要求</w:t>
            </w:r>
            <w:r>
              <w:br/>
            </w:r>
            <w:r>
              <w:rPr>
                <w:rFonts w:ascii="仿宋_GB2312" w:hAnsi="仿宋_GB2312" w:cs="仿宋_GB2312" w:eastAsia="仿宋_GB2312"/>
                <w:sz w:val="21"/>
              </w:rPr>
              <w:t xml:space="preserve"> 1.1 提供 7（天）×24（小时）有固定人员/团队的电话、远程支持服务。在接到故障通报后，立即响应。严重故障需要1小时内赶到故障现场，24小时排除故障。</w:t>
            </w:r>
            <w:r>
              <w:br/>
            </w:r>
            <w:r>
              <w:rPr>
                <w:rFonts w:ascii="仿宋_GB2312" w:hAnsi="仿宋_GB2312" w:cs="仿宋_GB2312" w:eastAsia="仿宋_GB2312"/>
                <w:sz w:val="21"/>
              </w:rPr>
              <w:t xml:space="preserve"> 1.2 问题解决或单次维护完毕后，在2 个工作日内提交问题处理报告供留存。在需要多次到现场解决问题的情况下，确保到达现场解决问题的工程师为同一个工程师。如中途需要更换工程师，须提出申请，同意后方可更换。同时，更换后的工程师应与原工程师就故障问题进行沟通，确保对故障处理进度的完全了解。确认提交的问题报告后，对故障问题配合进行整改。</w:t>
            </w:r>
            <w:r>
              <w:br/>
            </w:r>
            <w:r>
              <w:rPr>
                <w:rFonts w:ascii="仿宋_GB2312" w:hAnsi="仿宋_GB2312" w:cs="仿宋_GB2312" w:eastAsia="仿宋_GB2312"/>
                <w:sz w:val="21"/>
              </w:rPr>
              <w:t xml:space="preserve"> 2、BUG修复及系统升级服务</w:t>
            </w:r>
            <w:r>
              <w:br/>
            </w:r>
            <w:r>
              <w:rPr>
                <w:rFonts w:ascii="仿宋_GB2312" w:hAnsi="仿宋_GB2312" w:cs="仿宋_GB2312" w:eastAsia="仿宋_GB2312"/>
                <w:sz w:val="21"/>
              </w:rPr>
              <w:t xml:space="preserve"> 质保期内，产品如存在功能性、安全性漏洞，需免费提供升级服务。在升级前，由采购人制定升级内容，供应商提供详细的系统升级方案。双方协商实施计划，制定详细的实施方案，包括测试方案、测试计划、回退方案、升级时间、升级步骤、参与人员等，在不影响现有业务功能、数据的前提下，保证升级成功。</w:t>
            </w:r>
            <w:r>
              <w:br/>
            </w:r>
            <w:r>
              <w:rPr>
                <w:rFonts w:ascii="仿宋_GB2312" w:hAnsi="仿宋_GB2312" w:cs="仿宋_GB2312" w:eastAsia="仿宋_GB2312"/>
                <w:sz w:val="21"/>
              </w:rPr>
              <w:t xml:space="preserve"> 3、培训要求</w:t>
            </w:r>
            <w:r>
              <w:br/>
            </w:r>
            <w:r>
              <w:rPr>
                <w:rFonts w:ascii="仿宋_GB2312" w:hAnsi="仿宋_GB2312" w:cs="仿宋_GB2312" w:eastAsia="仿宋_GB2312"/>
                <w:sz w:val="21"/>
              </w:rPr>
              <w:t xml:space="preserve"> 3.1分管理员培训、书记员培训、法官操作培训三类，累计培训不少于3场，所有参训人员考核合格后方可验收，培训课件永久提供更新；</w:t>
            </w:r>
            <w:r>
              <w:br/>
            </w:r>
            <w:r>
              <w:rPr>
                <w:rFonts w:ascii="仿宋_GB2312" w:hAnsi="仿宋_GB2312" w:cs="仿宋_GB2312" w:eastAsia="仿宋_GB2312"/>
                <w:sz w:val="21"/>
              </w:rPr>
              <w:t xml:space="preserve"> 3.2供应商的培训应满足下列目标：</w:t>
            </w:r>
            <w:r>
              <w:br/>
            </w:r>
            <w:r>
              <w:rPr>
                <w:rFonts w:ascii="仿宋_GB2312" w:hAnsi="仿宋_GB2312" w:cs="仿宋_GB2312" w:eastAsia="仿宋_GB2312"/>
                <w:sz w:val="21"/>
              </w:rPr>
              <w:t xml:space="preserve"> 1）采购人用户能操作和使用投标产品提供的各种功能；</w:t>
            </w:r>
            <w:r>
              <w:br/>
            </w:r>
            <w:r>
              <w:rPr>
                <w:rFonts w:ascii="仿宋_GB2312" w:hAnsi="仿宋_GB2312" w:cs="仿宋_GB2312" w:eastAsia="仿宋_GB2312"/>
                <w:sz w:val="21"/>
              </w:rPr>
              <w:t xml:space="preserve"> 2）如果系统出现问题，系统管理员能诊断和处理；</w:t>
            </w:r>
            <w:r>
              <w:br/>
            </w:r>
            <w:r>
              <w:rPr>
                <w:rFonts w:ascii="仿宋_GB2312" w:hAnsi="仿宋_GB2312" w:cs="仿宋_GB2312" w:eastAsia="仿宋_GB2312"/>
                <w:sz w:val="21"/>
              </w:rPr>
              <w:t xml:space="preserve"> 3）熟悉所有必要的安全措施，并能有效合理地实施这些措施；</w:t>
            </w:r>
            <w:r>
              <w:br/>
            </w:r>
            <w:r>
              <w:rPr>
                <w:rFonts w:ascii="仿宋_GB2312" w:hAnsi="仿宋_GB2312" w:cs="仿宋_GB2312" w:eastAsia="仿宋_GB2312"/>
                <w:sz w:val="21"/>
                <w:b/>
              </w:rPr>
              <w:t>五、其它要求</w:t>
            </w:r>
            <w:r>
              <w:br/>
            </w:r>
            <w:r>
              <w:rPr>
                <w:rFonts w:ascii="仿宋_GB2312" w:hAnsi="仿宋_GB2312" w:cs="仿宋_GB2312" w:eastAsia="仿宋_GB2312"/>
                <w:sz w:val="21"/>
              </w:rPr>
              <w:t xml:space="preserve"> 1、中标方为履行本合同而发生的所有费用(包括但不限于软硬件的采购、安装、数据对接、部署、调试、系统集成、第三方测评、内外部验收(包括专家费用等)、维护、人员培训、税费、工作人员劳务费等一切费用)均应包含在合同价格中，甲方不再另行支付其它任何费用。</w:t>
            </w:r>
            <w:r>
              <w:br/>
            </w:r>
            <w:r>
              <w:rPr>
                <w:rFonts w:ascii="仿宋_GB2312" w:hAnsi="仿宋_GB2312" w:cs="仿宋_GB2312" w:eastAsia="仿宋_GB2312"/>
                <w:sz w:val="21"/>
              </w:rPr>
              <w:t xml:space="preserve"> 2、所有根据项目合同或其他原因需供应商支付的（缴纳的）费用都要包括在供应商提交的投标报价中。</w:t>
            </w:r>
            <w:r>
              <w:br/>
            </w:r>
            <w:r>
              <w:rPr>
                <w:rFonts w:ascii="仿宋_GB2312" w:hAnsi="仿宋_GB2312" w:cs="仿宋_GB2312" w:eastAsia="仿宋_GB2312"/>
                <w:sz w:val="21"/>
              </w:rPr>
              <w:t xml:space="preserve"> 3、供应商所报的价格在合同执行过程中是固定不变的，不得以任何理由予以变更。</w:t>
            </w:r>
            <w:r>
              <w:br/>
            </w:r>
            <w:r>
              <w:rPr>
                <w:rFonts w:ascii="仿宋_GB2312" w:hAnsi="仿宋_GB2312" w:cs="仿宋_GB2312" w:eastAsia="仿宋_GB2312"/>
                <w:sz w:val="21"/>
              </w:rPr>
              <w:t xml:space="preserve"> 4、中标人应当按照合同约定履行义务，完成中标项目全部工作内容，未经采购人同意不得将中标项目转让(转包)给他人。否则，采购人有权终止合同，重新确定中标人，签定合同。</w:t>
            </w:r>
            <w:r>
              <w:br/>
            </w:r>
            <w:r>
              <w:rPr>
                <w:rFonts w:ascii="仿宋_GB2312" w:hAnsi="仿宋_GB2312" w:cs="仿宋_GB2312" w:eastAsia="仿宋_GB2312"/>
                <w:sz w:val="21"/>
                <w:b/>
              </w:rPr>
              <w:t>六、合同实施</w:t>
            </w:r>
            <w:r>
              <w:br/>
            </w:r>
            <w:r>
              <w:rPr>
                <w:rFonts w:ascii="仿宋_GB2312" w:hAnsi="仿宋_GB2312" w:cs="仿宋_GB2312" w:eastAsia="仿宋_GB2312"/>
                <w:sz w:val="21"/>
              </w:rPr>
              <w:t xml:space="preserve"> 1、中标单位应在合同签订后7个日历日内安排人员（项目组成人员简历表所列）与采购人就服务、安装、调试、培训等工作进行安排、部署。</w:t>
            </w:r>
            <w:r>
              <w:br/>
            </w:r>
            <w:r>
              <w:rPr>
                <w:rFonts w:ascii="仿宋_GB2312" w:hAnsi="仿宋_GB2312" w:cs="仿宋_GB2312" w:eastAsia="仿宋_GB2312"/>
                <w:sz w:val="21"/>
              </w:rPr>
              <w:t xml:space="preserve"> 2、若未能在合同履行期限内完成合同规定的义务，由此对采购方造成的延误和一切损失，由中标单位承担和赔偿。</w:t>
            </w:r>
            <w:r>
              <w:br/>
            </w:r>
            <w:r>
              <w:rPr>
                <w:rFonts w:ascii="仿宋_GB2312" w:hAnsi="仿宋_GB2312" w:cs="仿宋_GB2312" w:eastAsia="仿宋_GB2312"/>
                <w:sz w:val="21"/>
                <w:b/>
              </w:rPr>
              <w:t xml:space="preserve">七、项目验收要求    </w:t>
            </w:r>
            <w:r>
              <w:br/>
            </w:r>
            <w:r>
              <w:rPr>
                <w:rFonts w:ascii="仿宋_GB2312" w:hAnsi="仿宋_GB2312" w:cs="仿宋_GB2312" w:eastAsia="仿宋_GB2312"/>
                <w:sz w:val="21"/>
              </w:rPr>
              <w:t xml:space="preserve"> 本项目系统上线并试运行一个月无问题后，按照国家及行业相关标准由采购人组织验收。验收合格后，系统进入正式运行状态，即进入保修期。</w:t>
            </w:r>
            <w:r>
              <w:br/>
            </w:r>
            <w:r>
              <w:rPr>
                <w:rFonts w:ascii="仿宋_GB2312" w:hAnsi="仿宋_GB2312" w:cs="仿宋_GB2312" w:eastAsia="仿宋_GB2312"/>
                <w:sz w:val="21"/>
              </w:rPr>
              <w:t xml:space="preserve"> 项目验收合格条件如下：</w:t>
            </w:r>
            <w:r>
              <w:br/>
            </w:r>
            <w:r>
              <w:rPr>
                <w:rFonts w:ascii="仿宋_GB2312" w:hAnsi="仿宋_GB2312" w:cs="仿宋_GB2312" w:eastAsia="仿宋_GB2312"/>
                <w:sz w:val="21"/>
              </w:rPr>
              <w:t xml:space="preserve"> 1）技术参数与采购合同一致，性能指标达到规定的标准。</w:t>
            </w:r>
            <w:r>
              <w:br/>
            </w:r>
            <w:r>
              <w:rPr>
                <w:rFonts w:ascii="仿宋_GB2312" w:hAnsi="仿宋_GB2312" w:cs="仿宋_GB2312" w:eastAsia="仿宋_GB2312"/>
                <w:sz w:val="21"/>
              </w:rPr>
              <w:t xml:space="preserve"> 2）技术资料齐全并与投标时所提供的技术资料一致。</w:t>
            </w:r>
            <w:r>
              <w:br/>
            </w:r>
            <w:r>
              <w:rPr>
                <w:rFonts w:ascii="仿宋_GB2312" w:hAnsi="仿宋_GB2312" w:cs="仿宋_GB2312" w:eastAsia="仿宋_GB2312"/>
                <w:sz w:val="21"/>
              </w:rPr>
              <w:t xml:space="preserve"> 3）软件产品在安装调试并试运行符合要求。</w:t>
            </w:r>
            <w:r>
              <w:br/>
            </w:r>
            <w:r>
              <w:rPr>
                <w:rFonts w:ascii="仿宋_GB2312" w:hAnsi="仿宋_GB2312" w:cs="仿宋_GB2312" w:eastAsia="仿宋_GB2312"/>
                <w:sz w:val="21"/>
              </w:rPr>
              <w:t xml:space="preserve"> 4）在系统调试期间所出现的问题得到解决，并运行正常。</w:t>
            </w:r>
            <w:r>
              <w:br/>
            </w:r>
            <w:r>
              <w:rPr>
                <w:rFonts w:ascii="仿宋_GB2312" w:hAnsi="仿宋_GB2312" w:cs="仿宋_GB2312" w:eastAsia="仿宋_GB2312"/>
                <w:sz w:val="21"/>
              </w:rPr>
              <w:t xml:space="preserve"> 5）在规定时间内完成交付，并经采购人确认。</w:t>
            </w:r>
            <w:r>
              <w:br/>
            </w:r>
            <w:r>
              <w:rPr>
                <w:rFonts w:ascii="仿宋_GB2312" w:hAnsi="仿宋_GB2312" w:cs="仿宋_GB2312" w:eastAsia="仿宋_GB2312"/>
                <w:sz w:val="21"/>
                <w:b/>
              </w:rPr>
              <w:t>八、违约责任</w:t>
            </w:r>
            <w:r>
              <w:br/>
            </w:r>
            <w:r>
              <w:rPr>
                <w:rFonts w:ascii="仿宋_GB2312" w:hAnsi="仿宋_GB2312" w:cs="仿宋_GB2312" w:eastAsia="仿宋_GB2312"/>
                <w:sz w:val="21"/>
              </w:rPr>
              <w:t xml:space="preserve"> 1、按《中华人民共和国民法典》中的相关条款执行；</w:t>
            </w:r>
            <w:r>
              <w:br/>
            </w:r>
            <w:r>
              <w:rPr>
                <w:rFonts w:ascii="仿宋_GB2312" w:hAnsi="仿宋_GB2312" w:cs="仿宋_GB2312" w:eastAsia="仿宋_GB2312"/>
                <w:sz w:val="21"/>
              </w:rPr>
              <w:t xml:space="preserve"> 2、乙方未能按期履行合同或乙方未按合同要求提供货物或货物质量不能满足甲方要求，甲方有权单方面解除合同，乙方除应返还甲方已支付的款项外，还应承担本合同总金额10%的违约金，违约金不足以弥补损失的，乙方应予补足；</w:t>
            </w:r>
            <w:r>
              <w:br/>
            </w:r>
            <w:r>
              <w:rPr>
                <w:rFonts w:ascii="仿宋_GB2312" w:hAnsi="仿宋_GB2312" w:cs="仿宋_GB2312" w:eastAsia="仿宋_GB2312"/>
                <w:sz w:val="21"/>
              </w:rPr>
              <w:t xml:space="preserve"> 3、交货期每逾期一天，乙方应向甲方支付合同总价款的 0.05%违约金。逾期超过15日的，甲方有单方面解除本合同，乙方除退还甲方已支付全部费用外还应按照合同总价的10%向甲方支付违约金。违约金不足以弥补损失的，乙方应予以补足。</w:t>
            </w:r>
            <w:r>
              <w:br/>
            </w:r>
            <w:r>
              <w:rPr>
                <w:rFonts w:ascii="仿宋_GB2312" w:hAnsi="仿宋_GB2312" w:cs="仿宋_GB2312" w:eastAsia="仿宋_GB2312"/>
                <w:sz w:val="21"/>
              </w:rPr>
              <w:t xml:space="preserve"> 4、涉密保责任：项目所有数据、方案永久保密，合同终止后销毁全部涉密资料，泄密承担合同总价 30% 违约金并追究法律责任；</w:t>
            </w:r>
            <w:r>
              <w:br/>
            </w:r>
            <w:r>
              <w:rPr>
                <w:rFonts w:ascii="仿宋_GB2312" w:hAnsi="仿宋_GB2312" w:cs="仿宋_GB2312" w:eastAsia="仿宋_GB2312"/>
                <w:sz w:val="21"/>
              </w:rPr>
              <w:t xml:space="preserve"> 5、未按合同要求提供产品或设备质量不能满足技术要求，采购方有权终止合同，并对中标单位违约行为进行追究，同时按《政府采购法》的有关规定进行处罚。</w:t>
            </w:r>
            <w:r>
              <w:br/>
            </w:r>
            <w:r>
              <w:rPr>
                <w:rFonts w:ascii="仿宋_GB2312" w:hAnsi="仿宋_GB2312" w:cs="仿宋_GB2312" w:eastAsia="仿宋_GB2312"/>
                <w:sz w:val="21"/>
                <w:b/>
              </w:rPr>
              <w:t>注：商务要求为实质性要求，不得负偏离。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本次项目建设周期为60个日历天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富平县人民法院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详见招标文件、合同条款及采购人要求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进度款，系统搭建调试全部完成并验收合格，采购人投入正常使用后，达到付款条件起30个工作日内，支付合同总金额的60.0%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详见招标文件、合同条款及采购人要求</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2、为顺利推进政府采购电子化交易平台应用工作，中标供应商需要在领取中标通知书时向代理机构提供纸质版响应文件，正本壹份、副本叁份。 纸质版文件提交地址为：西安市未央区北二环大明宫立交桥百寰国际2705室。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2025年度经审计的财务报告或在2026年2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独立承担民事责任的能力：合法注册的法人应提供营业执照（或事业法人证）、组织机构代码证、税务登记证或统一社会信用代码的营业执照或其他组织应提供合法证明文件或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良好的商业信誉和健全的财务会计制度</w:t>
            </w:r>
          </w:p>
        </w:tc>
        <w:tc>
          <w:tcPr>
            <w:tcW w:type="dxa" w:w="3322"/>
          </w:tcPr>
          <w:p>
            <w:pPr>
              <w:pStyle w:val="null3"/>
            </w:pPr>
            <w:r>
              <w:rPr>
                <w:rFonts w:ascii="仿宋_GB2312" w:hAnsi="仿宋_GB2312" w:cs="仿宋_GB2312" w:eastAsia="仿宋_GB2312"/>
              </w:rPr>
              <w:t>良好的商业信誉和健全的财务会计制度：2025年度经审计的财务报告或在2026年2月1日至今其基本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有依法缴纳税收和社会保障资金的良好记录：提供2026年2月1日至今任意一个月的缴纳证明；供应商需在项目电子化交易系统中按要求上传相应证明文件并进行电子签章。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①参加政府采购活动前三年内，在经营活动中没有重大违法记录的书面声明；②提供具有履行本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法定代表人/负责人直接参加投标的，须提供法定代表人/负责人身份证明；法定代表人/负责人授权代表参加投标的，须提供法定代表人/负责人授权委托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供应商企业关系关联及联合体说明：①本项目不接受联合体投标；②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备注：（1）除银行、保险、石油石化、电力、电信行业外，其他行业分支机构在参与投标时，须同时提供分支机构主体资格证明文件和总公司（总所）出具的授权书，总公司（总所）只能授权一家分支机构。经总公司（总所）授权后，总公司（总所）取得的相关资质证书对分支机构有效（法律法规或行业另有规定的除外）。（2）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需提供身份证复印件。</w:t>
            </w:r>
          </w:p>
        </w:tc>
        <w:tc>
          <w:tcPr>
            <w:tcW w:type="dxa" w:w="1661"/>
          </w:tcPr>
          <w:p>
            <w:pPr>
              <w:pStyle w:val="null3"/>
            </w:pPr>
            <w:r>
              <w:rPr>
                <w:rFonts w:ascii="仿宋_GB2312" w:hAnsi="仿宋_GB2312" w:cs="仿宋_GB2312" w:eastAsia="仿宋_GB2312"/>
              </w:rPr>
              <w:t>供应商资质证明文件.docx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投标文件有效期是否符合招标文件要求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投标文件是否符合招标文件签字、盖章要求</w:t>
            </w:r>
          </w:p>
        </w:tc>
        <w:tc>
          <w:tcPr>
            <w:tcW w:type="dxa" w:w="1661"/>
          </w:tcPr>
          <w:p>
            <w:pPr>
              <w:pStyle w:val="null3"/>
            </w:pPr>
            <w:r>
              <w:rPr>
                <w:rFonts w:ascii="仿宋_GB2312" w:hAnsi="仿宋_GB2312" w:cs="仿宋_GB2312" w:eastAsia="仿宋_GB2312"/>
              </w:rPr>
              <w:t>技术、服务要求应答表.docx 开标一览表 中小企业声明函 分项报价表.docx 供应商资质证明文件.docx 供应商认为需要提供的其他资料.docx 投标函 残疾人福利性单位声明函 拒绝政府采购领域商业贿赂承诺书.docx 供应商项目业绩一览表.docx 标的清单 合同条款及其他商务要求应答表.docx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（1）投标报价是否符合唯一性要求；（2）计量单位、报价货币均是否符合招标文件要求； （3）未超出招标文件规定的最高限价。</w:t>
            </w:r>
          </w:p>
        </w:tc>
        <w:tc>
          <w:tcPr>
            <w:tcW w:type="dxa" w:w="1661"/>
          </w:tcPr>
          <w:p>
            <w:pPr>
              <w:pStyle w:val="null3"/>
            </w:pPr>
            <w:r>
              <w:rPr>
                <w:rFonts w:ascii="仿宋_GB2312" w:hAnsi="仿宋_GB2312" w:cs="仿宋_GB2312" w:eastAsia="仿宋_GB2312"/>
              </w:rPr>
              <w:t>开标一览表 分项报价表.docx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保证金缴纳凭证</w:t>
            </w:r>
          </w:p>
        </w:tc>
        <w:tc>
          <w:tcPr>
            <w:tcW w:type="dxa" w:w="3322"/>
          </w:tcPr>
          <w:p>
            <w:pPr>
              <w:pStyle w:val="null3"/>
            </w:pPr>
            <w:r>
              <w:rPr>
                <w:rFonts w:ascii="仿宋_GB2312" w:hAnsi="仿宋_GB2312" w:cs="仿宋_GB2312" w:eastAsia="仿宋_GB2312"/>
              </w:rPr>
              <w:t>供应商提供的保证金转账凭证或担保机构出具的保函是否符合招标文件要求</w:t>
            </w:r>
          </w:p>
        </w:tc>
        <w:tc>
          <w:tcPr>
            <w:tcW w:type="dxa" w:w="1661"/>
          </w:tcPr>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要求全面响应，符合招标文件相关要求；不能有任何采购人不能接受的附加条件</w:t>
            </w:r>
          </w:p>
        </w:tc>
        <w:tc>
          <w:tcPr>
            <w:tcW w:type="dxa" w:w="1661"/>
          </w:tcPr>
          <w:p>
            <w:pPr>
              <w:pStyle w:val="null3"/>
            </w:pPr>
            <w:r>
              <w:rPr>
                <w:rFonts w:ascii="仿宋_GB2312" w:hAnsi="仿宋_GB2312" w:cs="仿宋_GB2312" w:eastAsia="仿宋_GB2312"/>
              </w:rPr>
              <w:t>合同条款及其他商务要求应答表.docx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完全理解并接受法律法规和招标文件对供应商的各项须知、规约要求和责任义务，没有出现法律法规或招标文件明确规定的其他被视为“无效投标”的情形。</w:t>
            </w:r>
          </w:p>
        </w:tc>
        <w:tc>
          <w:tcPr>
            <w:tcW w:type="dxa" w:w="1661"/>
          </w:tcPr>
          <w:p>
            <w:pPr>
              <w:pStyle w:val="null3"/>
            </w:pPr>
            <w:r>
              <w:rPr>
                <w:rFonts w:ascii="仿宋_GB2312" w:hAnsi="仿宋_GB2312" w:cs="仿宋_GB2312" w:eastAsia="仿宋_GB2312"/>
              </w:rPr>
              <w:t>技术、服务要求应答表.docx 开标一览表 中小企业声明函 分项报价表.docx 供应商资质证明文件.docx 供应商认为需要提供的其他资料.docx 投标函 残疾人福利性单位声明函 拒绝政府采购领域商业贿赂承诺书.docx 供应商项目业绩一览表.docx 标的清单 合同条款及其他商务要求应答表.docx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技术参数明确配置齐全、功能满足招标文件要求，对产品逐条进行明确响应，其中：①▲项技术指标（共27项）参数明确、功能完全满足招标要求的得满分27分，每出现一项负偏离（未响应或不满足）扣1分，扣完为止； ②其他未标注技术指标参数明确、功能完全满足招标要求的得满分10分，每出现一项负偏离（未响应或不满足）扣0.5分，扣完为止； 备注：▲项技术指标参数需按照要求提供证明资料（包括但不限于界面截图、第三方检测报告、产品功能截图、软件著作权等），如未提供相关证明材料，则该项参数按负偏离对待，按上述规定相应扣分。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技术、服务要求应答表.docx</w:t>
            </w:r>
          </w:p>
        </w:tc>
      </w:tr>
      <w:tr>
        <w:tc>
          <w:tcPr>
            <w:tcW w:type="dxa" w:w="831"/>
            <w:vMerge/>
          </w:tcPr>
          <w:p/>
        </w:tc>
        <w:tc>
          <w:tcPr>
            <w:tcW w:type="dxa" w:w="1661"/>
          </w:tcPr>
          <w:p>
            <w:pPr>
              <w:pStyle w:val="null3"/>
            </w:pPr>
            <w:r>
              <w:rPr>
                <w:rFonts w:ascii="仿宋_GB2312" w:hAnsi="仿宋_GB2312" w:cs="仿宋_GB2312" w:eastAsia="仿宋_GB2312"/>
              </w:rPr>
              <w:t>项目总体设计建设方案</w:t>
            </w:r>
          </w:p>
        </w:tc>
        <w:tc>
          <w:tcPr>
            <w:tcW w:type="dxa" w:w="2492"/>
          </w:tcPr>
          <w:p>
            <w:pPr>
              <w:pStyle w:val="null3"/>
            </w:pPr>
            <w:r>
              <w:rPr>
                <w:rFonts w:ascii="仿宋_GB2312" w:hAnsi="仿宋_GB2312" w:cs="仿宋_GB2312" w:eastAsia="仿宋_GB2312"/>
              </w:rPr>
              <w:t>一、评审内容 供应商提供针对本项目的总体设计方案，内容包括①项目需求分析与建设目标理解、②整体架构设计（包括但不限于总体技术路线、国产化信创架构、软硬件应用架构、全系统功能组成）、③全系统互联互通对接方案（审务督察平台、全国一张网、互联网网关、堡垒机、非法外联软件）、④离线庭审、远程开庭、互联网庭审专项系统设计； 二、评审标准 1、完整性：方案必须全面，对评审内容中的各项要求有详细描述； 2、可实施性：切合本项目实际情况，提出步骤清晰、合理的方案，内容科学合理。 三、赋分标准（满分8分） 每⼩项：每完全满⾜⼀个评审标准得1分，每⼩项满分2分；共4⼩项，满分8分。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项目总体设计建设方案.docx</w:t>
            </w:r>
          </w:p>
        </w:tc>
      </w:tr>
      <w:tr>
        <w:tc>
          <w:tcPr>
            <w:tcW w:type="dxa" w:w="831"/>
            <w:vMerge/>
          </w:tcPr>
          <w:p/>
        </w:tc>
        <w:tc>
          <w:tcPr>
            <w:tcW w:type="dxa" w:w="1661"/>
          </w:tcPr>
          <w:p>
            <w:pPr>
              <w:pStyle w:val="null3"/>
            </w:pPr>
            <w:r>
              <w:rPr>
                <w:rFonts w:ascii="仿宋_GB2312" w:hAnsi="仿宋_GB2312" w:cs="仿宋_GB2312" w:eastAsia="仿宋_GB2312"/>
              </w:rPr>
              <w:t>组织实施方案</w:t>
            </w:r>
          </w:p>
        </w:tc>
        <w:tc>
          <w:tcPr>
            <w:tcW w:type="dxa" w:w="2492"/>
          </w:tcPr>
          <w:p>
            <w:pPr>
              <w:pStyle w:val="null3"/>
            </w:pPr>
            <w:r>
              <w:rPr>
                <w:rFonts w:ascii="仿宋_GB2312" w:hAnsi="仿宋_GB2312" w:cs="仿宋_GB2312" w:eastAsia="仿宋_GB2312"/>
              </w:rPr>
              <w:t>一、评审内容 供应商提供针对本项目的实施方案，内容包括①设备点位规划、布线、硬件部署、②软件安装、系统联调、历史庭审数据迁移、③硬件部分安装调试、④试运行驻场保障、⑤验收流程及方案； 二、评审标准 1、完整性：方案必须全面，对评审内容中的各项要求有详细描述； 2、可实施性：切合本项目实际情况，提出步骤清晰、合理的方案，内容科学合理。 三、赋分标准（满分10分） 每⼩项：每完全满⾜⼀个评审标准得1分，每⼩项满分2分；共5⼩项，满分10分。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组织实施方案.docx</w:t>
            </w:r>
          </w:p>
        </w:tc>
      </w:tr>
      <w:tr>
        <w:tc>
          <w:tcPr>
            <w:tcW w:type="dxa" w:w="831"/>
            <w:vMerge/>
          </w:tcPr>
          <w:p/>
        </w:tc>
        <w:tc>
          <w:tcPr>
            <w:tcW w:type="dxa" w:w="1661"/>
          </w:tcPr>
          <w:p>
            <w:pPr>
              <w:pStyle w:val="null3"/>
            </w:pPr>
            <w:r>
              <w:rPr>
                <w:rFonts w:ascii="仿宋_GB2312" w:hAnsi="仿宋_GB2312" w:cs="仿宋_GB2312" w:eastAsia="仿宋_GB2312"/>
              </w:rPr>
              <w:t>售后服务与运维保障方案</w:t>
            </w:r>
          </w:p>
        </w:tc>
        <w:tc>
          <w:tcPr>
            <w:tcW w:type="dxa" w:w="2492"/>
          </w:tcPr>
          <w:p>
            <w:pPr>
              <w:pStyle w:val="null3"/>
            </w:pPr>
            <w:r>
              <w:rPr>
                <w:rFonts w:ascii="仿宋_GB2312" w:hAnsi="仿宋_GB2312" w:cs="仿宋_GB2312" w:eastAsia="仿宋_GB2312"/>
              </w:rPr>
              <w:t>一、评审内容 供应商提供针对本项目售后服务方案，内容包括①故障分级响应标准、②定期巡检运维计划、③故障台账、处理报告闭环制度、④BUG修复、版本升级实施保障、⑤重大庭审现场专项保障、⑥分级运维服务机制。 二、评审标准 1、完整性：方案必须全面，对评审内容中的各项要求有详细描述； 2、可实施性：切合本项目实际情况，提出步骤清晰、合理的方案，内容科学合理。 三、赋分标准（满12分） 每⼩项：每完全满⾜⼀个评审标准得1分，每⼩项满分2分；共6⼩项，满分12分。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售后服务与运维保障方案.docx</w:t>
            </w:r>
          </w:p>
        </w:tc>
      </w:tr>
      <w:tr>
        <w:tc>
          <w:tcPr>
            <w:tcW w:type="dxa" w:w="831"/>
            <w:vMerge/>
          </w:tcPr>
          <w:p/>
        </w:tc>
        <w:tc>
          <w:tcPr>
            <w:tcW w:type="dxa" w:w="1661"/>
          </w:tcPr>
          <w:p>
            <w:pPr>
              <w:pStyle w:val="null3"/>
            </w:pPr>
            <w:r>
              <w:rPr>
                <w:rFonts w:ascii="仿宋_GB2312" w:hAnsi="仿宋_GB2312" w:cs="仿宋_GB2312" w:eastAsia="仿宋_GB2312"/>
              </w:rPr>
              <w:t>人员配置及责任制度</w:t>
            </w:r>
          </w:p>
        </w:tc>
        <w:tc>
          <w:tcPr>
            <w:tcW w:type="dxa" w:w="2492"/>
          </w:tcPr>
          <w:p>
            <w:pPr>
              <w:pStyle w:val="null3"/>
            </w:pPr>
            <w:r>
              <w:rPr>
                <w:rFonts w:ascii="仿宋_GB2312" w:hAnsi="仿宋_GB2312" w:cs="仿宋_GB2312" w:eastAsia="仿宋_GB2312"/>
              </w:rPr>
              <w:t>供应商须针对本项目提供拟投入本项目团队人员配置及责任制度，内容包括： ①项目团队人员配置（包括但不限于拟配备项目负责人、技术负责人、技术工程师、运维专员、资料管理员、培训讲师、售后工程师等全套岗位），供应商所提供的人员岗位配置完善，无空缺得2分，否则不得分； ②供应商针对所配备的人员有相应的岗位职责与管理制度（明确各岗位权责、驻场轮换、人员备用交接机制及现场管理制度），职责清晰、制度明确，得2分，否则不得分。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人员配置及责任制度.docx</w:t>
            </w:r>
          </w:p>
        </w:tc>
      </w:tr>
      <w:tr>
        <w:tc>
          <w:tcPr>
            <w:tcW w:type="dxa" w:w="831"/>
            <w:vMerge/>
          </w:tcPr>
          <w:p/>
        </w:tc>
        <w:tc>
          <w:tcPr>
            <w:tcW w:type="dxa" w:w="1661"/>
          </w:tcPr>
          <w:p>
            <w:pPr>
              <w:pStyle w:val="null3"/>
            </w:pPr>
            <w:r>
              <w:rPr>
                <w:rFonts w:ascii="仿宋_GB2312" w:hAnsi="仿宋_GB2312" w:cs="仿宋_GB2312" w:eastAsia="仿宋_GB2312"/>
              </w:rPr>
              <w:t>专项应急预案</w:t>
            </w:r>
          </w:p>
        </w:tc>
        <w:tc>
          <w:tcPr>
            <w:tcW w:type="dxa" w:w="2492"/>
          </w:tcPr>
          <w:p>
            <w:pPr>
              <w:pStyle w:val="null3"/>
            </w:pPr>
            <w:r>
              <w:rPr>
                <w:rFonts w:ascii="仿宋_GB2312" w:hAnsi="仿宋_GB2312" w:cs="仿宋_GB2312" w:eastAsia="仿宋_GB2312"/>
              </w:rPr>
              <w:t>一、评审内容 供应商针对本项目的采购需求提供应急处理方案，内容包括①系统故障应急（例如庭审断网、音视频卡顿、笔录丢失、录像存储故障处置）；②重大庭审应急（例如观摩庭审、直播、远程合议、互联网开庭保障、现场驻场处置）；③数据安全与保密应急（例如非法外联、数据泄露、断电容灾、涉密资料销毁、泄密追责处置）； 二、评审标准 1、完整性：方案必须全面，对评审内容中的各项要求有详细描述； 2、可实施性：切合本项目实际情况，提出步骤清晰、合理的方案，内容科学合理。 三、赋分标准（满分6分） 每⼩项：每完全满⾜⼀个评审标准得1分，每⼩项满分2分；共3⼩项，满分6分。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专项应急预案.docx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供应商针对本项目实际需求提供技术培训方案，①培训内容设计（例如覆盖软硬件操作、笔录协同、远程开庭、简单故障排查、安全保密操作等），②培训讲师及实施保障(例如含理论授课、一对一实操、结业考核、课件终身更新等）。 二、评审标准 1、完整性：方案必须全面，对评审内容中的各项要求有详细描述； 2、可实施性：切合本项目实际情况，提出步骤清晰、合理的方案，内容科学合理。 三、赋分标准（满分4分） 每⼩项：每完全满⾜⼀个评审标准得1分，每⼩项满分2分；共2⼩项，满分4分。 备注：满⾜评审标准是指：内容不能逻辑混乱、描述过于简单、与项⽬特点不匹配、要求的内容有遗漏、出现常识性错误、存在不适⽤项⽬实际情况的情形、只有标题没有实质性内容以及套⽤挪⽤别的项⽬内容等情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有具体的服务承诺，包括但不限于①承诺若出现服务人员因事、病等不能工作的，及时调整其他服务人员补充、②承诺配置全职、稳定、经验丰富的专属实施团队，核心人员固定在岗，建立人员备用及交接机制，杜绝随意更换人员，保障项目实施连续性、稳定性，全程满足项目人力投入需求、③承诺安全堡垒系统：提供三年免费软件版本升级服务、三年全维度硬件质保运维服务，全程保障系统国产化稳定运行。以上承诺每有一条内容完整具体，符合本项目实际情况得1分，满分3分，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需提供2023年1月1日至今同类业绩（以合同签订日期为准，供应商所提供合同必须有签订日期），每提供一个计1分，满分6分。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满足招标文件要求且评审报价最低的报价为评标基准价，其价格分为满分。其他供应商的价格分统一按照下列公式计算： 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详见附件：合同条款及其他商务要求应答表.docx</w:t>
      </w:r>
    </w:p>
    <w:p>
      <w:pPr>
        <w:pStyle w:val="null3"/>
        <w:ind w:firstLine="960"/>
      </w:pPr>
      <w:r>
        <w:rPr>
          <w:rFonts w:ascii="仿宋_GB2312" w:hAnsi="仿宋_GB2312" w:cs="仿宋_GB2312" w:eastAsia="仿宋_GB2312"/>
        </w:rPr>
        <w:t>详见附件：技术、服务要求应答表.docx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详见附件：供应商项目业绩一览表.docx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详见附件：人员配置及责任制度.docx</w:t>
      </w:r>
    </w:p>
    <w:p>
      <w:pPr>
        <w:pStyle w:val="null3"/>
        <w:ind w:firstLine="960"/>
      </w:pPr>
      <w:r>
        <w:rPr>
          <w:rFonts w:ascii="仿宋_GB2312" w:hAnsi="仿宋_GB2312" w:cs="仿宋_GB2312" w:eastAsia="仿宋_GB2312"/>
        </w:rPr>
        <w:t>详见附件：售后服务与运维保障方案.docx</w:t>
      </w:r>
    </w:p>
    <w:p>
      <w:pPr>
        <w:pStyle w:val="null3"/>
        <w:ind w:firstLine="960"/>
      </w:pPr>
      <w:r>
        <w:rPr>
          <w:rFonts w:ascii="仿宋_GB2312" w:hAnsi="仿宋_GB2312" w:cs="仿宋_GB2312" w:eastAsia="仿宋_GB2312"/>
        </w:rPr>
        <w:t>详见附件：项目总体设计建设方案.docx</w:t>
      </w:r>
    </w:p>
    <w:p>
      <w:pPr>
        <w:pStyle w:val="null3"/>
        <w:ind w:firstLine="960"/>
      </w:pPr>
      <w:r>
        <w:rPr>
          <w:rFonts w:ascii="仿宋_GB2312" w:hAnsi="仿宋_GB2312" w:cs="仿宋_GB2312" w:eastAsia="仿宋_GB2312"/>
        </w:rPr>
        <w:t>详见附件：专项应急预案.docx</w:t>
      </w:r>
    </w:p>
    <w:p>
      <w:pPr>
        <w:pStyle w:val="null3"/>
        <w:ind w:firstLine="960"/>
      </w:pPr>
      <w:r>
        <w:rPr>
          <w:rFonts w:ascii="仿宋_GB2312" w:hAnsi="仿宋_GB2312" w:cs="仿宋_GB2312" w:eastAsia="仿宋_GB2312"/>
        </w:rPr>
        <w:t>详见附件：组织实施方案.docx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详见附件：拟签订合同条款及格式.docx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