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版本号：HCCG-2025-588.1B120260427002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手术和消毒设备(二次)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HCCG-2025-588.1B1</w:t>
      </w:r>
      <w:r>
        <w:br/>
      </w:r>
      <w:r>
        <w:br/>
      </w:r>
      <w:r>
        <w:br/>
      </w:r>
    </w:p>
    <w:p>
      <w:pPr>
        <w:pStyle w:val="null3"/>
        <w:jc w:val="center"/>
        <w:outlineLvl w:val="2"/>
      </w:pPr>
      <w:r>
        <w:rPr>
          <w:rFonts w:ascii="仿宋_GB2312" w:hAnsi="仿宋_GB2312" w:cs="仿宋_GB2312" w:eastAsia="仿宋_GB2312"/>
          <w:sz w:val="28"/>
          <w:b/>
        </w:rPr>
        <w:t>西北大学第一医院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西北大学第一医院</w:t>
      </w:r>
      <w:r>
        <w:rPr>
          <w:rFonts w:ascii="仿宋_GB2312" w:hAnsi="仿宋_GB2312" w:cs="仿宋_GB2312" w:eastAsia="仿宋_GB2312"/>
        </w:rPr>
        <w:t>委托，拟对</w:t>
      </w:r>
      <w:r>
        <w:rPr>
          <w:rFonts w:ascii="仿宋_GB2312" w:hAnsi="仿宋_GB2312" w:cs="仿宋_GB2312" w:eastAsia="仿宋_GB2312"/>
        </w:rPr>
        <w:t>手术和消毒设备(二次)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HCCG-2025-588.1B1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手术和消毒设备(二次)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手术设备，详见招标文件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资质证书：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p>
      <w:pPr>
        <w:pStyle w:val="null3"/>
      </w:pPr>
      <w:r>
        <w:rPr>
          <w:rFonts w:ascii="仿宋_GB2312" w:hAnsi="仿宋_GB2312" w:cs="仿宋_GB2312" w:eastAsia="仿宋_GB2312"/>
        </w:rPr>
        <w:t>3、信用截图：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p>
      <w:pPr>
        <w:pStyle w:val="null3"/>
      </w:pPr>
      <w:r>
        <w:rPr>
          <w:rFonts w:ascii="仿宋_GB2312" w:hAnsi="仿宋_GB2312" w:cs="仿宋_GB2312" w:eastAsia="仿宋_GB2312"/>
        </w:rPr>
        <w:t>4、控股管理关系：本项目不接受联合体投标，投标单位负责人为同一人或者存在控股、管理关系的不同单位，不得参加同一招标项目投标。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西安市咸宁东路512号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029-82463680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西安市雁塔区南二环西段成长大厦8楼招标中心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程琤、王杨、徐欣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029-89115858-8010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代理服务费收费标准：1.代理服务费按约定由成交供应商支付，领取成交通知书前，由成交供应商向采购代理机构缴纳代理服务费，一次性付清。 2.代理服务费参考国家计委《招标代理服务收费管理暂行办法》计价格[2002]1980号规定的标准下浮10%收取。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西北大学第一医院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按招标文件技术要求、供方投标文件以及相关国家标准，原则上安装完成后1周内验收。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联系人：程琤、王杨、徐欣</w:t>
      </w:r>
    </w:p>
    <w:p>
      <w:pPr>
        <w:pStyle w:val="null3"/>
      </w:pPr>
      <w:r>
        <w:rPr>
          <w:rFonts w:ascii="仿宋_GB2312" w:hAnsi="仿宋_GB2312" w:cs="仿宋_GB2312" w:eastAsia="仿宋_GB2312"/>
        </w:rPr>
        <w:t>联系电话：029-89115858-8010</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采购手术设备一批，包括：</w:t>
      </w:r>
      <w:r>
        <w:rPr>
          <w:rFonts w:ascii="仿宋_GB2312" w:hAnsi="仿宋_GB2312" w:cs="仿宋_GB2312" w:eastAsia="仿宋_GB2312"/>
          <w:sz w:val="20"/>
        </w:rPr>
        <w:t>电动骨组织手术设备、</w:t>
      </w:r>
      <w:r>
        <w:rPr>
          <w:rFonts w:ascii="仿宋_GB2312" w:hAnsi="仿宋_GB2312" w:cs="仿宋_GB2312" w:eastAsia="仿宋_GB2312"/>
          <w:sz w:val="20"/>
        </w:rPr>
        <w:t>脊柱内窥镜手术器械、</w:t>
      </w:r>
      <w:r>
        <w:rPr>
          <w:rFonts w:ascii="仿宋_GB2312" w:hAnsi="仿宋_GB2312" w:cs="仿宋_GB2312" w:eastAsia="仿宋_GB2312"/>
          <w:sz w:val="20"/>
        </w:rPr>
        <w:t>内固定取（断）钉手术器械；</w:t>
      </w:r>
      <w:r>
        <w:rPr>
          <w:rFonts w:ascii="仿宋_GB2312" w:hAnsi="仿宋_GB2312" w:cs="仿宋_GB2312" w:eastAsia="仿宋_GB2312"/>
        </w:rPr>
        <w:t>本次采购不包含超声波清洗机、煮沸消毒器2项设备。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1,005,000.00</w:t>
      </w:r>
    </w:p>
    <w:p>
      <w:pPr>
        <w:pStyle w:val="null3"/>
      </w:pPr>
      <w:r>
        <w:rPr>
          <w:rFonts w:ascii="仿宋_GB2312" w:hAnsi="仿宋_GB2312" w:cs="仿宋_GB2312" w:eastAsia="仿宋_GB2312"/>
        </w:rPr>
        <w:t>采购包最高限价（元）: 880,000.00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电动骨组织手术设备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脊柱内窥镜手术器械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内固定取（断）钉手术器械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超声波清洗机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煮沸消毒器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标的名称：电动骨组织手术设备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1"/>
              </w:rPr>
              <w:t>电动骨组织手术设备：</w:t>
            </w:r>
          </w:p>
          <w:p>
            <w:pPr>
              <w:pStyle w:val="null3"/>
              <w:spacing w:after="120"/>
              <w:jc w:val="both"/>
            </w:pPr>
            <w:r>
              <w:rPr>
                <w:rFonts w:ascii="仿宋_GB2312" w:hAnsi="仿宋_GB2312" w:cs="仿宋_GB2312" w:eastAsia="仿宋_GB2312"/>
                <w:sz w:val="21"/>
              </w:rPr>
              <w:t>整体要求</w:t>
            </w:r>
            <w:r>
              <w:rPr>
                <w:rFonts w:ascii="仿宋_GB2312" w:hAnsi="仿宋_GB2312" w:cs="仿宋_GB2312" w:eastAsia="仿宋_GB2312"/>
                <w:sz w:val="21"/>
              </w:rPr>
              <w:t>:国产品牌，可以开展脊柱手术中对骨组织的磨削处理，可用于开放、AUSS、OSE、UBE、显微镜等手术中对骨组织的打磨及切割处理；</w:t>
            </w:r>
          </w:p>
          <w:p>
            <w:pPr>
              <w:pStyle w:val="null3"/>
              <w:spacing w:after="120"/>
              <w:jc w:val="both"/>
            </w:pPr>
            <w:r>
              <w:rPr>
                <w:rFonts w:ascii="仿宋_GB2312" w:hAnsi="仿宋_GB2312" w:cs="仿宋_GB2312" w:eastAsia="仿宋_GB2312"/>
                <w:sz w:val="21"/>
              </w:rPr>
              <w:t>1、主机：1台</w:t>
            </w:r>
          </w:p>
          <w:p>
            <w:pPr>
              <w:pStyle w:val="null3"/>
              <w:spacing w:after="120"/>
              <w:jc w:val="both"/>
            </w:pPr>
            <w:r>
              <w:rPr>
                <w:rFonts w:ascii="仿宋_GB2312" w:hAnsi="仿宋_GB2312" w:cs="仿宋_GB2312" w:eastAsia="仿宋_GB2312"/>
                <w:sz w:val="21"/>
              </w:rPr>
              <w:t>1.1主机体积≤240 mm×240 mm×120 mm，液晶屏显示，屏幕尺寸≤5英寸，可设置转速；</w:t>
            </w:r>
          </w:p>
          <w:p>
            <w:pPr>
              <w:pStyle w:val="null3"/>
              <w:spacing w:after="120"/>
              <w:jc w:val="both"/>
            </w:pPr>
            <w:r>
              <w:rPr>
                <w:rFonts w:ascii="仿宋_GB2312" w:hAnsi="仿宋_GB2312" w:cs="仿宋_GB2312" w:eastAsia="仿宋_GB2312"/>
                <w:sz w:val="21"/>
              </w:rPr>
              <w:t>2、脚踏：1个</w:t>
            </w:r>
          </w:p>
          <w:p>
            <w:pPr>
              <w:pStyle w:val="null3"/>
              <w:spacing w:after="120"/>
              <w:jc w:val="both"/>
            </w:pPr>
            <w:r>
              <w:rPr>
                <w:rFonts w:ascii="仿宋_GB2312" w:hAnsi="仿宋_GB2312" w:cs="仿宋_GB2312" w:eastAsia="仿宋_GB2312"/>
                <w:sz w:val="21"/>
              </w:rPr>
              <w:t>2.1 脚踏金属底座，无极调速；</w:t>
            </w:r>
          </w:p>
          <w:p>
            <w:pPr>
              <w:pStyle w:val="null3"/>
              <w:spacing w:after="120"/>
              <w:jc w:val="both"/>
            </w:pPr>
            <w:r>
              <w:rPr>
                <w:rFonts w:ascii="仿宋_GB2312" w:hAnsi="仿宋_GB2312" w:cs="仿宋_GB2312" w:eastAsia="仿宋_GB2312"/>
                <w:sz w:val="21"/>
              </w:rPr>
              <w:t>2.2 IPX8防水等级；</w:t>
            </w:r>
          </w:p>
          <w:p>
            <w:pPr>
              <w:pStyle w:val="null3"/>
              <w:spacing w:after="120"/>
              <w:jc w:val="both"/>
            </w:pPr>
            <w:r>
              <w:rPr>
                <w:rFonts w:ascii="仿宋_GB2312" w:hAnsi="仿宋_GB2312" w:cs="仿宋_GB2312" w:eastAsia="仿宋_GB2312"/>
                <w:sz w:val="21"/>
              </w:rPr>
              <w:t>3、通用磨钻手柄：1把</w:t>
            </w:r>
          </w:p>
          <w:p>
            <w:pPr>
              <w:pStyle w:val="null3"/>
              <w:spacing w:after="120"/>
              <w:jc w:val="both"/>
            </w:pPr>
            <w:r>
              <w:rPr>
                <w:rFonts w:ascii="仿宋_GB2312" w:hAnsi="仿宋_GB2312" w:cs="仿宋_GB2312" w:eastAsia="仿宋_GB2312"/>
                <w:sz w:val="21"/>
              </w:rPr>
              <w:t>3.1电机功率≤100W，可高温灭菌；</w:t>
            </w:r>
          </w:p>
          <w:p>
            <w:pPr>
              <w:pStyle w:val="null3"/>
              <w:spacing w:after="120"/>
              <w:jc w:val="both"/>
            </w:pPr>
            <w:r>
              <w:rPr>
                <w:rFonts w:ascii="仿宋_GB2312" w:hAnsi="仿宋_GB2312" w:cs="仿宋_GB2312" w:eastAsia="仿宋_GB2312"/>
                <w:sz w:val="21"/>
              </w:rPr>
              <w:t>3.2 电机转速≥55000 r/min；</w:t>
            </w:r>
          </w:p>
          <w:p>
            <w:pPr>
              <w:pStyle w:val="null3"/>
              <w:spacing w:after="120"/>
              <w:jc w:val="both"/>
            </w:pPr>
            <w:r>
              <w:rPr>
                <w:rFonts w:ascii="仿宋_GB2312" w:hAnsi="仿宋_GB2312" w:cs="仿宋_GB2312" w:eastAsia="仿宋_GB2312"/>
                <w:sz w:val="21"/>
              </w:rPr>
              <w:t>▲3.3 手柄内注水设计；</w:t>
            </w:r>
          </w:p>
          <w:p>
            <w:pPr>
              <w:pStyle w:val="null3"/>
              <w:spacing w:after="120"/>
              <w:jc w:val="both"/>
            </w:pPr>
            <w:r>
              <w:rPr>
                <w:rFonts w:ascii="仿宋_GB2312" w:hAnsi="仿宋_GB2312" w:cs="仿宋_GB2312" w:eastAsia="仿宋_GB2312"/>
                <w:sz w:val="21"/>
              </w:rPr>
              <w:t>3.4 外径≤19mm，主体长度≤90mm，重量：≤140g（不含线缆）；</w:t>
            </w:r>
          </w:p>
          <w:p>
            <w:pPr>
              <w:pStyle w:val="null3"/>
              <w:spacing w:after="120"/>
              <w:jc w:val="both"/>
            </w:pPr>
            <w:r>
              <w:rPr>
                <w:rFonts w:ascii="仿宋_GB2312" w:hAnsi="仿宋_GB2312" w:cs="仿宋_GB2312" w:eastAsia="仿宋_GB2312"/>
                <w:sz w:val="21"/>
              </w:rPr>
              <w:t>4、磨钻头、骨科用电锯片：共20支</w:t>
            </w:r>
          </w:p>
          <w:p>
            <w:pPr>
              <w:pStyle w:val="null3"/>
              <w:spacing w:after="120"/>
              <w:jc w:val="both"/>
            </w:pPr>
            <w:r>
              <w:rPr>
                <w:rFonts w:ascii="仿宋_GB2312" w:hAnsi="仿宋_GB2312" w:cs="仿宋_GB2312" w:eastAsia="仿宋_GB2312"/>
                <w:sz w:val="21"/>
              </w:rPr>
              <w:t>4.1 具有一体式磨头12支，刀杆弯曲内注水设计，工作转速≥110000 r/min，磨钻头直径2mm-4mm；</w:t>
            </w:r>
          </w:p>
          <w:p>
            <w:pPr>
              <w:pStyle w:val="null3"/>
              <w:spacing w:after="120"/>
              <w:jc w:val="both"/>
            </w:pPr>
            <w:r>
              <w:rPr>
                <w:rFonts w:ascii="仿宋_GB2312" w:hAnsi="仿宋_GB2312" w:cs="仿宋_GB2312" w:eastAsia="仿宋_GB2312"/>
                <w:sz w:val="21"/>
              </w:rPr>
              <w:t>4.2 具有动力骨刀2支，刀头齿部长度≥8mm，长度≥100mm，内注水设计，刀头前后高频低幅往复运动；</w:t>
            </w:r>
          </w:p>
          <w:p>
            <w:pPr>
              <w:pStyle w:val="null3"/>
              <w:spacing w:after="120"/>
              <w:jc w:val="both"/>
            </w:pPr>
            <w:r>
              <w:rPr>
                <w:rFonts w:ascii="仿宋_GB2312" w:hAnsi="仿宋_GB2312" w:cs="仿宋_GB2312" w:eastAsia="仿宋_GB2312"/>
                <w:sz w:val="21"/>
              </w:rPr>
              <w:t>▲4.3 具有斜形动力骨刀2支，齿部长度≤7mm，长度≥100mm，高频低幅往复摆动；</w:t>
            </w:r>
          </w:p>
          <w:p>
            <w:pPr>
              <w:pStyle w:val="null3"/>
              <w:spacing w:after="120"/>
              <w:jc w:val="both"/>
            </w:pPr>
            <w:r>
              <w:rPr>
                <w:rFonts w:ascii="仿宋_GB2312" w:hAnsi="仿宋_GB2312" w:cs="仿宋_GB2312" w:eastAsia="仿宋_GB2312"/>
                <w:sz w:val="21"/>
              </w:rPr>
              <w:t>▲4.4 具有前端折弯护鞘磨头2支，杆径≤5mm，工作转速≥50000 r/min，前端刀杆弯曲内注水设计，护鞘保护周围神经软组织；</w:t>
            </w:r>
          </w:p>
          <w:p>
            <w:pPr>
              <w:pStyle w:val="null3"/>
            </w:pPr>
            <w:r>
              <w:rPr>
                <w:rFonts w:ascii="仿宋_GB2312" w:hAnsi="仿宋_GB2312" w:cs="仿宋_GB2312" w:eastAsia="仿宋_GB2312"/>
                <w:sz w:val="21"/>
              </w:rPr>
              <w:t>▲4.5 具有半环形动力骨刀2支，刃部直径≥5mm，有效长度≥100mm，环形刀刃，前端有齿，刀头往复运动转速≥50000r/min。</w:t>
            </w:r>
          </w:p>
        </w:tc>
      </w:tr>
    </w:tbl>
    <w:p>
      <w:pPr>
        <w:pStyle w:val="null3"/>
      </w:pPr>
      <w:r>
        <w:rPr>
          <w:rFonts w:ascii="仿宋_GB2312" w:hAnsi="仿宋_GB2312" w:cs="仿宋_GB2312" w:eastAsia="仿宋_GB2312"/>
        </w:rPr>
        <w:t>标的名称：脊柱内窥镜手术器械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both"/>
            </w:pPr>
            <w:r>
              <w:rPr>
                <w:rFonts w:ascii="仿宋_GB2312" w:hAnsi="仿宋_GB2312" w:cs="仿宋_GB2312" w:eastAsia="仿宋_GB2312"/>
                <w:sz w:val="21"/>
              </w:rPr>
              <w:t>核心产品</w:t>
            </w:r>
          </w:p>
          <w:p>
            <w:pPr>
              <w:pStyle w:val="null3"/>
              <w:spacing w:after="120"/>
              <w:jc w:val="both"/>
            </w:pPr>
            <w:r>
              <w:rPr>
                <w:rFonts w:ascii="仿宋_GB2312" w:hAnsi="仿宋_GB2312" w:cs="仿宋_GB2312" w:eastAsia="仿宋_GB2312"/>
                <w:sz w:val="21"/>
              </w:rPr>
              <w:t>脊柱内窥镜手术器械（</w:t>
            </w:r>
            <w:r>
              <w:rPr>
                <w:rFonts w:ascii="仿宋_GB2312" w:hAnsi="仿宋_GB2312" w:cs="仿宋_GB2312" w:eastAsia="仿宋_GB2312"/>
                <w:sz w:val="21"/>
              </w:rPr>
              <w:t>1套）</w:t>
            </w:r>
          </w:p>
          <w:tbl>
            <w:tblPr>
              <w:tblInd w:type="dxa" w:w="105"/>
              <w:tblBorders>
                <w:top w:val="none" w:color="000000" w:sz="4"/>
                <w:left w:val="none" w:color="000000" w:sz="4"/>
                <w:bottom w:val="none" w:color="000000" w:sz="4"/>
                <w:right w:val="none" w:color="000000" w:sz="4"/>
                <w:insideH w:val="none"/>
                <w:insideV w:val="none"/>
              </w:tblBorders>
            </w:tblPr>
            <w:tblGrid>
              <w:gridCol w:w="143"/>
              <w:gridCol w:w="150"/>
              <w:gridCol w:w="2260"/>
            </w:tblGrid>
            <w:tr>
              <w:tc>
                <w:tcPr>
                  <w:tcW w:type="dxa" w:w="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序号</w:t>
                  </w:r>
                </w:p>
              </w:tc>
              <w:tc>
                <w:tcPr>
                  <w:tcW w:type="dxa" w:w="1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参数类别</w:t>
                  </w:r>
                </w:p>
              </w:tc>
              <w:tc>
                <w:tcPr>
                  <w:tcW w:type="dxa" w:w="226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ind w:firstLine="1890"/>
                    <w:jc w:val="both"/>
                  </w:pPr>
                  <w:r>
                    <w:rPr>
                      <w:rFonts w:ascii="仿宋_GB2312" w:hAnsi="仿宋_GB2312" w:cs="仿宋_GB2312" w:eastAsia="仿宋_GB2312"/>
                      <w:sz w:val="21"/>
                    </w:rPr>
                    <w:t>技术参数或要求</w:t>
                  </w:r>
                </w:p>
              </w:tc>
            </w:tr>
            <w:tr>
              <w:tc>
                <w:tcPr>
                  <w:tcW w:type="dxa" w:w="14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w:t>
                  </w:r>
                </w:p>
              </w:tc>
              <w:tc>
                <w:tcPr>
                  <w:tcW w:type="dxa" w:w="15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整体要求</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1.1 用途：配合脊柱内窥镜使用，用于骨科手术、检查中对病变组织进行刮削、剥离、剪切组织（或骨质）、钳夹组织或器械、扩孔等操作。</w:t>
                  </w:r>
                </w:p>
              </w:tc>
            </w:tr>
            <w:tr>
              <w:tc>
                <w:tcPr>
                  <w:tcW w:type="dxa" w:w="143"/>
                  <w:vMerge/>
                  <w:tcBorders>
                    <w:top w:val="none" w:color="000000" w:sz="4"/>
                    <w:left w:val="single" w:color="000000" w:sz="4"/>
                    <w:bottom w:val="none" w:color="000000" w:sz="4"/>
                    <w:right w:val="single" w:color="000000" w:sz="4"/>
                  </w:tcBorders>
                </w:tcPr>
                <w:p/>
              </w:tc>
              <w:tc>
                <w:tcPr>
                  <w:tcW w:type="dxa" w:w="150"/>
                  <w:vMerge/>
                  <w:tcBorders>
                    <w:top w:val="none" w:color="000000" w:sz="4"/>
                    <w:left w:val="single" w:color="000000" w:sz="4"/>
                    <w:bottom w:val="non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1.2 材料安全性：采用</w:t>
                  </w:r>
                  <w:r>
                    <w:rPr>
                      <w:rFonts w:ascii="仿宋_GB2312" w:hAnsi="仿宋_GB2312" w:cs="仿宋_GB2312" w:eastAsia="仿宋_GB2312"/>
                      <w:sz w:val="21"/>
                    </w:rPr>
                    <w:t>465、420、304、17-4不锈钢</w:t>
                  </w:r>
                  <w:r>
                    <w:rPr>
                      <w:rFonts w:ascii="仿宋_GB2312" w:hAnsi="仿宋_GB2312" w:cs="仿宋_GB2312" w:eastAsia="仿宋_GB2312"/>
                      <w:sz w:val="21"/>
                    </w:rPr>
                    <w:t>材料</w:t>
                  </w:r>
                </w:p>
              </w:tc>
            </w:tr>
            <w:tr>
              <w:tc>
                <w:tcPr>
                  <w:tcW w:type="dxa" w:w="143"/>
                  <w:vMerge/>
                  <w:tcBorders>
                    <w:top w:val="none" w:color="000000" w:sz="4"/>
                    <w:left w:val="single" w:color="000000" w:sz="4"/>
                    <w:bottom w:val="none" w:color="000000" w:sz="4"/>
                    <w:right w:val="single" w:color="000000" w:sz="4"/>
                  </w:tcBorders>
                </w:tcPr>
                <w:p/>
              </w:tc>
              <w:tc>
                <w:tcPr>
                  <w:tcW w:type="dxa" w:w="150"/>
                  <w:vMerge/>
                  <w:tcBorders>
                    <w:top w:val="none" w:color="000000" w:sz="4"/>
                    <w:left w:val="single" w:color="000000" w:sz="4"/>
                    <w:bottom w:val="non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1.3 表面处理：无毛刺、无锐边，表面粗糙度Ra≤0.8</w:t>
                  </w:r>
                  <w:r>
                    <w:rPr>
                      <w:rFonts w:ascii="仿宋_GB2312" w:hAnsi="仿宋_GB2312" w:cs="仿宋_GB2312" w:eastAsia="仿宋_GB2312"/>
                      <w:sz w:val="21"/>
                    </w:rPr>
                    <w:t>μ</w:t>
                  </w:r>
                  <w:r>
                    <w:rPr>
                      <w:rFonts w:ascii="仿宋_GB2312" w:hAnsi="仿宋_GB2312" w:cs="仿宋_GB2312" w:eastAsia="仿宋_GB2312"/>
                      <w:sz w:val="21"/>
                    </w:rPr>
                    <w:t>m</w:t>
                  </w:r>
                </w:p>
              </w:tc>
            </w:tr>
            <w:tr>
              <w:tc>
                <w:tcPr>
                  <w:tcW w:type="dxa" w:w="143"/>
                  <w:vMerge/>
                  <w:tcBorders>
                    <w:top w:val="none" w:color="000000" w:sz="4"/>
                    <w:left w:val="single" w:color="000000" w:sz="4"/>
                    <w:bottom w:val="none" w:color="000000" w:sz="4"/>
                    <w:right w:val="single" w:color="000000" w:sz="4"/>
                  </w:tcBorders>
                </w:tcPr>
                <w:p/>
              </w:tc>
              <w:tc>
                <w:tcPr>
                  <w:tcW w:type="dxa" w:w="150"/>
                  <w:vMerge/>
                  <w:tcBorders>
                    <w:top w:val="none" w:color="000000" w:sz="4"/>
                    <w:left w:val="single" w:color="000000" w:sz="4"/>
                    <w:bottom w:val="non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1.4 数量：1套，共72件</w:t>
                  </w:r>
                </w:p>
              </w:tc>
            </w:tr>
            <w:tr>
              <w:tc>
                <w:tcPr>
                  <w:tcW w:type="dxa" w:w="143"/>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w:t>
                  </w:r>
                </w:p>
              </w:tc>
              <w:tc>
                <w:tcPr>
                  <w:tcW w:type="dxa" w:w="150"/>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组织剥离器</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 xml:space="preserve">2.1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none" w:color="000000" w:sz="4"/>
                    <w:right w:val="single" w:color="000000" w:sz="4"/>
                  </w:tcBorders>
                </w:tcPr>
                <w:p/>
              </w:tc>
              <w:tc>
                <w:tcPr>
                  <w:tcW w:type="dxa" w:w="150"/>
                  <w:vMerge/>
                  <w:tcBorders>
                    <w:top w:val="none" w:color="000000" w:sz="4"/>
                    <w:left w:val="single" w:color="000000" w:sz="4"/>
                    <w:bottom w:val="non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类型：直型</w:t>
                  </w:r>
                </w:p>
              </w:tc>
            </w:tr>
            <w:tr>
              <w:tc>
                <w:tcPr>
                  <w:tcW w:type="dxa" w:w="143"/>
                  <w:vMerge/>
                  <w:tcBorders>
                    <w:top w:val="none" w:color="000000" w:sz="4"/>
                    <w:left w:val="single" w:color="000000" w:sz="4"/>
                    <w:bottom w:val="none" w:color="000000" w:sz="4"/>
                    <w:right w:val="single" w:color="000000" w:sz="4"/>
                  </w:tcBorders>
                </w:tcPr>
                <w:p/>
              </w:tc>
              <w:tc>
                <w:tcPr>
                  <w:tcW w:type="dxa" w:w="150"/>
                  <w:vMerge/>
                  <w:tcBorders>
                    <w:top w:val="none" w:color="000000" w:sz="4"/>
                    <w:left w:val="single" w:color="000000" w:sz="4"/>
                    <w:bottom w:val="non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130±10mm</w:t>
                  </w:r>
                </w:p>
              </w:tc>
            </w:tr>
            <w:tr>
              <w:tc>
                <w:tcPr>
                  <w:tcW w:type="dxa" w:w="143"/>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3</w:t>
                  </w:r>
                </w:p>
              </w:tc>
              <w:tc>
                <w:tcPr>
                  <w:tcW w:type="dxa" w:w="150"/>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骨刀</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3</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single" w:color="000000" w:sz="4"/>
                    <w:left w:val="single" w:color="000000" w:sz="4"/>
                    <w:bottom w:val="single" w:color="000000" w:sz="4"/>
                    <w:right w:val="single" w:color="000000" w:sz="4"/>
                  </w:tcBorders>
                </w:tcPr>
                <w:p/>
              </w:tc>
              <w:tc>
                <w:tcPr>
                  <w:tcW w:type="dxa" w:w="150"/>
                  <w:vMerge/>
                  <w:tcBorders>
                    <w:top w:val="singl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类型：直型</w:t>
                  </w:r>
                </w:p>
              </w:tc>
            </w:tr>
            <w:tr>
              <w:tc>
                <w:tcPr>
                  <w:tcW w:type="dxa" w:w="143"/>
                  <w:vMerge/>
                  <w:tcBorders>
                    <w:top w:val="single" w:color="000000" w:sz="4"/>
                    <w:left w:val="single" w:color="000000" w:sz="4"/>
                    <w:bottom w:val="single" w:color="000000" w:sz="4"/>
                    <w:right w:val="single" w:color="000000" w:sz="4"/>
                  </w:tcBorders>
                </w:tcPr>
                <w:p/>
              </w:tc>
              <w:tc>
                <w:tcPr>
                  <w:tcW w:type="dxa" w:w="150"/>
                  <w:vMerge/>
                  <w:tcBorders>
                    <w:top w:val="singl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120±10mm</w:t>
                  </w:r>
                </w:p>
              </w:tc>
            </w:tr>
            <w:tr>
              <w:tc>
                <w:tcPr>
                  <w:tcW w:type="dxa" w:w="143"/>
                  <w:vMerge/>
                  <w:tcBorders>
                    <w:top w:val="single" w:color="000000" w:sz="4"/>
                    <w:left w:val="single" w:color="000000" w:sz="4"/>
                    <w:bottom w:val="single" w:color="000000" w:sz="4"/>
                    <w:right w:val="single" w:color="000000" w:sz="4"/>
                  </w:tcBorders>
                </w:tcPr>
                <w:p/>
              </w:tc>
              <w:tc>
                <w:tcPr>
                  <w:tcW w:type="dxa" w:w="150"/>
                  <w:vMerge/>
                  <w:tcBorders>
                    <w:top w:val="singl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刃宽：</w:t>
                  </w:r>
                  <w:r>
                    <w:rPr>
                      <w:rFonts w:ascii="仿宋_GB2312" w:hAnsi="仿宋_GB2312" w:cs="仿宋_GB2312" w:eastAsia="仿宋_GB2312"/>
                      <w:sz w:val="21"/>
                    </w:rPr>
                    <w:t>5±1mm</w:t>
                  </w:r>
                </w:p>
              </w:tc>
            </w:tr>
            <w:tr>
              <w:tc>
                <w:tcPr>
                  <w:tcW w:type="dxa" w:w="143"/>
                  <w:vMerge/>
                  <w:tcBorders>
                    <w:top w:val="single" w:color="000000" w:sz="4"/>
                    <w:left w:val="single" w:color="000000" w:sz="4"/>
                    <w:bottom w:val="single" w:color="000000" w:sz="4"/>
                    <w:right w:val="single" w:color="000000" w:sz="4"/>
                  </w:tcBorders>
                </w:tcPr>
                <w:p/>
              </w:tc>
              <w:tc>
                <w:tcPr>
                  <w:tcW w:type="dxa" w:w="150"/>
                  <w:vMerge/>
                  <w:tcBorders>
                    <w:top w:val="singl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3</w:t>
                  </w:r>
                  <w:r>
                    <w:rPr>
                      <w:rFonts w:ascii="仿宋_GB2312" w:hAnsi="仿宋_GB2312" w:cs="仿宋_GB2312" w:eastAsia="仿宋_GB2312"/>
                      <w:sz w:val="21"/>
                    </w:rPr>
                    <w:t xml:space="preserve">.5 </w:t>
                  </w:r>
                  <w:r>
                    <w:rPr>
                      <w:rFonts w:ascii="仿宋_GB2312" w:hAnsi="仿宋_GB2312" w:cs="仿宋_GB2312" w:eastAsia="仿宋_GB2312"/>
                      <w:sz w:val="21"/>
                    </w:rPr>
                    <w:t>咬合厚度：</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4</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骨凿</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4</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4把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4.2 类型分别为：直型、弯型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110±10mm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刃宽：</w:t>
                  </w:r>
                  <w:r>
                    <w:rPr>
                      <w:rFonts w:ascii="仿宋_GB2312" w:hAnsi="仿宋_GB2312" w:cs="仿宋_GB2312" w:eastAsia="仿宋_GB2312"/>
                      <w:sz w:val="21"/>
                    </w:rPr>
                    <w:t>4±1mm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5</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骨凿</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5</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类型：直型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110±10mm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刃宽：</w:t>
                  </w:r>
                  <w:r>
                    <w:rPr>
                      <w:rFonts w:ascii="仿宋_GB2312" w:hAnsi="仿宋_GB2312" w:cs="仿宋_GB2312" w:eastAsia="仿宋_GB2312"/>
                      <w:sz w:val="21"/>
                    </w:rPr>
                    <w:t>6±1mm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6</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双头剥离器</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6</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类型：左弯</w:t>
                  </w:r>
                  <w:r>
                    <w:rPr>
                      <w:rFonts w:ascii="仿宋_GB2312" w:hAnsi="仿宋_GB2312" w:cs="仿宋_GB2312" w:eastAsia="仿宋_GB2312"/>
                      <w:sz w:val="21"/>
                    </w:rPr>
                    <w:t>/右弯</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220±5mm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7</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双头剥离器</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7</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类型：左弯</w:t>
                  </w:r>
                  <w:r>
                    <w:rPr>
                      <w:rFonts w:ascii="仿宋_GB2312" w:hAnsi="仿宋_GB2312" w:cs="仿宋_GB2312" w:eastAsia="仿宋_GB2312"/>
                      <w:sz w:val="21"/>
                    </w:rPr>
                    <w:t>/右弯</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240±5mm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8</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双头剥离器</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8</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类型：左弯</w:t>
                  </w:r>
                  <w:r>
                    <w:rPr>
                      <w:rFonts w:ascii="仿宋_GB2312" w:hAnsi="仿宋_GB2312" w:cs="仿宋_GB2312" w:eastAsia="仿宋_GB2312"/>
                      <w:sz w:val="21"/>
                    </w:rPr>
                    <w:t>/直型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300±5mm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9</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球头剥离器</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9</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260±5mm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工作宽度：</w:t>
                  </w:r>
                  <w:r>
                    <w:rPr>
                      <w:rFonts w:ascii="仿宋_GB2312" w:hAnsi="仿宋_GB2312" w:cs="仿宋_GB2312" w:eastAsia="仿宋_GB2312"/>
                      <w:sz w:val="21"/>
                    </w:rPr>
                    <w:t>4-6mm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10</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神经剥离子</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10</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275±5mm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工作宽度：</w:t>
                  </w:r>
                  <w:r>
                    <w:rPr>
                      <w:rFonts w:ascii="仿宋_GB2312" w:hAnsi="仿宋_GB2312" w:cs="仿宋_GB2312" w:eastAsia="仿宋_GB2312"/>
                      <w:sz w:val="21"/>
                    </w:rPr>
                    <w:t>2.5+0.5mm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11</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神经根拉钩</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11</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300±5mm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3 刃宽：6±1mm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 xml:space="preserve"> </w:t>
                  </w:r>
                  <w:r>
                    <w:rPr>
                      <w:rFonts w:ascii="仿宋_GB2312" w:hAnsi="仿宋_GB2312" w:cs="仿宋_GB2312" w:eastAsia="仿宋_GB2312"/>
                      <w:sz w:val="21"/>
                    </w:rPr>
                    <w:t>弯折角度：</w:t>
                  </w:r>
                  <w:r>
                    <w:rPr>
                      <w:rFonts w:ascii="仿宋_GB2312" w:hAnsi="仿宋_GB2312" w:cs="仿宋_GB2312" w:eastAsia="仿宋_GB2312"/>
                      <w:sz w:val="21"/>
                    </w:rPr>
                    <w:t>120°±5°</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12</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骨锤</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12</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105±5mm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13</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扩张器</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13</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12把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工作长度分别为：</w:t>
                  </w:r>
                  <w:r>
                    <w:rPr>
                      <w:rFonts w:ascii="仿宋_GB2312" w:hAnsi="仿宋_GB2312" w:cs="仿宋_GB2312" w:eastAsia="仿宋_GB2312"/>
                      <w:sz w:val="21"/>
                    </w:rPr>
                    <w:t>125±5mm、140±5mm、155±5mm、170±5mm、185±5mm、200±5mm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外径梯度分别为：</w:t>
                  </w:r>
                  <w:r>
                    <w:rPr>
                      <w:rFonts w:ascii="仿宋_GB2312" w:hAnsi="仿宋_GB2312" w:cs="仿宋_GB2312" w:eastAsia="仿宋_GB2312"/>
                      <w:sz w:val="21"/>
                    </w:rPr>
                    <w:t>5mm、7mm、9mm、11mm、13mm、15mm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14</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半套管牵开器</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14</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60±5mm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15</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髓核钳</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15</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类型：直型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160±5mm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15.4 工作宽度：4.0+0.5mm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16</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超薄髓核钳</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16</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4把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16.2 类型分别为：直型、弯型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16</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190±5mm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16.4 工作宽度：2.0+0.5mm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17</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组织抓钳</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17</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类型：直型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17</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190±5mm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17.4 工作宽度：4.0±0.5mm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18</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椎板咬骨钳</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18</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6把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类型：直型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18</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220±5mm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▲18.4 工作宽度分别为：1.0mm、2.0mm、3.0mm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▲18.5 角度：130°±5°</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19</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椎板咬骨钳</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19</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类型：直型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19</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220±5mm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19.4 工作宽度：2.0mm±0.5mm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▲19.5 角度：90°±5°</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20</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椎板咬骨钳</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20</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类型：弧型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220±5mm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20.4 工作宽度：2.0mm±0.5mm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▲20.5 角度：110°±5°</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21</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闭口骨刮匙</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21</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类型：直型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21</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150±5mm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21.4 工作宽度分别为：4.0mm±0.5mm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22</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推结器</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22</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22.2 头部孔径：Ф1.3mm±0.2mm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23</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剪线钳</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23</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23</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160±3mm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23.3 工作宽度：4.0mm±0.5mm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24</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抓线钳</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24</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类型：上翘型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24</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160±5mm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24.4 工作宽度：2.8mm±0.5mm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25</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抓线钳</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25</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类型：直型</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160±5mm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25.4 工作宽度：2.0mm±0.5mm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26</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冲洗器</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26</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26</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180±5mm</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26.3 工作宽度：4.0mm±0.5mm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27</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直通道交换管</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27</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2把</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27</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工作长度：</w:t>
                  </w:r>
                  <w:r>
                    <w:rPr>
                      <w:rFonts w:ascii="仿宋_GB2312" w:hAnsi="仿宋_GB2312" w:cs="仿宋_GB2312" w:eastAsia="仿宋_GB2312"/>
                      <w:sz w:val="21"/>
                    </w:rPr>
                    <w:t>100±5mm</w:t>
                  </w:r>
                </w:p>
              </w:tc>
            </w:tr>
            <w:tr>
              <w:tc>
                <w:tcPr>
                  <w:tcW w:type="dxa" w:w="143"/>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28</w:t>
                  </w:r>
                </w:p>
              </w:tc>
              <w:tc>
                <w:tcPr>
                  <w:tcW w:type="dxa" w:w="15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rFonts w:ascii="仿宋_GB2312" w:hAnsi="仿宋_GB2312" w:cs="仿宋_GB2312" w:eastAsia="仿宋_GB2312"/>
                      <w:sz w:val="21"/>
                    </w:rPr>
                    <w:t>配套</w:t>
                  </w:r>
                  <w:r>
                    <w:rPr>
                      <w:rFonts w:ascii="仿宋_GB2312" w:hAnsi="仿宋_GB2312" w:cs="仿宋_GB2312" w:eastAsia="仿宋_GB2312"/>
                      <w:sz w:val="21"/>
                    </w:rPr>
                    <w:t>器械盒</w:t>
                  </w: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28</w:t>
                  </w:r>
                  <w:r>
                    <w:rPr>
                      <w:rFonts w:ascii="仿宋_GB2312" w:hAnsi="仿宋_GB2312" w:cs="仿宋_GB2312" w:eastAsia="仿宋_GB2312"/>
                      <w:sz w:val="21"/>
                    </w:rPr>
                    <w:t xml:space="preserve">.1 </w:t>
                  </w: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2个</w:t>
                  </w:r>
                </w:p>
              </w:tc>
            </w:tr>
            <w:tr>
              <w:tc>
                <w:tcPr>
                  <w:tcW w:type="dxa" w:w="143"/>
                  <w:vMerge/>
                  <w:tcBorders>
                    <w:top w:val="none" w:color="000000" w:sz="4"/>
                    <w:left w:val="single" w:color="000000" w:sz="4"/>
                    <w:bottom w:val="single" w:color="000000" w:sz="4"/>
                    <w:right w:val="single" w:color="000000" w:sz="4"/>
                  </w:tcBorders>
                </w:tcPr>
                <w:p/>
              </w:tc>
              <w:tc>
                <w:tcPr>
                  <w:tcW w:type="dxa" w:w="150"/>
                  <w:vMerge/>
                  <w:tcBorders>
                    <w:top w:val="none" w:color="000000" w:sz="4"/>
                    <w:left w:val="single" w:color="000000" w:sz="4"/>
                    <w:bottom w:val="single" w:color="000000" w:sz="4"/>
                    <w:right w:val="single" w:color="000000" w:sz="4"/>
                  </w:tcBorders>
                </w:tcPr>
                <w:p/>
              </w:tc>
              <w:tc>
                <w:tcPr>
                  <w:tcW w:type="dxa" w:w="22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left"/>
                  </w:pPr>
                  <w:r>
                    <w:rPr>
                      <w:rFonts w:ascii="仿宋_GB2312" w:hAnsi="仿宋_GB2312" w:cs="仿宋_GB2312" w:eastAsia="仿宋_GB2312"/>
                      <w:sz w:val="21"/>
                    </w:rPr>
                    <w:t>28.2 定制化分隔设计，含器械固定卡槽</w:t>
                  </w:r>
                </w:p>
              </w:tc>
            </w:tr>
          </w:tbl>
          <w:p/>
        </w:tc>
      </w:tr>
    </w:tbl>
    <w:p>
      <w:pPr>
        <w:pStyle w:val="null3"/>
      </w:pPr>
      <w:r>
        <w:rPr>
          <w:rFonts w:ascii="仿宋_GB2312" w:hAnsi="仿宋_GB2312" w:cs="仿宋_GB2312" w:eastAsia="仿宋_GB2312"/>
        </w:rPr>
        <w:t>标的名称：内固定取（断）钉手术器械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jc w:val="left"/>
            </w:pPr>
            <w:r>
              <w:rPr>
                <w:rFonts w:ascii="仿宋_GB2312" w:hAnsi="仿宋_GB2312" w:cs="仿宋_GB2312" w:eastAsia="仿宋_GB2312"/>
                <w:sz w:val="21"/>
              </w:rPr>
              <w:t>内固定（断钉）取出器械盒</w:t>
            </w:r>
          </w:p>
          <w:p>
            <w:pPr>
              <w:pStyle w:val="null3"/>
              <w:spacing w:after="120"/>
              <w:jc w:val="left"/>
            </w:pPr>
            <w:r>
              <w:rPr>
                <w:rFonts w:ascii="仿宋_GB2312" w:hAnsi="仿宋_GB2312" w:cs="仿宋_GB2312" w:eastAsia="仿宋_GB2312"/>
                <w:sz w:val="21"/>
              </w:rPr>
              <w:t>1.</w:t>
            </w:r>
            <w:r>
              <w:rPr>
                <w:rFonts w:ascii="仿宋_GB2312" w:hAnsi="仿宋_GB2312" w:cs="仿宋_GB2312" w:eastAsia="仿宋_GB2312"/>
                <w:sz w:val="21"/>
              </w:rPr>
              <w:t>器械盒包含进行内固定取出（断钉）手术所需的各种工具和设备。如取出钳、螺钉打滑取出器、断钉取出器、起子、取钉器、螺钉取出器、骨铰刀、快装手柄、骨刀、拔出器、钩针、骨科钻头等。</w:t>
            </w:r>
          </w:p>
          <w:p>
            <w:pPr>
              <w:pStyle w:val="null3"/>
              <w:spacing w:after="120"/>
              <w:jc w:val="left"/>
            </w:pPr>
            <w:r>
              <w:rPr>
                <w:rFonts w:ascii="仿宋_GB2312" w:hAnsi="仿宋_GB2312" w:cs="仿宋_GB2312" w:eastAsia="仿宋_GB2312"/>
                <w:sz w:val="21"/>
              </w:rPr>
              <w:t>2.</w:t>
            </w:r>
            <w:r>
              <w:rPr>
                <w:rFonts w:ascii="仿宋_GB2312" w:hAnsi="仿宋_GB2312" w:cs="仿宋_GB2312" w:eastAsia="仿宋_GB2312"/>
                <w:sz w:val="21"/>
              </w:rPr>
              <w:t>不锈钢材料、钛合金或高分子材料制成，可重复使用。</w:t>
            </w:r>
          </w:p>
          <w:p>
            <w:pPr>
              <w:pStyle w:val="null3"/>
            </w:pPr>
            <w:r>
              <w:rPr>
                <w:rFonts w:ascii="仿宋_GB2312" w:hAnsi="仿宋_GB2312" w:cs="仿宋_GB2312" w:eastAsia="仿宋_GB2312"/>
                <w:sz w:val="21"/>
              </w:rPr>
              <w:t>3.</w:t>
            </w:r>
            <w:r>
              <w:rPr>
                <w:rFonts w:ascii="仿宋_GB2312" w:hAnsi="仿宋_GB2312" w:cs="仿宋_GB2312" w:eastAsia="仿宋_GB2312"/>
                <w:sz w:val="21"/>
              </w:rPr>
              <w:t>内固定取出器械适用于四肢骨科手术中断钉后的取出操作，满足不同部位内固定的取出需求。与各种内固定器材兼容，适用于不同类型和品牌的内固定器材的取出。</w:t>
            </w:r>
          </w:p>
        </w:tc>
      </w:tr>
    </w:tbl>
    <w:p>
      <w:pPr>
        <w:pStyle w:val="null3"/>
      </w:pPr>
      <w:r>
        <w:rPr>
          <w:rFonts w:ascii="仿宋_GB2312" w:hAnsi="仿宋_GB2312" w:cs="仿宋_GB2312" w:eastAsia="仿宋_GB2312"/>
        </w:rPr>
        <w:t>标的名称：超声波清洗机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此设备投标报价按人民币1.00元填报，不得修改。未按此价格填报，按废标处理（本次招标采购不涉及此产品）。</w:t>
            </w:r>
          </w:p>
        </w:tc>
      </w:tr>
    </w:tbl>
    <w:p>
      <w:pPr>
        <w:pStyle w:val="null3"/>
      </w:pPr>
      <w:r>
        <w:rPr>
          <w:rFonts w:ascii="仿宋_GB2312" w:hAnsi="仿宋_GB2312" w:cs="仿宋_GB2312" w:eastAsia="仿宋_GB2312"/>
        </w:rPr>
        <w:t>标的名称：煮沸消毒器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此设备投标报价按人民币1.00元填报，不得修改。未按此价格填报，按废标处理（本次招标采购不涉及此产品）。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接甲方通知后30日历日内完成交付、安装及调试。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设备安装调试完毕并经甲方验收合格后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设备验收合格并正常运行一年后，乙方提起书面付款申请并提交结算资料，甲方在收到乙方付款申请后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设备验收合格并正常运行二年后，乙方提起书面付款申请并提交结算资料，甲方在收到乙方付款申请后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按招标文件技术要求、供方投标文件以及相关国家标准，原则上安装完成后1月内组织验收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电动骨组织手术设备：1.主机、脚踏保修3年；2.保修期内出现故障，一年内免费换新，一年后免费维修；3.备品备件供应期大于8年；4.免费升级软件，长期提供技术支持。 脊柱内窥镜手术器械：1.整套保修三年；2、保修期内出现故障，一年内免费更换，一年后免费维修；3、备品备件供应期大于8年；4、器械设备生产企业需提供信息咨询服务，技术指导以及所售产品的使用方法等全面软性服务。 内固定（断钉）取出器械盒：产品自安装、调试正常运行并验收合格之日起3年，质保期内乙方免费进行设备维护及技术维修。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 和本合同约定，中标投标人未全面履行合同义务或者发生违约，采购单位会同采购代理机构有权终止合同，依法向中标投标人 进行经济索赔，并报请政府采购监督管理机关进行相应的行政处罚。采购单位违约的，应当赔偿给中标投标人造成的经济损 失。具体如下： 1、乙方(供货方)逾期交货，或货物与中标数量、型号不一致， 乙方(供货方)须按照中标金额的30%赔付甲方 违约金。且甲方有权立即终止合同、且不承担由此带来的一切损失与后果。乙方(供货方)违约导致甲方(需求方)及丙方损失 时，乙方(供货方)承担所有违约责任。 2、甲方(需求方)无正当理由拒收货物，应向乙方(供货方)支付合同总价款10%的违约 金。 3、乙方(供货方)所交的货物品种、型号、规格、质量不符合合同约定、国家标准，所供货物达不到约定技术要求的，乙 方(供货方)必须无条件退回全部货款，并向甲方(需求方)支付合同总价款30%的赔偿金。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法有效的法人或者其他组织的营业执照等证明文件，自然人的身份证明；投标人是法人或其他组织的应提供营业执照等证明文件，投标人是自然人的应提供有效的自然人身份证明。 2.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3.提供具有履行合同所必需的设备和专业技术能力的承诺； 4.税收缴纳证明：提供自2025年4月1日至今已缴纳的至少一个月的纳税证明或完税证明，依法免税的单位应提供相关证明材料； 5.社会保障资金缴纳证明：自2025年4月1日至今已缴纳的至少一个月的社会保障资金缴存单据或社保机构开具的社会保险参保缴费情况证明，依法不需要缴纳社会保障资金的单位应提供相关证明材料；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人为经销商的提供《医疗器械经营许可证》，同时需出具所投产品的《医疗器械注册证》或《医疗器械备案凭证》；投标人如为制造厂商的提供《医疗器械生产许可证》，同时需出具投标产品的《医疗器械注册证》或《医疗器械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投标人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本项目不接受联合体投标，投标单位负责人为同一人或者存在控股、管理关系的不同单位，不得参加同一招标项目投标。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本项目政府采购评审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开标一览表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技术方案.docx 业绩一览表.docx 中小企业声明函 报价表及分项报价表.docx 规格、技术参数偏离表.docx 供应商应提交的相关资格证明材料.docx 投标函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投标函 标的清单 投标文件封面 报价表及分项报价表.docx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应满足招标文件中要求的交货期、质保期</w:t>
            </w:r>
          </w:p>
        </w:tc>
        <w:tc>
          <w:tcPr>
            <w:tcW w:type="dxa" w:w="1661"/>
          </w:tcPr>
          <w:p>
            <w:pPr>
              <w:pStyle w:val="null3"/>
            </w:pPr>
            <w:r>
              <w:rPr>
                <w:rFonts w:ascii="仿宋_GB2312" w:hAnsi="仿宋_GB2312" w:cs="仿宋_GB2312" w:eastAsia="仿宋_GB2312"/>
              </w:rPr>
              <w:t>规格、技术参数偏离表.docx 开标一览表 技术方案.docx 业绩一览表.docx 投标函 中小企业声明函 残疾人福利性单位声明函 标的清单 投标文件封面 商务偏离表.docx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规格、技术参数偏离表.docx 开标一览表 技术方案.docx 业绩一览表.docx 投标函 中小企业声明函 残疾人福利性单位声明函 标的清单 投标文件封面 商务偏离表.docx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测试报告、功能截图等技术证明材料），经评审专家审定得分，基本分（30分）：完全符合、响应招标文件要求，没有负偏离计30分，▲参数每负偏离一项，扣2分，一般参数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依据投标文件各品目投标产品所选产品规格型号、技术支持文件（厂家技术说明书、厂家产品彩页、第三方出具的检测报告等）赋分： 1、所选产品参数优于招标文件要求，配置清单完整详实，产品配置高，技术支持文件完整详实，可全面反映所选产品技术特点，得6分。 2、所选产品参数仅满足采购需求，配置清单有缺失，产品配置一般，技术支持文件有缺失，不能全面反映所选产品技术特点，得4分； 3、所选产品参数仅满足采购需求，配置清单模糊，产品配置较差，技术支持文件有严重缺失，不能全面反映所选产品技术特点，得2分，未提供本项不得分。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中每有一项为节能产品经国家认证的计0.5分，每有一项为环境标志产品经国家认证的计0.5分，投标人所投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设备供货渠道正常、所有货物来源质量有保证，检验手续完善、合法有效，无产权纠纷，提供所有设备对应的证明材料计4分；每缺少一项设备证明材料扣0.5分，最高扣4分。未提供不计分。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保障维护运行成本</w:t>
            </w:r>
          </w:p>
        </w:tc>
        <w:tc>
          <w:tcPr>
            <w:tcW w:type="dxa" w:w="2492"/>
          </w:tcPr>
          <w:p>
            <w:pPr>
              <w:pStyle w:val="null3"/>
            </w:pPr>
            <w:r>
              <w:rPr>
                <w:rFonts w:ascii="仿宋_GB2312" w:hAnsi="仿宋_GB2312" w:cs="仿宋_GB2312" w:eastAsia="仿宋_GB2312"/>
              </w:rPr>
              <w:t>所投产品保障维护及后期运行成本低计4分；保障维护及后期运行成本考虑不全面，可能产生成本偏高计2分；其他响应情况不计分。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评审内容：根据投标人针对本项目的①质量保证措施② 供货进度计划及物流保障措施③安装调试方案、项目验收方案④管理制度和协调方案、项目团队配备方案⑤项目实施安全管理措施响应情况进行赋分； 说明：以上内容切合本项目实际情况及实施要求，内容全面详细、阐述条理清晰详尽，符合本项目采购需求，能保障本项目实施的得10分。 评审内容任意一项缺项或只有标题没有实质性内容扣2分。评审内容任意一项每有一处缺陷扣1分。（缺陷是指：内容粗略不够全面、不够合理、不够规范、可行性不足、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根据项目实际需求，提供针对本项目的售后服务方案，方案内容包含①售后服务机构地址，电话联系人②售后服务人员组织③售后服务保障措施④产品交付采购方 后出现质量问题的响应时间⑤供货不及时、出现残次品等补货换货解决方案⑥售后服务承诺。 说明：以上内容切合本项目实际情况及实施要求，内容全面详细、阐述条理清晰详尽，符合本项目采购需求，能保障本项目实施的得6分。 评审内容任意一项缺项或只有标题没有实质性内容扣1分。 评审内容任意一项每有一处缺陷扣 0.5 分。（缺陷是指：内容粗略不够全面、不够合理、与项目特点不匹配、逻辑混乱、套用其他项目方案、存在不可能实现的夸大情形或存在不适用项目实际情况的情形）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具有可行的技术培训方案，保证使用单位能熟练操作维护和正常使用，列出详细的培训内容、培训方式等说明，内容完整计4分；内容较完整计3分，内容不完整计1分，未提供不计分。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提供2023年12月1日至今签订的所投核心产品业绩（提供完整的合同扫描件，以合同签订日期为准），提供1份计1分，满分5分。无合同计0分，以投标人加盖鲜章（电子章）的完整合同为准。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商务偏离表.docx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2、满足招标文件实质性要求且最终报价最低的投标人的价格为评标基准价，其价格分为满分30分。 3、投标报价得分=（评标基准价/投标报价）×30。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