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8284A">
      <w:pPr>
        <w:pStyle w:val="2"/>
        <w:snapToGrid w:val="0"/>
        <w:jc w:val="center"/>
        <w:rPr>
          <w:rFonts w:hint="eastAsia" w:ascii="方正小标宋简体" w:hAnsi="方正小标宋简体" w:eastAsia="方正小标宋简体" w:cs="方正小标宋简体"/>
          <w:b w:val="0"/>
          <w:bCs/>
          <w:color w:val="auto"/>
          <w:sz w:val="44"/>
          <w:szCs w:val="44"/>
          <w:highlight w:val="none"/>
          <w:lang w:val="en-US" w:eastAsia="zh-CN"/>
        </w:rPr>
      </w:pPr>
      <w:r>
        <w:rPr>
          <w:rFonts w:hint="eastAsia" w:ascii="方正小标宋简体" w:hAnsi="方正小标宋简体" w:eastAsia="方正小标宋简体" w:cs="方正小标宋简体"/>
          <w:b w:val="0"/>
          <w:bCs/>
          <w:color w:val="auto"/>
          <w:sz w:val="44"/>
          <w:szCs w:val="44"/>
          <w:highlight w:val="none"/>
          <w:lang w:val="en-US" w:eastAsia="zh-CN"/>
        </w:rPr>
        <w:t>曲江新区2026年度公厕及人行天桥管理服务</w:t>
      </w:r>
    </w:p>
    <w:p w14:paraId="73501C4E">
      <w:pPr>
        <w:pStyle w:val="2"/>
        <w:snapToGrid w:val="0"/>
        <w:jc w:val="center"/>
        <w:rPr>
          <w:rFonts w:hint="eastAsia" w:ascii="方正小标宋简体" w:hAnsi="方正小标宋简体" w:eastAsia="方正小标宋简体" w:cs="方正小标宋简体"/>
          <w:b w:val="0"/>
          <w:bCs/>
          <w:color w:val="auto"/>
          <w:sz w:val="44"/>
          <w:szCs w:val="44"/>
          <w:highlight w:val="none"/>
          <w:lang w:eastAsia="zh-CN"/>
        </w:rPr>
      </w:pPr>
      <w:r>
        <w:rPr>
          <w:rFonts w:hint="eastAsia" w:ascii="方正小标宋简体" w:hAnsi="方正小标宋简体" w:eastAsia="方正小标宋简体" w:cs="方正小标宋简体"/>
          <w:b w:val="0"/>
          <w:bCs/>
          <w:color w:val="auto"/>
          <w:sz w:val="44"/>
          <w:szCs w:val="44"/>
          <w:highlight w:val="none"/>
          <w:lang w:eastAsia="zh-CN"/>
        </w:rPr>
        <w:t>合同</w:t>
      </w:r>
    </w:p>
    <w:p w14:paraId="744B4F02">
      <w:pPr>
        <w:rPr>
          <w:rFonts w:hint="eastAsia"/>
          <w:b/>
          <w:color w:val="auto"/>
          <w:sz w:val="36"/>
          <w:szCs w:val="36"/>
          <w:highlight w:val="none"/>
          <w:lang w:eastAsia="zh-CN"/>
        </w:rPr>
      </w:pPr>
    </w:p>
    <w:p w14:paraId="5055BEC4">
      <w:pPr>
        <w:keepNext w:val="0"/>
        <w:keepLines w:val="0"/>
        <w:pageBreakBefore w:val="0"/>
        <w:widowControl w:val="0"/>
        <w:tabs>
          <w:tab w:val="left" w:pos="735"/>
        </w:tabs>
        <w:kinsoku/>
        <w:wordWrap/>
        <w:overflowPunct/>
        <w:topLinePunct w:val="0"/>
        <w:autoSpaceDE w:val="0"/>
        <w:autoSpaceDN w:val="0"/>
        <w:bidi w:val="0"/>
        <w:adjustRightInd w:val="0"/>
        <w:snapToGrid w:val="0"/>
        <w:spacing w:before="240" w:beforeLines="100" w:line="560" w:lineRule="exact"/>
        <w:ind w:firstLine="629"/>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甲方：西安曲江新区事业资产管理中心</w:t>
      </w:r>
      <w:bookmarkStart w:id="1" w:name="_GoBack"/>
      <w:bookmarkEnd w:id="1"/>
    </w:p>
    <w:p w14:paraId="2C0014C7">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31"/>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zh-CN"/>
        </w:rPr>
        <w:t>乙方：</w:t>
      </w:r>
    </w:p>
    <w:p w14:paraId="20D8A84B">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rPr>
      </w:pPr>
      <w:r>
        <w:rPr>
          <w:rFonts w:hint="eastAsia" w:ascii="仿宋_GB2312" w:hAnsi="仿宋_GB2312" w:eastAsia="仿宋_GB2312" w:cs="仿宋_GB2312"/>
          <w:bCs/>
          <w:color w:val="auto"/>
          <w:sz w:val="32"/>
          <w:szCs w:val="32"/>
          <w:highlight w:val="none"/>
          <w:shd w:val="clear" w:color="auto" w:fill="auto"/>
          <w:lang w:val="zh-CN" w:eastAsia="zh-CN"/>
        </w:rPr>
        <w:t>为不断提高曲江新区城精细化管理水平，营造宜居、宜游、宜业的城市环境，</w:t>
      </w:r>
      <w:r>
        <w:rPr>
          <w:rFonts w:hint="eastAsia" w:ascii="仿宋_GB2312" w:hAnsi="仿宋_GB2312" w:eastAsia="仿宋_GB2312" w:cs="仿宋_GB2312"/>
          <w:bCs/>
          <w:color w:val="auto"/>
          <w:sz w:val="32"/>
          <w:szCs w:val="32"/>
          <w:highlight w:val="none"/>
          <w:shd w:val="clear" w:color="auto" w:fill="auto"/>
          <w:lang w:val="zh-CN"/>
        </w:rPr>
        <w:t>根据《中华人民共和国</w:t>
      </w:r>
      <w:r>
        <w:rPr>
          <w:rFonts w:hint="eastAsia" w:ascii="仿宋_GB2312" w:hAnsi="仿宋_GB2312" w:eastAsia="仿宋_GB2312" w:cs="仿宋_GB2312"/>
          <w:bCs/>
          <w:color w:val="auto"/>
          <w:sz w:val="32"/>
          <w:szCs w:val="32"/>
          <w:highlight w:val="none"/>
          <w:shd w:val="clear" w:color="auto" w:fill="auto"/>
          <w:lang w:val="zh-CN" w:eastAsia="zh-CN"/>
        </w:rPr>
        <w:t>民法典</w:t>
      </w:r>
      <w:r>
        <w:rPr>
          <w:rFonts w:hint="eastAsia" w:ascii="仿宋_GB2312" w:hAnsi="仿宋_GB2312" w:eastAsia="仿宋_GB2312" w:cs="仿宋_GB2312"/>
          <w:bCs/>
          <w:color w:val="auto"/>
          <w:sz w:val="32"/>
          <w:szCs w:val="32"/>
          <w:highlight w:val="none"/>
          <w:shd w:val="clear" w:color="auto" w:fill="auto"/>
          <w:lang w:val="zh-CN"/>
        </w:rPr>
        <w:t>》及其他法律，法规的规定，在“平等、自愿、协商一致”原则基础上，双方通过友好协商，就乙方承包甲方所属的</w:t>
      </w:r>
      <w:r>
        <w:rPr>
          <w:rFonts w:hint="eastAsia" w:ascii="仿宋_GB2312" w:hAnsi="仿宋_GB2312" w:eastAsia="仿宋_GB2312" w:cs="仿宋_GB2312"/>
          <w:bCs/>
          <w:color w:val="auto"/>
          <w:sz w:val="32"/>
          <w:szCs w:val="32"/>
          <w:highlight w:val="none"/>
          <w:u w:val="single"/>
          <w:shd w:val="clear" w:color="auto" w:fill="auto"/>
          <w:lang w:val="zh-CN"/>
        </w:rPr>
        <w:t>曲江新区2026年度公厕及人行天桥管理服务</w:t>
      </w:r>
      <w:r>
        <w:rPr>
          <w:rFonts w:hint="eastAsia" w:ascii="仿宋_GB2312" w:hAnsi="仿宋_GB2312" w:eastAsia="仿宋_GB2312" w:cs="仿宋_GB2312"/>
          <w:bCs/>
          <w:color w:val="auto"/>
          <w:sz w:val="32"/>
          <w:szCs w:val="32"/>
          <w:highlight w:val="none"/>
          <w:shd w:val="clear" w:color="auto" w:fill="auto"/>
          <w:lang w:val="zh-CN"/>
        </w:rPr>
        <w:t>事宜约定以下合同条款，以兹共同信守。具体约定内容如下：</w:t>
      </w:r>
    </w:p>
    <w:p w14:paraId="4F87968C">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 xml:space="preserve">第一条  </w:t>
      </w:r>
      <w:r>
        <w:rPr>
          <w:rFonts w:hint="eastAsia" w:ascii="黑体" w:hAnsi="黑体" w:eastAsia="黑体" w:cs="黑体"/>
          <w:b w:val="0"/>
          <w:bCs w:val="0"/>
          <w:color w:val="auto"/>
          <w:sz w:val="32"/>
          <w:szCs w:val="32"/>
          <w:highlight w:val="none"/>
          <w:shd w:val="clear" w:color="auto" w:fill="auto"/>
          <w:lang w:eastAsia="zh-CN"/>
        </w:rPr>
        <w:t>服务</w:t>
      </w:r>
      <w:r>
        <w:rPr>
          <w:rFonts w:hint="eastAsia" w:ascii="黑体" w:hAnsi="黑体" w:eastAsia="黑体" w:cs="黑体"/>
          <w:b w:val="0"/>
          <w:bCs w:val="0"/>
          <w:color w:val="auto"/>
          <w:sz w:val="32"/>
          <w:szCs w:val="32"/>
          <w:highlight w:val="none"/>
          <w:shd w:val="clear" w:color="auto" w:fill="auto"/>
        </w:rPr>
        <w:t>事项</w:t>
      </w:r>
    </w:p>
    <w:p w14:paraId="332F7C39">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一、公厕管理服务：</w:t>
      </w:r>
    </w:p>
    <w:p w14:paraId="21A98DA8">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zh-CN" w:eastAsia="zh-CN"/>
        </w:rPr>
        <w:t>1、负责本合同范围内公厕的保洁管理、设施设备维修维、耗材提供等工作；</w:t>
      </w:r>
    </w:p>
    <w:p w14:paraId="64041872">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zh-CN" w:eastAsia="zh-CN"/>
        </w:rPr>
        <w:t>2、负责本合同范围内部分公厕保洁用品、耗材的提供，做好放置登记。卫生用纸、洗手液等耗材必须符合国家标准；</w:t>
      </w:r>
    </w:p>
    <w:p w14:paraId="66601830">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3、</w:t>
      </w:r>
      <w:r>
        <w:rPr>
          <w:rFonts w:hint="eastAsia" w:ascii="仿宋_GB2312" w:hAnsi="仿宋_GB2312" w:eastAsia="仿宋_GB2312" w:cs="仿宋_GB2312"/>
          <w:bCs/>
          <w:color w:val="auto"/>
          <w:sz w:val="32"/>
          <w:szCs w:val="32"/>
          <w:highlight w:val="none"/>
          <w:shd w:val="clear" w:color="auto" w:fill="auto"/>
          <w:lang w:val="zh-CN" w:eastAsia="zh-CN"/>
        </w:rPr>
        <w:t>负责本合同范围内公厕设施设备的维修保养，严格公厕类别标准进行维修维护工作，保障公厕运行，并同步做好登记，按季度报送审核。更换的设施设备等耗材必须符合国家标准；</w:t>
      </w:r>
    </w:p>
    <w:p w14:paraId="3AA9F3F1">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4</w:t>
      </w:r>
      <w:r>
        <w:rPr>
          <w:rFonts w:hint="eastAsia" w:ascii="仿宋_GB2312" w:hAnsi="仿宋_GB2312" w:eastAsia="仿宋_GB2312" w:cs="仿宋_GB2312"/>
          <w:bCs/>
          <w:color w:val="auto"/>
          <w:sz w:val="32"/>
          <w:szCs w:val="32"/>
          <w:highlight w:val="none"/>
          <w:shd w:val="clear" w:color="auto" w:fill="auto"/>
          <w:lang w:val="zh-CN" w:eastAsia="zh-CN"/>
        </w:rPr>
        <w:t>、负责本合同范围内公厕红线范围的日常保洁工作；</w:t>
      </w:r>
    </w:p>
    <w:p w14:paraId="09020438">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5</w:t>
      </w:r>
      <w:r>
        <w:rPr>
          <w:rFonts w:hint="eastAsia" w:ascii="仿宋_GB2312" w:hAnsi="仿宋_GB2312" w:eastAsia="仿宋_GB2312" w:cs="仿宋_GB2312"/>
          <w:bCs/>
          <w:color w:val="auto"/>
          <w:sz w:val="32"/>
          <w:szCs w:val="32"/>
          <w:highlight w:val="none"/>
          <w:shd w:val="clear" w:color="auto" w:fill="auto"/>
          <w:lang w:val="zh-CN" w:eastAsia="zh-CN"/>
        </w:rPr>
        <w:t>、负责本合同范围内公厕清雪除冰、防汛、高温防暑等各项应急处置工作；</w:t>
      </w:r>
    </w:p>
    <w:p w14:paraId="25CC57E7">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6</w:t>
      </w:r>
      <w:r>
        <w:rPr>
          <w:rFonts w:hint="eastAsia" w:ascii="仿宋_GB2312" w:hAnsi="仿宋_GB2312" w:eastAsia="仿宋_GB2312" w:cs="仿宋_GB2312"/>
          <w:bCs/>
          <w:color w:val="auto"/>
          <w:sz w:val="32"/>
          <w:szCs w:val="32"/>
          <w:highlight w:val="none"/>
          <w:shd w:val="clear" w:color="auto" w:fill="auto"/>
          <w:lang w:val="zh-CN" w:eastAsia="zh-CN"/>
        </w:rPr>
        <w:t>、负责日常工作资料的留存、整理、报送工作，并常态化开展宣传工作；</w:t>
      </w:r>
    </w:p>
    <w:p w14:paraId="7F3800F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7</w:t>
      </w:r>
      <w:r>
        <w:rPr>
          <w:rFonts w:hint="eastAsia" w:ascii="仿宋_GB2312" w:hAnsi="仿宋_GB2312" w:eastAsia="仿宋_GB2312" w:cs="仿宋_GB2312"/>
          <w:bCs/>
          <w:color w:val="auto"/>
          <w:sz w:val="32"/>
          <w:szCs w:val="32"/>
          <w:highlight w:val="none"/>
          <w:shd w:val="clear" w:color="auto" w:fill="auto"/>
          <w:lang w:val="zh-CN" w:eastAsia="zh-CN"/>
        </w:rPr>
        <w:t>、负责结合管理实际经负责人签字上报日报、周报、月报、年度总结及周计划、月计划和年度计划；</w:t>
      </w:r>
    </w:p>
    <w:p w14:paraId="782B3B47">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8</w:t>
      </w:r>
      <w:r>
        <w:rPr>
          <w:rFonts w:hint="eastAsia" w:ascii="仿宋_GB2312" w:hAnsi="仿宋_GB2312" w:eastAsia="仿宋_GB2312" w:cs="仿宋_GB2312"/>
          <w:bCs/>
          <w:color w:val="auto"/>
          <w:sz w:val="32"/>
          <w:szCs w:val="32"/>
          <w:highlight w:val="none"/>
          <w:shd w:val="clear" w:color="auto" w:fill="auto"/>
          <w:lang w:val="zh-CN" w:eastAsia="zh-CN"/>
        </w:rPr>
        <w:t>、处理投诉及整改回复、舆情上报、工作指令落实等工作；</w:t>
      </w:r>
    </w:p>
    <w:p w14:paraId="3FA7920A">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9</w:t>
      </w:r>
      <w:r>
        <w:rPr>
          <w:rFonts w:hint="eastAsia" w:ascii="仿宋_GB2312" w:hAnsi="仿宋_GB2312" w:eastAsia="仿宋_GB2312" w:cs="仿宋_GB2312"/>
          <w:bCs/>
          <w:color w:val="auto"/>
          <w:sz w:val="32"/>
          <w:szCs w:val="32"/>
          <w:highlight w:val="none"/>
          <w:shd w:val="clear" w:color="auto" w:fill="auto"/>
          <w:lang w:val="zh-CN" w:eastAsia="zh-CN"/>
        </w:rPr>
        <w:t>、保障保洁人员队伍稳定，安全生产、应急管控等工作；</w:t>
      </w:r>
    </w:p>
    <w:p w14:paraId="0C0C4C53">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val="zh-CN" w:eastAsia="zh-CN"/>
        </w:rPr>
        <w:t>、乙方经甲方许可后，可以使用市政公厕内甲方提供的设施设备用于管理相关工作；</w:t>
      </w:r>
    </w:p>
    <w:p w14:paraId="09744732">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11</w:t>
      </w:r>
      <w:r>
        <w:rPr>
          <w:rFonts w:hint="eastAsia" w:ascii="仿宋_GB2312" w:hAnsi="仿宋_GB2312" w:eastAsia="仿宋_GB2312" w:cs="仿宋_GB2312"/>
          <w:bCs/>
          <w:color w:val="auto"/>
          <w:sz w:val="32"/>
          <w:szCs w:val="32"/>
          <w:highlight w:val="none"/>
          <w:shd w:val="clear" w:color="auto" w:fill="auto"/>
          <w:lang w:val="zh-CN" w:eastAsia="zh-CN"/>
        </w:rPr>
        <w:t>、乙方需根据甲方的要求提供管理服务及市政公厕的相关设备，并保证正常运行；</w:t>
      </w:r>
    </w:p>
    <w:p w14:paraId="022C82F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12</w:t>
      </w:r>
      <w:r>
        <w:rPr>
          <w:rFonts w:hint="eastAsia" w:ascii="仿宋_GB2312" w:hAnsi="仿宋_GB2312" w:eastAsia="仿宋_GB2312" w:cs="仿宋_GB2312"/>
          <w:bCs/>
          <w:color w:val="auto"/>
          <w:sz w:val="32"/>
          <w:szCs w:val="32"/>
          <w:highlight w:val="none"/>
          <w:shd w:val="clear" w:color="auto" w:fill="auto"/>
          <w:lang w:val="zh-CN" w:eastAsia="zh-CN"/>
        </w:rPr>
        <w:t>、配备巡查车一辆；</w:t>
      </w:r>
    </w:p>
    <w:p w14:paraId="00A1DB1B">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13、</w:t>
      </w:r>
      <w:r>
        <w:rPr>
          <w:rFonts w:hint="eastAsia" w:ascii="仿宋_GB2312" w:hAnsi="仿宋_GB2312" w:eastAsia="仿宋_GB2312" w:cs="仿宋_GB2312"/>
          <w:bCs/>
          <w:color w:val="auto"/>
          <w:sz w:val="32"/>
          <w:szCs w:val="32"/>
          <w:highlight w:val="none"/>
          <w:shd w:val="clear" w:color="auto" w:fill="auto"/>
          <w:lang w:val="zh-CN" w:eastAsia="zh-CN"/>
        </w:rPr>
        <w:t>大唐不夜城、大唐芙蓉园周边公厕法定节日活动保障工作，根据春节期间保障工作情况，保障节日活动管理质量不降低，根据实际需求增加应急保障人员。</w:t>
      </w:r>
    </w:p>
    <w:p w14:paraId="7886EB1D">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14、</w:t>
      </w:r>
      <w:r>
        <w:rPr>
          <w:rFonts w:hint="eastAsia" w:ascii="仿宋_GB2312" w:hAnsi="仿宋_GB2312" w:eastAsia="仿宋_GB2312" w:cs="仿宋_GB2312"/>
          <w:bCs/>
          <w:color w:val="auto"/>
          <w:sz w:val="32"/>
          <w:szCs w:val="32"/>
          <w:highlight w:val="none"/>
          <w:shd w:val="clear" w:color="auto" w:fill="auto"/>
          <w:lang w:val="zh-CN" w:eastAsia="zh-CN"/>
        </w:rPr>
        <w:t>甲方安排的其他任务。</w:t>
      </w:r>
    </w:p>
    <w:p w14:paraId="63A64083">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二、人行天桥管理服务：</w:t>
      </w:r>
    </w:p>
    <w:p w14:paraId="08C004AF">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w:t>
      </w:r>
      <w:r>
        <w:rPr>
          <w:rFonts w:hint="eastAsia" w:ascii="仿宋_GB2312" w:hAnsi="仿宋_GB2312" w:eastAsia="仿宋_GB2312" w:cs="仿宋_GB2312"/>
          <w:bCs/>
          <w:color w:val="auto"/>
          <w:sz w:val="32"/>
          <w:szCs w:val="32"/>
          <w:highlight w:val="none"/>
          <w:shd w:val="clear" w:color="auto" w:fill="auto"/>
          <w:lang w:val="zh-CN" w:eastAsia="zh-CN"/>
        </w:rPr>
        <w:t>按照国家标准GB/T3608-2008《高处作业分级》《特种设备安全法》及西安市地方标准(DB6101/T3057-2019)《城市道路清扫保洁技术规范》要求，实现项目安全有序、干净整洁管理目标。</w:t>
      </w:r>
    </w:p>
    <w:p w14:paraId="27A22AA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2、</w:t>
      </w:r>
      <w:r>
        <w:rPr>
          <w:rFonts w:hint="eastAsia" w:ascii="仿宋_GB2312" w:hAnsi="仿宋_GB2312" w:eastAsia="仿宋_GB2312" w:cs="仿宋_GB2312"/>
          <w:bCs/>
          <w:color w:val="auto"/>
          <w:sz w:val="32"/>
          <w:szCs w:val="32"/>
          <w:highlight w:val="none"/>
          <w:shd w:val="clear" w:color="auto" w:fill="auto"/>
          <w:lang w:val="zh-CN" w:eastAsia="zh-CN"/>
        </w:rPr>
        <w:t>项目人员统一着装，仪容仪表整洁规范，行为举止文明，上岗期间不得出现着装开怀散胸、聚堆聊天、坐姿不雅等不文明现象；严禁工作人员上班时间捡拾废品。</w:t>
      </w:r>
    </w:p>
    <w:p w14:paraId="1EC654BF">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3、</w:t>
      </w:r>
      <w:r>
        <w:rPr>
          <w:rFonts w:hint="eastAsia" w:ascii="仿宋_GB2312" w:hAnsi="仿宋_GB2312" w:eastAsia="仿宋_GB2312" w:cs="仿宋_GB2312"/>
          <w:bCs/>
          <w:color w:val="auto"/>
          <w:sz w:val="32"/>
          <w:szCs w:val="32"/>
          <w:highlight w:val="none"/>
          <w:shd w:val="clear" w:color="auto" w:fill="auto"/>
          <w:lang w:val="zh-CN" w:eastAsia="zh-CN"/>
        </w:rPr>
        <w:t>按照合同约定配备项目工作人员，并为项目工作人员办理商业保险和社会保险，按时足额发放工资、福利，严禁拖欠、克扣人员工资、福利待遇。</w:t>
      </w:r>
    </w:p>
    <w:p w14:paraId="1771C3E3">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p>
    <w:p w14:paraId="2DB7C91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4、</w:t>
      </w:r>
      <w:r>
        <w:rPr>
          <w:rFonts w:hint="eastAsia" w:ascii="仿宋_GB2312" w:hAnsi="仿宋_GB2312" w:eastAsia="仿宋_GB2312" w:cs="仿宋_GB2312"/>
          <w:bCs/>
          <w:color w:val="auto"/>
          <w:sz w:val="32"/>
          <w:szCs w:val="32"/>
          <w:highlight w:val="none"/>
          <w:shd w:val="clear" w:color="auto" w:fill="auto"/>
          <w:lang w:val="zh-CN" w:eastAsia="zh-CN"/>
        </w:rPr>
        <w:t>按照人行天桥物业管理相关要求，确保项目服务范围市容环境整洁，设施完好，秩序井然；项目使用工具、器械干净、无破损，严禁工作人员在桥面、梯道、电梯等公共区域存放个人物品或堆放工具、物品。</w:t>
      </w:r>
    </w:p>
    <w:p w14:paraId="52F02439">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5、</w:t>
      </w:r>
      <w:r>
        <w:rPr>
          <w:rFonts w:hint="eastAsia" w:ascii="仿宋_GB2312" w:hAnsi="仿宋_GB2312" w:eastAsia="仿宋_GB2312" w:cs="仿宋_GB2312"/>
          <w:bCs/>
          <w:color w:val="auto"/>
          <w:sz w:val="32"/>
          <w:szCs w:val="32"/>
          <w:highlight w:val="none"/>
          <w:shd w:val="clear" w:color="auto" w:fill="auto"/>
          <w:lang w:val="zh-CN" w:eastAsia="zh-CN"/>
        </w:rPr>
        <w:t>本项目设施设备尚在质保期内，若出现质量问题，及时上报并联系建设单位及时维修，维修期间对于不能正常使用的通行区域，要做好告知公示，提示行人；若因管理不善造成的设施设备损坏、丢失现象，由乙方负责并及时快速进行维修、补齐、整改到位。</w:t>
      </w:r>
    </w:p>
    <w:p w14:paraId="17278D01">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6、</w:t>
      </w:r>
      <w:r>
        <w:rPr>
          <w:rFonts w:hint="eastAsia" w:ascii="仿宋_GB2312" w:hAnsi="仿宋_GB2312" w:eastAsia="仿宋_GB2312" w:cs="仿宋_GB2312"/>
          <w:bCs/>
          <w:color w:val="auto"/>
          <w:sz w:val="32"/>
          <w:szCs w:val="32"/>
          <w:highlight w:val="none"/>
          <w:shd w:val="clear" w:color="auto" w:fill="auto"/>
          <w:lang w:val="zh-CN" w:eastAsia="zh-CN"/>
        </w:rPr>
        <w:t>遇雨雪天气，提前做好防滑措施。冬季清除积雪、积冰工作，以雪为令，快速清扫桥面、梯道积雪、铲除结冰，并采取必要防滑措施，严禁在桥面、梯道堆放积雪。</w:t>
      </w:r>
    </w:p>
    <w:p w14:paraId="1A192C5F">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7、</w:t>
      </w:r>
      <w:r>
        <w:rPr>
          <w:rFonts w:hint="eastAsia" w:ascii="仿宋_GB2312" w:hAnsi="仿宋_GB2312" w:eastAsia="仿宋_GB2312" w:cs="仿宋_GB2312"/>
          <w:bCs/>
          <w:color w:val="auto"/>
          <w:sz w:val="32"/>
          <w:szCs w:val="32"/>
          <w:highlight w:val="none"/>
          <w:shd w:val="clear" w:color="auto" w:fill="auto"/>
          <w:lang w:val="zh-CN" w:eastAsia="zh-CN"/>
        </w:rPr>
        <w:t>制定相关应急预案，并进行演练，出现突发应急事件，第一时间到达现场，并立即采取有效措施；负责做好本项目安全消防管理工作。</w:t>
      </w:r>
    </w:p>
    <w:p w14:paraId="4A2BA6C4">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8、</w:t>
      </w:r>
      <w:r>
        <w:rPr>
          <w:rFonts w:hint="eastAsia" w:ascii="仿宋_GB2312" w:hAnsi="仿宋_GB2312" w:eastAsia="仿宋_GB2312" w:cs="仿宋_GB2312"/>
          <w:bCs/>
          <w:color w:val="auto"/>
          <w:sz w:val="32"/>
          <w:szCs w:val="32"/>
          <w:highlight w:val="none"/>
          <w:shd w:val="clear" w:color="auto" w:fill="auto"/>
          <w:lang w:val="zh-CN" w:eastAsia="zh-CN"/>
        </w:rPr>
        <w:t>及时上报情况，按时报送工作资料，负责本项目服务范围的投诉处置等工作。</w:t>
      </w:r>
    </w:p>
    <w:p w14:paraId="4D231039">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9、</w:t>
      </w:r>
      <w:r>
        <w:rPr>
          <w:rFonts w:hint="eastAsia" w:ascii="仿宋_GB2312" w:hAnsi="仿宋_GB2312" w:eastAsia="仿宋_GB2312" w:cs="仿宋_GB2312"/>
          <w:bCs/>
          <w:color w:val="auto"/>
          <w:sz w:val="32"/>
          <w:szCs w:val="32"/>
          <w:highlight w:val="none"/>
          <w:shd w:val="clear" w:color="auto" w:fill="auto"/>
          <w:lang w:val="zh-CN" w:eastAsia="zh-CN"/>
        </w:rPr>
        <w:t>人行天桥秩序安保严格落实安全防范措施管理，安保人员足额上岗，法定节假日及辖区重要活动期间，根据实际情况适时增强安保力量。</w:t>
      </w:r>
    </w:p>
    <w:p w14:paraId="33D4B72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val="zh-CN" w:eastAsia="zh-CN"/>
        </w:rPr>
        <w:t>做好电梯安全管理、日常运行安全管理及天桥设施日常维护工作；做好电梯服务工作，引导行人安全通行；若出现属于本条款服务范围的维修工作，必须立即到达现场，及时开展维修维护。</w:t>
      </w:r>
    </w:p>
    <w:p w14:paraId="3AA9374B">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p>
    <w:p w14:paraId="15E28E67">
      <w:pPr>
        <w:keepNext w:val="0"/>
        <w:keepLines w:val="0"/>
        <w:pageBreakBefore w:val="0"/>
        <w:widowControl w:val="0"/>
        <w:numPr>
          <w:ilvl w:val="0"/>
          <w:numId w:val="1"/>
        </w:numPr>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zh-CN" w:eastAsia="zh-CN"/>
        </w:rPr>
        <w:t>天桥整体玻璃面、铝板、格栅屏的高空清洗作业须严格遵守中华人民共和国国家标准GB/T3608-2008《高处作业分级》《特种设备安全法》要求，严格落实安全防护措施方可作业；四座人行天桥外立面清洗每年至少2次。</w:t>
      </w:r>
    </w:p>
    <w:p w14:paraId="0CA7E4C0">
      <w:pPr>
        <w:keepNext w:val="0"/>
        <w:keepLines w:val="0"/>
        <w:pageBreakBefore w:val="0"/>
        <w:widowControl w:val="0"/>
        <w:numPr>
          <w:ilvl w:val="0"/>
          <w:numId w:val="1"/>
        </w:numPr>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zh-CN" w:eastAsia="zh-CN"/>
        </w:rPr>
      </w:pPr>
      <w:r>
        <w:rPr>
          <w:rFonts w:hint="eastAsia" w:ascii="仿宋_GB2312" w:hAnsi="仿宋_GB2312" w:eastAsia="仿宋_GB2312" w:cs="仿宋_GB2312"/>
          <w:bCs/>
          <w:color w:val="auto"/>
          <w:sz w:val="32"/>
          <w:szCs w:val="32"/>
          <w:highlight w:val="none"/>
          <w:shd w:val="clear" w:color="auto" w:fill="auto"/>
          <w:lang w:val="zh-CN" w:eastAsia="zh-CN"/>
        </w:rPr>
        <w:t>甲方安排的其他任务。</w:t>
      </w:r>
    </w:p>
    <w:p w14:paraId="596C9DF2">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lang w:val="zh-CN" w:eastAsia="zh-CN"/>
        </w:rPr>
      </w:pPr>
      <w:r>
        <w:rPr>
          <w:rFonts w:hint="eastAsia" w:ascii="黑体" w:hAnsi="黑体" w:eastAsia="黑体" w:cs="黑体"/>
          <w:b w:val="0"/>
          <w:bCs w:val="0"/>
          <w:color w:val="auto"/>
          <w:sz w:val="32"/>
          <w:szCs w:val="32"/>
          <w:highlight w:val="none"/>
          <w:shd w:val="clear" w:color="auto" w:fill="auto"/>
          <w:lang w:val="zh-CN" w:eastAsia="zh-CN"/>
        </w:rPr>
        <w:t>第二条 服务数量</w:t>
      </w:r>
    </w:p>
    <w:p w14:paraId="34333C56">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zh-CN"/>
        </w:rPr>
        <w:t>曲江新区核心区的</w:t>
      </w:r>
      <w:r>
        <w:rPr>
          <w:rFonts w:hint="eastAsia" w:ascii="仿宋_GB2312" w:hAnsi="仿宋_GB2312" w:eastAsia="仿宋_GB2312" w:cs="仿宋_GB2312"/>
          <w:b w:val="0"/>
          <w:bCs w:val="0"/>
          <w:color w:val="auto"/>
          <w:sz w:val="32"/>
          <w:szCs w:val="32"/>
          <w:highlight w:val="none"/>
          <w:shd w:val="clear" w:color="auto" w:fill="auto"/>
          <w:lang w:val="en-US" w:eastAsia="zh-CN"/>
        </w:rPr>
        <w:t>95座市政公厕及4座人行天桥（具体位置详见附件1）。</w:t>
      </w:r>
    </w:p>
    <w:p w14:paraId="539F972E">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 xml:space="preserve">第三条  </w:t>
      </w:r>
      <w:r>
        <w:rPr>
          <w:rFonts w:hint="eastAsia" w:ascii="黑体" w:hAnsi="黑体" w:eastAsia="黑体" w:cs="黑体"/>
          <w:b w:val="0"/>
          <w:bCs w:val="0"/>
          <w:color w:val="auto"/>
          <w:sz w:val="32"/>
          <w:szCs w:val="32"/>
          <w:highlight w:val="none"/>
          <w:shd w:val="clear" w:color="auto" w:fill="auto"/>
          <w:lang w:eastAsia="zh-CN"/>
        </w:rPr>
        <w:t>服务</w:t>
      </w:r>
      <w:r>
        <w:rPr>
          <w:rFonts w:hint="eastAsia" w:ascii="黑体" w:hAnsi="黑体" w:eastAsia="黑体" w:cs="黑体"/>
          <w:b w:val="0"/>
          <w:bCs w:val="0"/>
          <w:color w:val="auto"/>
          <w:sz w:val="32"/>
          <w:szCs w:val="32"/>
          <w:highlight w:val="none"/>
          <w:shd w:val="clear" w:color="auto" w:fill="auto"/>
        </w:rPr>
        <w:t>期限</w:t>
      </w:r>
    </w:p>
    <w:p w14:paraId="4E8E93AC">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服务期限：12个月，以甲方书面通知的入场时间为准。</w:t>
      </w:r>
    </w:p>
    <w:p w14:paraId="69C7DBE9">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第四条 人员及其他配备</w:t>
      </w:r>
    </w:p>
    <w:p w14:paraId="2F81FA94">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1、公厕配置人员</w:t>
      </w:r>
      <w:r>
        <w:rPr>
          <w:rFonts w:hint="eastAsia" w:ascii="仿宋_GB2312" w:hAnsi="仿宋_GB2312" w:eastAsia="仿宋_GB2312" w:cs="仿宋_GB2312"/>
          <w:bCs/>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Cs/>
          <w:color w:val="auto"/>
          <w:sz w:val="32"/>
          <w:szCs w:val="32"/>
          <w:highlight w:val="none"/>
          <w:shd w:val="clear" w:color="auto" w:fill="auto"/>
          <w:lang w:val="en-US" w:eastAsia="zh-CN"/>
        </w:rPr>
        <w:t>人；人行天桥配置人员</w:t>
      </w:r>
      <w:r>
        <w:rPr>
          <w:rFonts w:hint="eastAsia" w:ascii="仿宋_GB2312" w:hAnsi="仿宋_GB2312" w:eastAsia="仿宋_GB2312" w:cs="仿宋_GB2312"/>
          <w:bCs/>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Cs/>
          <w:color w:val="auto"/>
          <w:sz w:val="32"/>
          <w:szCs w:val="32"/>
          <w:highlight w:val="none"/>
          <w:shd w:val="clear" w:color="auto" w:fill="auto"/>
          <w:lang w:val="en-US" w:eastAsia="zh-CN"/>
        </w:rPr>
        <w:t>人。</w:t>
      </w:r>
    </w:p>
    <w:p w14:paraId="147C870E">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2、乙方根据实际管理需求，自行配备业务管理人员，费用自理。</w:t>
      </w:r>
    </w:p>
    <w:p w14:paraId="096B2C98">
      <w:pPr>
        <w:spacing w:line="360" w:lineRule="auto"/>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lang w:eastAsia="zh-CN"/>
        </w:rPr>
        <w:t>工程维修人员、电梯安全管理员、高空作业人员均须持相应岗位资格证上岗；</w:t>
      </w:r>
    </w:p>
    <w:p w14:paraId="7BF6BB63">
      <w:pPr>
        <w:spacing w:line="360" w:lineRule="auto"/>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lang w:eastAsia="zh-CN"/>
        </w:rPr>
        <w:t>项目工作人员均须按照相应岗位安全管理要求进行岗前培训，符合条件后方可予以上岗；</w:t>
      </w:r>
    </w:p>
    <w:p w14:paraId="509AB518">
      <w:pPr>
        <w:spacing w:line="360" w:lineRule="auto"/>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lang w:eastAsia="zh-CN"/>
        </w:rPr>
        <w:t>本项目工作人员身体健康，无不良嗜好，无犯罪记录。</w:t>
      </w:r>
    </w:p>
    <w:p w14:paraId="09033FB3">
      <w:pPr>
        <w:keepNext w:val="0"/>
        <w:keepLines w:val="0"/>
        <w:pageBreakBefore w:val="0"/>
        <w:widowControl w:val="0"/>
        <w:tabs>
          <w:tab w:val="left" w:pos="735"/>
        </w:tabs>
        <w:kinsoku/>
        <w:wordWrap/>
        <w:overflowPunct/>
        <w:topLinePunct w:val="0"/>
        <w:autoSpaceDE w:val="0"/>
        <w:autoSpaceDN w:val="0"/>
        <w:bidi w:val="0"/>
        <w:adjustRightInd w:val="0"/>
        <w:snapToGrid w:val="0"/>
        <w:spacing w:line="560" w:lineRule="exact"/>
        <w:ind w:firstLine="640" w:firstLineChars="200"/>
        <w:textAlignment w:val="auto"/>
        <w:rPr>
          <w:rFonts w:hint="eastAsia" w:ascii="黑体" w:hAnsi="黑体" w:eastAsia="黑体" w:cs="黑体"/>
          <w:b w:val="0"/>
          <w:bCs w:val="0"/>
          <w:color w:val="auto"/>
          <w:sz w:val="32"/>
          <w:szCs w:val="32"/>
          <w:highlight w:val="none"/>
          <w:shd w:val="clear" w:color="auto" w:fill="auto"/>
        </w:rPr>
      </w:pPr>
      <w:r>
        <w:rPr>
          <w:rFonts w:hint="eastAsia" w:ascii="仿宋_GB2312" w:hAnsi="仿宋_GB2312" w:eastAsia="仿宋_GB2312" w:cs="仿宋_GB2312"/>
          <w:bCs/>
          <w:color w:val="auto"/>
          <w:sz w:val="32"/>
          <w:szCs w:val="32"/>
          <w:highlight w:val="none"/>
          <w:shd w:val="clear" w:color="auto" w:fill="auto"/>
          <w:lang w:val="en-US" w:eastAsia="zh-CN"/>
        </w:rPr>
        <w:t>6、乙方根据管辖公厕、天桥产生的垃圾产量，自配垃圾清运车，费用自理。</w:t>
      </w:r>
    </w:p>
    <w:p w14:paraId="2AB6B71E">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eastAsia="zh-CN"/>
        </w:rPr>
        <w:t>五</w:t>
      </w:r>
      <w:r>
        <w:rPr>
          <w:rFonts w:hint="eastAsia" w:ascii="黑体" w:hAnsi="黑体" w:eastAsia="黑体" w:cs="黑体"/>
          <w:b w:val="0"/>
          <w:bCs w:val="0"/>
          <w:color w:val="auto"/>
          <w:sz w:val="32"/>
          <w:szCs w:val="32"/>
          <w:highlight w:val="none"/>
          <w:shd w:val="clear" w:color="auto" w:fill="auto"/>
        </w:rPr>
        <w:t xml:space="preserve">条  </w:t>
      </w:r>
      <w:r>
        <w:rPr>
          <w:rFonts w:hint="eastAsia" w:ascii="黑体" w:hAnsi="黑体" w:eastAsia="黑体" w:cs="黑体"/>
          <w:b w:val="0"/>
          <w:bCs w:val="0"/>
          <w:color w:val="auto"/>
          <w:sz w:val="32"/>
          <w:szCs w:val="32"/>
          <w:highlight w:val="none"/>
          <w:shd w:val="clear" w:color="auto" w:fill="auto"/>
          <w:lang w:eastAsia="zh-CN"/>
        </w:rPr>
        <w:t>中标费用</w:t>
      </w:r>
      <w:r>
        <w:rPr>
          <w:rFonts w:hint="eastAsia" w:ascii="黑体" w:hAnsi="黑体" w:eastAsia="黑体" w:cs="黑体"/>
          <w:b w:val="0"/>
          <w:bCs w:val="0"/>
          <w:color w:val="auto"/>
          <w:sz w:val="32"/>
          <w:szCs w:val="32"/>
          <w:highlight w:val="none"/>
          <w:shd w:val="clear" w:color="auto" w:fill="auto"/>
        </w:rPr>
        <w:t>及支付方式</w:t>
      </w:r>
    </w:p>
    <w:p w14:paraId="5895C52C">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1.管理服务费总额（含税）暂定为¥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eastAsia="zh-CN"/>
        </w:rPr>
        <w:t>元</w:t>
      </w:r>
      <w:r>
        <w:rPr>
          <w:rFonts w:hint="eastAsia" w:ascii="仿宋_GB2312" w:hAnsi="仿宋_GB2312" w:eastAsia="仿宋_GB2312" w:cs="仿宋_GB2312"/>
          <w:b w:val="0"/>
          <w:bCs w:val="0"/>
          <w:color w:val="auto"/>
          <w:sz w:val="32"/>
          <w:szCs w:val="32"/>
          <w:highlight w:val="none"/>
          <w:shd w:val="clear" w:color="auto" w:fill="auto"/>
          <w:lang w:val="zh-CN"/>
        </w:rPr>
        <w:t>（大写：</w:t>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人民币   </w:t>
      </w:r>
      <w:r>
        <w:rPr>
          <w:rFonts w:hint="eastAsia" w:ascii="仿宋_GB2312" w:hAnsi="仿宋_GB2312" w:eastAsia="仿宋_GB2312" w:cs="仿宋_GB2312"/>
          <w:b w:val="0"/>
          <w:bCs w:val="0"/>
          <w:color w:val="auto"/>
          <w:sz w:val="32"/>
          <w:szCs w:val="32"/>
          <w:highlight w:val="none"/>
          <w:shd w:val="clear" w:color="auto" w:fill="auto"/>
          <w:lang w:val="zh-CN"/>
        </w:rPr>
        <w:t>）。</w:t>
      </w:r>
    </w:p>
    <w:p w14:paraId="25CD7BB6">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每月服务费用暂定为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w:t>
      </w:r>
    </w:p>
    <w:p w14:paraId="59EF87FE">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具体包括如下：</w:t>
      </w:r>
    </w:p>
    <w:p w14:paraId="171FC612">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1.1.服务总费用为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元/月。（其中包括公厕费用</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w:t>
      </w:r>
      <w:r>
        <w:rPr>
          <w:rFonts w:hint="eastAsia" w:ascii="仿宋_GB2312" w:hAnsi="仿宋_GB2312" w:eastAsia="仿宋_GB2312" w:cs="仿宋_GB2312"/>
          <w:b w:val="0"/>
          <w:bCs w:val="0"/>
          <w:color w:val="auto"/>
          <w:sz w:val="32"/>
          <w:szCs w:val="32"/>
          <w:highlight w:val="none"/>
          <w:shd w:val="clear" w:color="auto" w:fill="auto"/>
          <w:lang w:val="en-US" w:eastAsia="zh-CN"/>
        </w:rPr>
        <w:t>/月</w:t>
      </w:r>
      <w:r>
        <w:rPr>
          <w:rFonts w:hint="eastAsia" w:ascii="仿宋_GB2312" w:hAnsi="仿宋_GB2312" w:eastAsia="仿宋_GB2312" w:cs="仿宋_GB2312"/>
          <w:b w:val="0"/>
          <w:bCs w:val="0"/>
          <w:color w:val="auto"/>
          <w:sz w:val="32"/>
          <w:szCs w:val="32"/>
          <w:highlight w:val="none"/>
          <w:shd w:val="clear" w:color="auto" w:fill="auto"/>
          <w:lang w:val="zh-CN"/>
        </w:rPr>
        <w:t>；天桥服务费为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w:t>
      </w:r>
      <w:r>
        <w:rPr>
          <w:rFonts w:hint="eastAsia" w:ascii="仿宋_GB2312" w:hAnsi="仿宋_GB2312" w:eastAsia="仿宋_GB2312" w:cs="仿宋_GB2312"/>
          <w:b w:val="0"/>
          <w:bCs w:val="0"/>
          <w:color w:val="auto"/>
          <w:sz w:val="32"/>
          <w:szCs w:val="32"/>
          <w:highlight w:val="none"/>
          <w:shd w:val="clear" w:color="auto" w:fill="auto"/>
          <w:lang w:val="en-US" w:eastAsia="zh-CN"/>
        </w:rPr>
        <w:t>/月</w:t>
      </w:r>
      <w:r>
        <w:rPr>
          <w:rFonts w:hint="eastAsia" w:ascii="仿宋_GB2312" w:hAnsi="仿宋_GB2312" w:eastAsia="仿宋_GB2312" w:cs="仿宋_GB2312"/>
          <w:b w:val="0"/>
          <w:bCs w:val="0"/>
          <w:color w:val="auto"/>
          <w:sz w:val="32"/>
          <w:szCs w:val="32"/>
          <w:highlight w:val="none"/>
          <w:shd w:val="clear" w:color="auto" w:fill="auto"/>
          <w:lang w:val="zh-CN"/>
        </w:rPr>
        <w:t>，按实际接管时间算起，据实结算）。</w:t>
      </w:r>
    </w:p>
    <w:p w14:paraId="70748808">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以上费用包括人工清扫保洁员工资、法定节假日加班费、劳保福利、政策性福利、保洁员工装、工器具、商业保险、第三班次延时保洁、保洁耗材、维修维护费用等。</w:t>
      </w:r>
    </w:p>
    <w:p w14:paraId="7F81B865">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2.服务期内，乙方所辖本项目符合政策办理城镇职工、城乡居民社会保险的环卫工人，享受财政资金补助费用暂定为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元/月。此项费用按照乙方每月缴纳的环卫工人社保金额，按月据实结算。</w:t>
      </w:r>
    </w:p>
    <w:p w14:paraId="42FA2160">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3.高温季节及法定节日开展对本项目保洁员关爱慰问费用暂定为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元/月。此项费用按实际发生在当月据实结算。</w:t>
      </w:r>
    </w:p>
    <w:p w14:paraId="7D8C819F">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4.中国年新春系列活动期间，大唐不夜城街区、大唐芙蓉园景区周边等重点区域增强保洁力量保障服务费用暂定为</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元/月。此项费用按实际发生费用一次性据实结算。</w:t>
      </w:r>
    </w:p>
    <w:p w14:paraId="666CAFB7">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上述暂定总费用包括乙方向甲方提供清扫保洁劳务所需保洁人员工资、法定节假日加班费、劳保福利、防暑降温费、高温津贴、取暖费等政策性福利、人身意外伤害保险、社会保险、体检、工具洁具、保洁员工装（包括春夏装、秋冬装、棉大衣、反光背心、雨衣等）、高温天气及法定节日慰问保洁员费用、合同约定环卫车辆运行费用、税金等所有费用。除本合同约定外，甲方不再向乙方支付任何费用。</w:t>
      </w:r>
    </w:p>
    <w:p w14:paraId="44182719">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2.费用确认单</w:t>
      </w:r>
    </w:p>
    <w:p w14:paraId="6E17948F">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2.1按月度进行支付管理服务费用，每月末，甲方按照本合同附件的规定，在上述第五条约定的月度服务费用的基础上，由乙方填报保洁费用确认单，乙方应在次月3日内向甲方报送上一个月度保洁费用确认单（遇节假日顺延）</w:t>
      </w:r>
    </w:p>
    <w:p w14:paraId="38A06108">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2.2甲方按照本合同附件的规定，甲方对乙方保洁情况、日常耗材、设施维修维护工作情况进行督导检查，并对工作结果进行考核后，据实填写费用确认单。</w:t>
      </w:r>
    </w:p>
    <w:p w14:paraId="58178A6C">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2.3甲方据实支付给乙方公厕</w:t>
      </w:r>
      <w:r>
        <w:rPr>
          <w:rFonts w:hint="eastAsia" w:ascii="仿宋_GB2312" w:hAnsi="仿宋_GB2312" w:eastAsia="仿宋_GB2312" w:cs="仿宋_GB2312"/>
          <w:b w:val="0"/>
          <w:bCs w:val="0"/>
          <w:color w:val="auto"/>
          <w:sz w:val="32"/>
          <w:szCs w:val="32"/>
          <w:highlight w:val="none"/>
          <w:shd w:val="clear" w:color="auto" w:fill="auto"/>
          <w:lang w:val="zh-CN"/>
        </w:rPr>
        <w:t>、</w:t>
      </w:r>
      <w:r>
        <w:rPr>
          <w:rFonts w:hint="eastAsia" w:ascii="仿宋_GB2312" w:hAnsi="仿宋_GB2312" w:eastAsia="仿宋_GB2312" w:cs="仿宋_GB2312"/>
          <w:b w:val="0"/>
          <w:bCs w:val="0"/>
          <w:color w:val="auto"/>
          <w:sz w:val="32"/>
          <w:szCs w:val="32"/>
          <w:highlight w:val="none"/>
          <w:shd w:val="clear" w:color="auto" w:fill="auto"/>
          <w:lang w:val="en-US" w:eastAsia="zh-CN"/>
        </w:rPr>
        <w:t>人行天桥</w:t>
      </w:r>
      <w:r>
        <w:rPr>
          <w:rFonts w:hint="eastAsia" w:ascii="仿宋_GB2312" w:hAnsi="仿宋_GB2312" w:eastAsia="仿宋_GB2312" w:cs="仿宋_GB2312"/>
          <w:b w:val="0"/>
          <w:bCs w:val="0"/>
          <w:color w:val="auto"/>
          <w:sz w:val="32"/>
          <w:szCs w:val="32"/>
          <w:highlight w:val="none"/>
          <w:shd w:val="clear" w:color="auto" w:fill="auto"/>
          <w:lang w:val="zh-CN"/>
        </w:rPr>
        <w:t>的管理工作及日常维护工作费用，以甲方最终书面确认的费用确认单为准。</w:t>
      </w:r>
    </w:p>
    <w:p w14:paraId="30452AD5">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2.4大型维修项目按要求报送大型维修申请，经甲方确认后进行维修，费用据实结算。</w:t>
      </w:r>
    </w:p>
    <w:p w14:paraId="19A88601">
      <w:pPr>
        <w:keepNext w:val="0"/>
        <w:keepLines w:val="0"/>
        <w:pageBreakBefore w:val="0"/>
        <w:widowControl w:val="0"/>
        <w:kinsoku/>
        <w:wordWrap/>
        <w:overflowPunct/>
        <w:topLinePunct w:val="0"/>
        <w:bidi w:val="0"/>
        <w:spacing w:line="560" w:lineRule="exact"/>
        <w:ind w:firstLine="640" w:firstLineChars="200"/>
        <w:textAlignment w:val="auto"/>
        <w:rPr>
          <w:rFonts w:hint="default"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2.5应急项目需按要求报送应急申请单，经甲方确认后增配人员及耗材，费用据实结算。</w:t>
      </w:r>
    </w:p>
    <w:p w14:paraId="041AD179">
      <w:pPr>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3.</w:t>
      </w:r>
      <w:r>
        <w:rPr>
          <w:rFonts w:hint="eastAsia" w:ascii="仿宋_GB2312" w:hAnsi="仿宋_GB2312" w:eastAsia="仿宋_GB2312" w:cs="仿宋_GB2312"/>
          <w:b w:val="0"/>
          <w:bCs w:val="0"/>
          <w:color w:val="auto"/>
          <w:sz w:val="32"/>
          <w:szCs w:val="32"/>
          <w:highlight w:val="none"/>
          <w:shd w:val="clear" w:color="auto" w:fill="auto"/>
          <w:lang w:val="zh-CN"/>
        </w:rPr>
        <w:t>支付方式</w:t>
      </w:r>
    </w:p>
    <w:p w14:paraId="3D6A50EC">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3.1甲方不预付服务费用，乙方服务期间所产生的管理费用，由乙方承担。乙方须有垫付一个季度服务费用的能力。</w:t>
      </w:r>
    </w:p>
    <w:p w14:paraId="2E7ABF8E">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3.2每月末，甲方按照本合同附件的规定，在上述第五条约定的月度服务费用的基础上，由乙方填报保洁费用确认单，乙方应在次月3日内向甲方报送上一个月度保洁费用确认单（遇节假日顺延）。甲方结合乙方保洁劳务工作量、考核结果，最终确认当月保洁服务费用。</w:t>
      </w:r>
      <w:r>
        <w:rPr>
          <w:rFonts w:hint="eastAsia" w:ascii="仿宋_GB2312" w:hAnsi="仿宋_GB2312" w:eastAsia="仿宋_GB2312" w:cs="仿宋_GB2312"/>
          <w:b w:val="0"/>
          <w:bCs w:val="0"/>
          <w:color w:val="auto"/>
          <w:sz w:val="32"/>
          <w:szCs w:val="32"/>
          <w:highlight w:val="none"/>
          <w:shd w:val="clear" w:color="auto" w:fill="auto"/>
          <w:lang w:val="zh-CN"/>
        </w:rPr>
        <w:t>其中，分值在及格线以上的，按照合同约定支付</w:t>
      </w:r>
      <w:r>
        <w:rPr>
          <w:rFonts w:hint="eastAsia" w:ascii="仿宋_GB2312" w:hAnsi="仿宋_GB2312" w:eastAsia="仿宋_GB2312" w:cs="仿宋_GB2312"/>
          <w:b w:val="0"/>
          <w:bCs w:val="0"/>
          <w:color w:val="auto"/>
          <w:sz w:val="32"/>
          <w:szCs w:val="32"/>
          <w:highlight w:val="none"/>
          <w:shd w:val="clear" w:color="auto" w:fill="auto"/>
          <w:lang w:val="en-US" w:eastAsia="zh-CN"/>
        </w:rPr>
        <w:t>公厕及人行天桥</w:t>
      </w:r>
      <w:r>
        <w:rPr>
          <w:rFonts w:hint="eastAsia" w:ascii="仿宋_GB2312" w:hAnsi="仿宋_GB2312" w:eastAsia="仿宋_GB2312" w:cs="仿宋_GB2312"/>
          <w:b w:val="0"/>
          <w:bCs w:val="0"/>
          <w:color w:val="auto"/>
          <w:sz w:val="32"/>
          <w:szCs w:val="32"/>
          <w:highlight w:val="none"/>
          <w:shd w:val="clear" w:color="auto" w:fill="auto"/>
          <w:lang w:val="zh-CN"/>
        </w:rPr>
        <w:t>管理服务费</w:t>
      </w:r>
      <w:r>
        <w:rPr>
          <w:rFonts w:hint="eastAsia" w:ascii="仿宋_GB2312" w:hAnsi="仿宋_GB2312" w:eastAsia="仿宋_GB2312" w:cs="仿宋_GB2312"/>
          <w:b w:val="0"/>
          <w:bCs w:val="0"/>
          <w:color w:val="auto"/>
          <w:sz w:val="32"/>
          <w:szCs w:val="32"/>
          <w:highlight w:val="none"/>
          <w:shd w:val="clear" w:color="auto" w:fill="auto"/>
          <w:lang w:val="zh-CN"/>
        </w:rPr>
        <w:t>；分值在不及格区间的，根据考核分值支付</w:t>
      </w:r>
      <w:r>
        <w:rPr>
          <w:rFonts w:hint="eastAsia" w:ascii="仿宋_GB2312" w:hAnsi="仿宋_GB2312" w:eastAsia="仿宋_GB2312" w:cs="仿宋_GB2312"/>
          <w:b w:val="0"/>
          <w:bCs w:val="0"/>
          <w:color w:val="auto"/>
          <w:sz w:val="32"/>
          <w:szCs w:val="32"/>
          <w:highlight w:val="none"/>
          <w:shd w:val="clear" w:color="auto" w:fill="auto"/>
          <w:lang w:val="en-US" w:eastAsia="zh-CN"/>
        </w:rPr>
        <w:t>公厕及人行天桥</w:t>
      </w:r>
      <w:r>
        <w:rPr>
          <w:rFonts w:hint="eastAsia" w:ascii="仿宋_GB2312" w:hAnsi="仿宋_GB2312" w:eastAsia="仿宋_GB2312" w:cs="仿宋_GB2312"/>
          <w:b w:val="0"/>
          <w:bCs w:val="0"/>
          <w:color w:val="auto"/>
          <w:sz w:val="32"/>
          <w:szCs w:val="32"/>
          <w:highlight w:val="none"/>
          <w:shd w:val="clear" w:color="auto" w:fill="auto"/>
          <w:lang w:val="zh-CN"/>
        </w:rPr>
        <w:t>管理服务费</w:t>
      </w:r>
      <w:r>
        <w:rPr>
          <w:rFonts w:hint="eastAsia" w:ascii="仿宋_GB2312" w:hAnsi="仿宋_GB2312" w:eastAsia="仿宋_GB2312" w:cs="仿宋_GB2312"/>
          <w:b w:val="0"/>
          <w:bCs w:val="0"/>
          <w:color w:val="auto"/>
          <w:sz w:val="32"/>
          <w:szCs w:val="32"/>
          <w:highlight w:val="none"/>
          <w:shd w:val="clear" w:color="auto" w:fill="auto"/>
          <w:lang w:val="zh-CN"/>
        </w:rPr>
        <w:t>（即：按实际得分与及格下线（90分）的分差，每低0.5分=0.5%的</w:t>
      </w:r>
      <w:r>
        <w:rPr>
          <w:rFonts w:hint="eastAsia" w:ascii="仿宋_GB2312" w:hAnsi="仿宋_GB2312" w:eastAsia="仿宋_GB2312" w:cs="仿宋_GB2312"/>
          <w:b w:val="0"/>
          <w:bCs w:val="0"/>
          <w:color w:val="auto"/>
          <w:sz w:val="32"/>
          <w:szCs w:val="32"/>
          <w:highlight w:val="none"/>
          <w:shd w:val="clear" w:color="auto" w:fill="auto"/>
          <w:lang w:val="en-US" w:eastAsia="zh-CN"/>
        </w:rPr>
        <w:t>对应的</w:t>
      </w:r>
      <w:r>
        <w:rPr>
          <w:rFonts w:hint="eastAsia" w:ascii="仿宋_GB2312" w:hAnsi="仿宋_GB2312" w:eastAsia="仿宋_GB2312" w:cs="仿宋_GB2312"/>
          <w:b w:val="0"/>
          <w:bCs w:val="0"/>
          <w:color w:val="auto"/>
          <w:sz w:val="32"/>
          <w:szCs w:val="32"/>
          <w:highlight w:val="none"/>
          <w:shd w:val="clear" w:color="auto" w:fill="auto"/>
          <w:lang w:val="zh-CN"/>
        </w:rPr>
        <w:t>月度管理服务费（不足0.5分的，按0.5分计算））；分值为差的，支付80%月度管理服务费。</w:t>
      </w:r>
    </w:p>
    <w:p w14:paraId="7564DA42">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3.2甲方付款前，乙方需根据甲方确认的</w:t>
      </w:r>
      <w:r>
        <w:rPr>
          <w:rFonts w:hint="eastAsia" w:ascii="仿宋_GB2312" w:hAnsi="仿宋_GB2312" w:eastAsia="仿宋_GB2312" w:cs="仿宋_GB2312"/>
          <w:b w:val="0"/>
          <w:bCs w:val="0"/>
          <w:color w:val="auto"/>
          <w:sz w:val="32"/>
          <w:szCs w:val="32"/>
          <w:highlight w:val="none"/>
          <w:shd w:val="clear" w:color="auto" w:fill="auto"/>
          <w:lang w:val="en-US" w:eastAsia="zh-CN"/>
        </w:rPr>
        <w:t>上月</w:t>
      </w:r>
      <w:r>
        <w:rPr>
          <w:rFonts w:hint="eastAsia" w:ascii="仿宋_GB2312" w:hAnsi="仿宋_GB2312" w:eastAsia="仿宋_GB2312" w:cs="仿宋_GB2312"/>
          <w:b w:val="0"/>
          <w:bCs w:val="0"/>
          <w:color w:val="auto"/>
          <w:sz w:val="32"/>
          <w:szCs w:val="32"/>
          <w:highlight w:val="none"/>
          <w:shd w:val="clear" w:color="auto" w:fill="auto"/>
          <w:lang w:val="zh-CN"/>
        </w:rPr>
        <w:t>费用确认单上的具体费用数额，向甲方开据等额的增值税普通发票及收款收据；如乙方不提供发票，甲方有权拒付本合同约定费用，且不视为违约。其中，保洁人员工资需转入专用账户，具体内容按照《西安曲江新区事业资产管理中心环卫园林领域专用账户资金管理三方协议》相关内容落实执行。</w:t>
      </w:r>
    </w:p>
    <w:p w14:paraId="495023D0">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3.3为了加强管理，提升城市精细化管理水平，本合同签订后，甲方支付乙方</w:t>
      </w:r>
      <w:r>
        <w:rPr>
          <w:rFonts w:hint="eastAsia" w:ascii="仿宋_GB2312" w:hAnsi="仿宋_GB2312" w:eastAsia="仿宋_GB2312" w:cs="仿宋_GB2312"/>
          <w:b w:val="0"/>
          <w:bCs w:val="0"/>
          <w:color w:val="auto"/>
          <w:sz w:val="32"/>
          <w:szCs w:val="32"/>
          <w:highlight w:val="none"/>
          <w:shd w:val="clear" w:color="auto" w:fill="auto"/>
          <w:lang w:val="zh-CN"/>
        </w:rPr>
        <w:t>第</w:t>
      </w:r>
      <w:r>
        <w:rPr>
          <w:rFonts w:hint="eastAsia" w:ascii="仿宋_GB2312" w:hAnsi="仿宋_GB2312" w:eastAsia="仿宋_GB2312" w:cs="仿宋_GB2312"/>
          <w:b w:val="0"/>
          <w:bCs w:val="0"/>
          <w:color w:val="auto"/>
          <w:sz w:val="32"/>
          <w:szCs w:val="32"/>
          <w:highlight w:val="none"/>
          <w:shd w:val="clear" w:color="auto" w:fill="auto"/>
          <w:lang w:val="en-US" w:eastAsia="zh-CN"/>
        </w:rPr>
        <w:t>一月</w:t>
      </w:r>
      <w:r>
        <w:rPr>
          <w:rFonts w:hint="eastAsia" w:ascii="仿宋_GB2312" w:hAnsi="仿宋_GB2312" w:eastAsia="仿宋_GB2312" w:cs="仿宋_GB2312"/>
          <w:b w:val="0"/>
          <w:bCs w:val="0"/>
          <w:color w:val="auto"/>
          <w:sz w:val="32"/>
          <w:szCs w:val="32"/>
          <w:highlight w:val="none"/>
          <w:shd w:val="clear" w:color="auto" w:fill="auto"/>
          <w:lang w:val="zh-CN"/>
        </w:rPr>
        <w:t>管理服务费用时，应扣除乙方本合同总承包费用的3%作为培训费用，由甲方统一调配使用。根据年终培训结果在合同约定的最后一个</w:t>
      </w:r>
      <w:r>
        <w:rPr>
          <w:rFonts w:hint="eastAsia" w:ascii="仿宋_GB2312" w:hAnsi="仿宋_GB2312" w:eastAsia="仿宋_GB2312" w:cs="仿宋_GB2312"/>
          <w:b w:val="0"/>
          <w:bCs w:val="0"/>
          <w:color w:val="auto"/>
          <w:sz w:val="32"/>
          <w:szCs w:val="32"/>
          <w:highlight w:val="none"/>
          <w:shd w:val="clear" w:color="auto" w:fill="auto"/>
          <w:lang w:val="en-US" w:eastAsia="zh-CN"/>
        </w:rPr>
        <w:t>月</w:t>
      </w:r>
      <w:r>
        <w:rPr>
          <w:rFonts w:hint="eastAsia" w:ascii="仿宋_GB2312" w:hAnsi="仿宋_GB2312" w:eastAsia="仿宋_GB2312" w:cs="仿宋_GB2312"/>
          <w:b w:val="0"/>
          <w:bCs w:val="0"/>
          <w:color w:val="auto"/>
          <w:sz w:val="32"/>
          <w:szCs w:val="32"/>
          <w:highlight w:val="none"/>
          <w:shd w:val="clear" w:color="auto" w:fill="auto"/>
          <w:lang w:val="zh-CN"/>
        </w:rPr>
        <w:t>将剩余培训费用向乙方返还，该项费用据实结算。</w:t>
      </w:r>
    </w:p>
    <w:p w14:paraId="17A3B4EE">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4.费用垫付</w:t>
      </w:r>
    </w:p>
    <w:p w14:paraId="69471CF0">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4.1甲方不预付管理服务费，乙方受托期间所产生的费用，由乙方先行垫付，与</w:t>
      </w:r>
      <w:r>
        <w:rPr>
          <w:rFonts w:hint="eastAsia" w:ascii="仿宋_GB2312" w:hAnsi="仿宋_GB2312" w:eastAsia="仿宋_GB2312" w:cs="仿宋_GB2312"/>
          <w:b w:val="0"/>
          <w:bCs w:val="0"/>
          <w:color w:val="auto"/>
          <w:sz w:val="32"/>
          <w:szCs w:val="32"/>
          <w:highlight w:val="none"/>
          <w:shd w:val="clear" w:color="auto" w:fill="auto"/>
          <w:lang w:val="en-US" w:eastAsia="zh-CN"/>
        </w:rPr>
        <w:t>月度</w:t>
      </w:r>
      <w:r>
        <w:rPr>
          <w:rFonts w:hint="eastAsia" w:ascii="仿宋_GB2312" w:hAnsi="仿宋_GB2312" w:eastAsia="仿宋_GB2312" w:cs="仿宋_GB2312"/>
          <w:b w:val="0"/>
          <w:bCs w:val="0"/>
          <w:color w:val="auto"/>
          <w:sz w:val="32"/>
          <w:szCs w:val="32"/>
          <w:highlight w:val="none"/>
          <w:shd w:val="clear" w:color="auto" w:fill="auto"/>
          <w:lang w:val="zh-CN"/>
        </w:rPr>
        <w:t>费用一并上报甲方审核。</w:t>
      </w:r>
    </w:p>
    <w:p w14:paraId="7337DC25">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4.2乙方具有提供本次管理服务人力、财力和物力保障，乙方有能力垫付本次服务所需相关费用。</w:t>
      </w:r>
    </w:p>
    <w:p w14:paraId="154D6C78">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lang w:eastAsia="zh-CN"/>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eastAsia="zh-CN"/>
        </w:rPr>
        <w:t>六</w:t>
      </w:r>
      <w:r>
        <w:rPr>
          <w:rFonts w:hint="eastAsia" w:ascii="黑体" w:hAnsi="黑体" w:eastAsia="黑体" w:cs="黑体"/>
          <w:b w:val="0"/>
          <w:bCs w:val="0"/>
          <w:color w:val="auto"/>
          <w:sz w:val="32"/>
          <w:szCs w:val="32"/>
          <w:highlight w:val="none"/>
          <w:shd w:val="clear" w:color="auto" w:fill="auto"/>
        </w:rPr>
        <w:t>条  服务</w:t>
      </w:r>
      <w:r>
        <w:rPr>
          <w:rFonts w:hint="eastAsia" w:ascii="黑体" w:hAnsi="黑体" w:eastAsia="黑体" w:cs="黑体"/>
          <w:b w:val="0"/>
          <w:bCs w:val="0"/>
          <w:color w:val="auto"/>
          <w:sz w:val="32"/>
          <w:szCs w:val="32"/>
          <w:highlight w:val="none"/>
          <w:shd w:val="clear" w:color="auto" w:fill="auto"/>
          <w:lang w:eastAsia="zh-CN"/>
        </w:rPr>
        <w:t>标准要求</w:t>
      </w:r>
    </w:p>
    <w:p w14:paraId="496700B3">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乙方严格按照西安市地方标准《公共厕所管理与服务规范》</w:t>
      </w:r>
      <w:r>
        <w:rPr>
          <w:rFonts w:hint="eastAsia" w:ascii="仿宋_GB2312" w:hAnsi="仿宋_GB2312" w:eastAsia="仿宋_GB2312" w:cs="仿宋_GB2312"/>
          <w:bCs/>
          <w:color w:val="auto"/>
          <w:sz w:val="32"/>
          <w:szCs w:val="32"/>
          <w:highlight w:val="none"/>
          <w:shd w:val="clear" w:color="auto" w:fill="auto"/>
          <w:lang w:val="zh-CN" w:eastAsia="zh-CN"/>
        </w:rPr>
        <w:t>《城市道路清扫保洁技术规范》《高处作业分级》（GB/T3608-2008）《特种设备安全法》</w:t>
      </w:r>
      <w:r>
        <w:rPr>
          <w:rFonts w:hint="eastAsia" w:ascii="仿宋_GB2312" w:hAnsi="仿宋_GB2312" w:eastAsia="仿宋_GB2312" w:cs="仿宋_GB2312"/>
          <w:b w:val="0"/>
          <w:bCs w:val="0"/>
          <w:color w:val="auto"/>
          <w:sz w:val="32"/>
          <w:szCs w:val="32"/>
          <w:highlight w:val="none"/>
          <w:shd w:val="clear" w:color="auto" w:fill="auto"/>
          <w:lang w:val="zh-CN"/>
        </w:rPr>
        <w:t>开展工作，并达到曲江新区下发的《曲江新区免费公厕维护管理及保洁标准》、西安市城市管理和综合执法局</w:t>
      </w:r>
      <w:r>
        <w:rPr>
          <w:rFonts w:hint="eastAsia" w:ascii="仿宋_GB2312" w:hAnsi="仿宋_GB2312" w:eastAsia="仿宋_GB2312" w:cs="仿宋_GB2312"/>
          <w:b w:val="0"/>
          <w:bCs w:val="0"/>
          <w:color w:val="auto"/>
          <w:sz w:val="32"/>
          <w:szCs w:val="32"/>
          <w:highlight w:val="none"/>
          <w:shd w:val="clear" w:color="auto" w:fill="auto"/>
          <w:lang w:val="en-US" w:eastAsia="zh-CN"/>
        </w:rPr>
        <w:t>下发的</w:t>
      </w:r>
      <w:r>
        <w:rPr>
          <w:rFonts w:hint="eastAsia" w:ascii="仿宋_GB2312" w:hAnsi="宋体" w:eastAsia="仿宋_GB2312" w:cs="仿宋_GB2312"/>
          <w:i w:val="0"/>
          <w:caps w:val="0"/>
          <w:color w:val="000000"/>
          <w:spacing w:val="0"/>
          <w:sz w:val="32"/>
          <w:szCs w:val="32"/>
          <w:highlight w:val="none"/>
          <w:shd w:val="clear" w:color="auto" w:fill="FFFFFF"/>
          <w:lang w:eastAsia="zh-CN"/>
        </w:rPr>
        <w:t>《西安市环卫保洁精细化作业</w:t>
      </w:r>
      <w:r>
        <w:rPr>
          <w:rFonts w:hint="eastAsia" w:ascii="仿宋_GB2312" w:hAnsi="宋体" w:eastAsia="仿宋_GB2312" w:cs="仿宋_GB2312"/>
          <w:i w:val="0"/>
          <w:caps w:val="0"/>
          <w:color w:val="000000"/>
          <w:spacing w:val="0"/>
          <w:sz w:val="32"/>
          <w:szCs w:val="32"/>
          <w:highlight w:val="none"/>
          <w:shd w:val="clear" w:color="auto" w:fill="FFFFFF"/>
          <w:lang w:val="en-US" w:eastAsia="zh-CN"/>
        </w:rPr>
        <w:t>指引</w:t>
      </w:r>
      <w:r>
        <w:rPr>
          <w:rFonts w:hint="eastAsia" w:ascii="仿宋_GB2312" w:hAnsi="宋体" w:eastAsia="仿宋_GB2312" w:cs="仿宋_GB2312"/>
          <w:i w:val="0"/>
          <w:caps w:val="0"/>
          <w:color w:val="000000"/>
          <w:spacing w:val="0"/>
          <w:sz w:val="32"/>
          <w:szCs w:val="32"/>
          <w:highlight w:val="none"/>
          <w:shd w:val="clear" w:color="auto" w:fill="FFFFFF"/>
          <w:lang w:eastAsia="zh-CN"/>
        </w:rPr>
        <w:t>》</w:t>
      </w:r>
      <w:r>
        <w:rPr>
          <w:rFonts w:hint="eastAsia" w:ascii="仿宋_GB2312" w:hAnsi="仿宋_GB2312" w:eastAsia="仿宋_GB2312" w:cs="仿宋_GB2312"/>
          <w:b w:val="0"/>
          <w:bCs w:val="0"/>
          <w:color w:val="auto"/>
          <w:sz w:val="32"/>
          <w:szCs w:val="32"/>
          <w:highlight w:val="none"/>
          <w:shd w:val="clear" w:color="auto" w:fill="auto"/>
          <w:lang w:val="zh-CN"/>
        </w:rPr>
        <w:t>通知以及市城市管理局等其他部门的各项管理要求。</w:t>
      </w:r>
    </w:p>
    <w:p w14:paraId="0346AF3F">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eastAsia="zh-CN"/>
        </w:rPr>
        <w:t>七</w:t>
      </w:r>
      <w:r>
        <w:rPr>
          <w:rFonts w:hint="eastAsia" w:ascii="黑体" w:hAnsi="黑体" w:eastAsia="黑体" w:cs="黑体"/>
          <w:b w:val="0"/>
          <w:bCs w:val="0"/>
          <w:color w:val="auto"/>
          <w:sz w:val="32"/>
          <w:szCs w:val="32"/>
          <w:highlight w:val="none"/>
          <w:shd w:val="clear" w:color="auto" w:fill="auto"/>
        </w:rPr>
        <w:t>条  双方权利义务</w:t>
      </w:r>
    </w:p>
    <w:p w14:paraId="1AD6D18A">
      <w:pPr>
        <w:keepNext w:val="0"/>
        <w:keepLines w:val="0"/>
        <w:pageBreakBefore w:val="0"/>
        <w:widowControl w:val="0"/>
        <w:kinsoku/>
        <w:wordWrap/>
        <w:overflowPunct/>
        <w:topLinePunct w:val="0"/>
        <w:bidi w:val="0"/>
        <w:spacing w:line="560" w:lineRule="exact"/>
        <w:ind w:left="638" w:leftChars="304" w:firstLine="0" w:firstLineChars="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(一)甲方权利、义务:</w:t>
      </w:r>
    </w:p>
    <w:p w14:paraId="77A598CB">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1、甲方应指导乙方做好保洁工作，为乙方提供必要的工作便利。</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2、</w:t>
      </w:r>
      <w:r>
        <w:rPr>
          <w:rFonts w:hint="eastAsia" w:ascii="仿宋_GB2312" w:hAnsi="仿宋_GB2312" w:eastAsia="仿宋_GB2312" w:cs="仿宋_GB2312"/>
          <w:b w:val="0"/>
          <w:bCs w:val="0"/>
          <w:color w:val="auto"/>
          <w:sz w:val="32"/>
          <w:szCs w:val="32"/>
          <w:highlight w:val="none"/>
          <w:shd w:val="clear" w:color="auto" w:fill="auto"/>
          <w:lang w:val="zh-CN"/>
        </w:rPr>
        <w:t>甲方对管理质量进行监督检查，并按照《曲江新区免费公厕维护管理及保洁标准》</w:t>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《西安曲江新区免费公厕管理考核办法（修订）》</w:t>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《西安曲江新区城市道路清扫保洁精细化管理标准（试行）》</w:t>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《西安曲江新区城市道路清扫保洁工作考核办法（修订）》等考核办法</w:t>
      </w:r>
      <w:r>
        <w:rPr>
          <w:rFonts w:hint="eastAsia" w:ascii="仿宋_GB2312" w:hAnsi="仿宋_GB2312" w:eastAsia="仿宋_GB2312" w:cs="仿宋_GB2312"/>
          <w:b w:val="0"/>
          <w:bCs w:val="0"/>
          <w:color w:val="auto"/>
          <w:sz w:val="32"/>
          <w:szCs w:val="32"/>
          <w:highlight w:val="none"/>
          <w:shd w:val="clear" w:color="auto" w:fill="auto"/>
          <w:lang w:val="zh-CN"/>
        </w:rPr>
        <w:t>对乙方进行考核。</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3、甲方有权要求乙方对不能胜任工作的项目管理人员随时更换。</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4、甲方有权对乙方保洁员工资福利发放、日常工具耗材配备、维修维护及保险办理等情况进行监督检查。</w:t>
      </w:r>
    </w:p>
    <w:p w14:paraId="2137B335">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5、</w:t>
      </w:r>
      <w:r>
        <w:rPr>
          <w:rFonts w:hint="eastAsia" w:ascii="仿宋_GB2312" w:hAnsi="仿宋_GB2312" w:eastAsia="仿宋_GB2312" w:cs="仿宋_GB2312"/>
          <w:b w:val="0"/>
          <w:bCs w:val="0"/>
          <w:color w:val="auto"/>
          <w:sz w:val="32"/>
          <w:szCs w:val="32"/>
          <w:highlight w:val="none"/>
          <w:shd w:val="clear" w:color="auto" w:fill="auto"/>
          <w:lang w:val="zh-CN"/>
        </w:rPr>
        <w:t>甲方有义务协助乙方解决在运营中遇到的问题，并提供政策上的支持。</w:t>
      </w:r>
    </w:p>
    <w:p w14:paraId="2FEBEE03">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(二)乙方权利、义务</w:t>
      </w:r>
    </w:p>
    <w:p w14:paraId="73BFC8D5">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1、乙方应保证在签订本协议时，已经获得履行本协议的相关资质。</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2、乙方应服从甲方的监督、管理，切实采取有效措施保证合同区域的公厕管理标准。</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3、乙方必须合同约定安排人员上岗。上岗人员必须统一着制式工装。</w:t>
      </w:r>
    </w:p>
    <w:p w14:paraId="31BAAD45">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4、乙方必须按照维修管理制度进行维修维护。</w:t>
      </w:r>
    </w:p>
    <w:p w14:paraId="5BB83828">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eastAsia="zh-CN"/>
        </w:rPr>
      </w:pPr>
      <w:r>
        <w:rPr>
          <w:rFonts w:hint="eastAsia" w:ascii="仿宋_GB2312" w:hAnsi="仿宋_GB2312" w:eastAsia="仿宋_GB2312" w:cs="仿宋_GB2312"/>
          <w:b w:val="0"/>
          <w:bCs w:val="0"/>
          <w:color w:val="auto"/>
          <w:sz w:val="32"/>
          <w:szCs w:val="32"/>
          <w:highlight w:val="none"/>
          <w:shd w:val="clear" w:color="auto" w:fill="auto"/>
          <w:lang w:val="zh-CN"/>
        </w:rPr>
        <w:t>5、乙方负责做好公厕内外所有公示牌、宣传标语等设计、制作安装。</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6</w:t>
      </w:r>
      <w:r>
        <w:rPr>
          <w:rFonts w:hint="eastAsia" w:ascii="仿宋_GB2312" w:hAnsi="仿宋_GB2312" w:eastAsia="仿宋_GB2312" w:cs="仿宋_GB2312"/>
          <w:b w:val="0"/>
          <w:bCs w:val="0"/>
          <w:color w:val="auto"/>
          <w:sz w:val="32"/>
          <w:szCs w:val="32"/>
          <w:highlight w:val="none"/>
          <w:shd w:val="clear" w:color="auto" w:fill="auto"/>
          <w:lang w:val="zh-CN"/>
        </w:rPr>
        <w:t>、乙方使用的工作人员必须身体健康、仪容端正、品德良好、无违法犯罪记录，如出现的相关责任由乙方负责，因此给甲方造成损失，由己方赔偿。使用保洁作业人员男性年龄不超过</w:t>
      </w:r>
      <w:r>
        <w:rPr>
          <w:rFonts w:hint="eastAsia" w:ascii="仿宋_GB2312" w:hAnsi="仿宋_GB2312" w:eastAsia="仿宋_GB2312" w:cs="仿宋_GB2312"/>
          <w:b w:val="0"/>
          <w:bCs w:val="0"/>
          <w:color w:val="auto"/>
          <w:sz w:val="32"/>
          <w:szCs w:val="32"/>
          <w:highlight w:val="none"/>
          <w:shd w:val="clear" w:color="auto" w:fill="auto"/>
          <w:lang w:val="en-US" w:eastAsia="zh-CN"/>
        </w:rPr>
        <w:t>63</w:t>
      </w:r>
      <w:r>
        <w:rPr>
          <w:rFonts w:hint="eastAsia" w:ascii="仿宋_GB2312" w:hAnsi="仿宋_GB2312" w:eastAsia="仿宋_GB2312" w:cs="仿宋_GB2312"/>
          <w:b w:val="0"/>
          <w:bCs w:val="0"/>
          <w:color w:val="auto"/>
          <w:sz w:val="32"/>
          <w:szCs w:val="32"/>
          <w:highlight w:val="none"/>
          <w:shd w:val="clear" w:color="auto" w:fill="auto"/>
          <w:lang w:val="zh-CN"/>
        </w:rPr>
        <w:t>岁，女性年龄不超过</w:t>
      </w:r>
      <w:r>
        <w:rPr>
          <w:rFonts w:hint="eastAsia" w:ascii="仿宋_GB2312" w:hAnsi="仿宋_GB2312" w:eastAsia="仿宋_GB2312" w:cs="仿宋_GB2312"/>
          <w:b w:val="0"/>
          <w:bCs w:val="0"/>
          <w:color w:val="auto"/>
          <w:sz w:val="32"/>
          <w:szCs w:val="32"/>
          <w:highlight w:val="none"/>
          <w:shd w:val="clear" w:color="auto" w:fill="auto"/>
          <w:lang w:val="en-US" w:eastAsia="zh-CN"/>
        </w:rPr>
        <w:t>60</w:t>
      </w:r>
      <w:r>
        <w:rPr>
          <w:rFonts w:hint="eastAsia" w:ascii="仿宋_GB2312" w:hAnsi="仿宋_GB2312" w:eastAsia="仿宋_GB2312" w:cs="仿宋_GB2312"/>
          <w:b w:val="0"/>
          <w:bCs w:val="0"/>
          <w:color w:val="auto"/>
          <w:sz w:val="32"/>
          <w:szCs w:val="32"/>
          <w:highlight w:val="none"/>
          <w:shd w:val="clear" w:color="auto" w:fill="auto"/>
          <w:lang w:val="zh-CN"/>
        </w:rPr>
        <w:t>岁，否则，出现的相关责任由乙方负责，因此给甲方造成的损失，由乙方赔偿。</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7、</w:t>
      </w:r>
      <w:r>
        <w:rPr>
          <w:rFonts w:hint="eastAsia" w:ascii="仿宋_GB2312" w:hAnsi="仿宋_GB2312" w:eastAsia="仿宋_GB2312" w:cs="仿宋_GB2312"/>
          <w:b w:val="0"/>
          <w:bCs w:val="0"/>
          <w:color w:val="auto"/>
          <w:sz w:val="32"/>
          <w:szCs w:val="32"/>
          <w:highlight w:val="none"/>
          <w:shd w:val="clear" w:color="auto" w:fill="auto"/>
          <w:lang w:val="zh-CN"/>
        </w:rPr>
        <w:t>乙方必须为其保洁工作人员办理人身意外伤害保险和社会保险、加强保沽工作人员安生产教育管理，全年安全教育培训不少于12次，受训达</w:t>
      </w:r>
      <w:r>
        <w:rPr>
          <w:rFonts w:hint="eastAsia" w:ascii="仿宋_GB2312" w:hAnsi="仿宋_GB2312" w:eastAsia="仿宋_GB2312" w:cs="仿宋_GB2312"/>
          <w:b w:val="0"/>
          <w:bCs w:val="0"/>
          <w:color w:val="auto"/>
          <w:sz w:val="32"/>
          <w:szCs w:val="32"/>
          <w:highlight w:val="none"/>
          <w:shd w:val="clear" w:color="auto" w:fill="auto"/>
          <w:lang w:val="en-US" w:eastAsia="zh-CN"/>
        </w:rPr>
        <w:t>100%。</w:t>
      </w:r>
      <w:r>
        <w:rPr>
          <w:rFonts w:hint="eastAsia" w:ascii="仿宋_GB2312" w:hAnsi="仿宋_GB2312" w:eastAsia="仿宋_GB2312" w:cs="仿宋_GB2312"/>
          <w:b w:val="0"/>
          <w:bCs w:val="0"/>
          <w:color w:val="auto"/>
          <w:sz w:val="32"/>
          <w:szCs w:val="32"/>
          <w:highlight w:val="none"/>
          <w:shd w:val="clear" w:color="auto" w:fill="auto"/>
          <w:lang w:val="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8</w:t>
      </w:r>
      <w:r>
        <w:rPr>
          <w:rFonts w:hint="eastAsia" w:ascii="仿宋_GB2312" w:hAnsi="仿宋_GB2312" w:eastAsia="仿宋_GB2312" w:cs="仿宋_GB2312"/>
          <w:b w:val="0"/>
          <w:bCs w:val="0"/>
          <w:color w:val="auto"/>
          <w:sz w:val="32"/>
          <w:szCs w:val="32"/>
          <w:highlight w:val="none"/>
          <w:shd w:val="clear" w:color="auto" w:fill="auto"/>
          <w:lang w:val="zh-CN"/>
        </w:rPr>
        <w:t>、乙方必须按时</w:t>
      </w:r>
      <w:r>
        <w:rPr>
          <w:rFonts w:hint="eastAsia" w:ascii="仿宋_GB2312" w:hAnsi="仿宋_GB2312" w:eastAsia="仿宋_GB2312" w:cs="仿宋_GB2312"/>
          <w:b w:val="0"/>
          <w:bCs w:val="0"/>
          <w:color w:val="auto"/>
          <w:sz w:val="32"/>
          <w:szCs w:val="32"/>
          <w:highlight w:val="none"/>
          <w:shd w:val="clear" w:color="auto" w:fill="auto"/>
          <w:lang w:val="zh-CN" w:eastAsia="zh-CN"/>
        </w:rPr>
        <w:t>向保洁员、管理员、保洁等人员发放月工资及劳保、福利等费用，若出现因拖延、拖欠保洁员劳务费用的投诉、上访事件，根据情节，甲方将对乙方严肃处理。拖欠的相关费用，甲方有权以应支付给乙方的服务费中扣除相关费用并支付给相应的保洁人员。甲方支付给保洁员后的费用等额抵扣甲方支付给乙方的</w:t>
      </w:r>
      <w:r>
        <w:rPr>
          <w:rFonts w:hint="eastAsia" w:ascii="仿宋_GB2312" w:hAnsi="仿宋_GB2312" w:eastAsia="仿宋_GB2312" w:cs="仿宋_GB2312"/>
          <w:b w:val="0"/>
          <w:bCs w:val="0"/>
          <w:color w:val="auto"/>
          <w:sz w:val="32"/>
          <w:szCs w:val="32"/>
          <w:highlight w:val="none"/>
          <w:shd w:val="clear" w:color="auto" w:fill="auto"/>
          <w:lang w:val="zh-CN"/>
        </w:rPr>
        <w:t>管理服务费</w:t>
      </w:r>
      <w:r>
        <w:rPr>
          <w:rFonts w:hint="eastAsia" w:ascii="仿宋_GB2312" w:hAnsi="仿宋_GB2312" w:eastAsia="仿宋_GB2312" w:cs="仿宋_GB2312"/>
          <w:b w:val="0"/>
          <w:bCs w:val="0"/>
          <w:color w:val="auto"/>
          <w:sz w:val="32"/>
          <w:szCs w:val="32"/>
          <w:highlight w:val="none"/>
          <w:shd w:val="clear" w:color="auto" w:fill="auto"/>
          <w:lang w:val="zh-CN" w:eastAsia="zh-CN"/>
        </w:rPr>
        <w:t>，对此乙方无异议。</w:t>
      </w:r>
      <w:r>
        <w:rPr>
          <w:rFonts w:hint="eastAsia" w:ascii="仿宋_GB2312" w:hAnsi="仿宋_GB2312" w:eastAsia="仿宋_GB2312" w:cs="仿宋_GB2312"/>
          <w:b w:val="0"/>
          <w:bCs w:val="0"/>
          <w:color w:val="auto"/>
          <w:sz w:val="32"/>
          <w:szCs w:val="32"/>
          <w:highlight w:val="none"/>
          <w:shd w:val="clear" w:color="auto" w:fill="auto"/>
          <w:lang w:val="zh-CN" w:eastAsia="zh-CN"/>
        </w:rPr>
        <w:br w:type="textWrapping"/>
      </w:r>
      <w:r>
        <w:rPr>
          <w:rFonts w:hint="eastAsia" w:ascii="仿宋_GB2312" w:hAnsi="仿宋_GB2312" w:eastAsia="仿宋_GB2312" w:cs="仿宋_GB2312"/>
          <w:b w:val="0"/>
          <w:bCs w:val="0"/>
          <w:color w:val="auto"/>
          <w:sz w:val="32"/>
          <w:szCs w:val="32"/>
          <w:highlight w:val="none"/>
          <w:shd w:val="clear" w:color="auto" w:fill="auto"/>
          <w:lang w:val="en-US" w:eastAsia="zh-CN"/>
        </w:rPr>
        <w:t xml:space="preserve">    9、</w:t>
      </w:r>
      <w:r>
        <w:rPr>
          <w:rFonts w:hint="eastAsia" w:ascii="仿宋_GB2312" w:hAnsi="仿宋_GB2312" w:eastAsia="仿宋_GB2312" w:cs="仿宋_GB2312"/>
          <w:b w:val="0"/>
          <w:bCs w:val="0"/>
          <w:color w:val="auto"/>
          <w:sz w:val="32"/>
          <w:szCs w:val="32"/>
          <w:highlight w:val="none"/>
          <w:shd w:val="clear" w:color="auto" w:fill="auto"/>
          <w:lang w:val="zh-CN" w:eastAsia="zh-CN"/>
        </w:rPr>
        <w:t>乙方应对保洁人员进行相应的岗位培训。定期对保洁人员进行岗位知识、工作技能、应急预案和思想教育。学习、培训，全年业务培训工作不得少于12次。</w:t>
      </w:r>
    </w:p>
    <w:p w14:paraId="68ED364C">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10、</w:t>
      </w:r>
      <w:r>
        <w:rPr>
          <w:rFonts w:hint="eastAsia" w:ascii="仿宋_GB2312" w:hAnsi="仿宋_GB2312" w:eastAsia="仿宋_GB2312" w:cs="仿宋_GB2312"/>
          <w:b w:val="0"/>
          <w:bCs w:val="0"/>
          <w:color w:val="auto"/>
          <w:sz w:val="32"/>
          <w:szCs w:val="32"/>
          <w:highlight w:val="none"/>
          <w:shd w:val="clear" w:color="auto" w:fill="auto"/>
          <w:lang w:val="zh-CN" w:eastAsia="zh-CN"/>
        </w:rPr>
        <w:t>乙方必须加强对所辖公厕、天桥的工作情况进行巡视检查，及时解决处理所存在的问题。</w:t>
      </w:r>
    </w:p>
    <w:p w14:paraId="253523E7">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11、乙方必须为管理用房配备床、桌椅、柜子、空调等日常生活用品。</w:t>
      </w:r>
    </w:p>
    <w:p w14:paraId="5895E8CB">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12、乙方需加大日常宣传力度，全年媒体宣传报道不得少于12次。</w:t>
      </w:r>
    </w:p>
    <w:p w14:paraId="189A1702">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13、</w:t>
      </w:r>
      <w:r>
        <w:rPr>
          <w:rFonts w:hint="eastAsia" w:ascii="仿宋_GB2312" w:hAnsi="仿宋_GB2312" w:eastAsia="仿宋_GB2312" w:cs="仿宋_GB2312"/>
          <w:b w:val="0"/>
          <w:bCs w:val="0"/>
          <w:color w:val="auto"/>
          <w:sz w:val="32"/>
          <w:szCs w:val="32"/>
          <w:highlight w:val="none"/>
          <w:shd w:val="clear" w:color="auto" w:fill="auto"/>
          <w:lang w:val="zh-CN" w:eastAsia="zh-CN"/>
        </w:rPr>
        <w:t>公厕移交乙方后，公厕的相关费用（包括但不限于维护、维修等费用）由乙方自行承担</w:t>
      </w:r>
      <w:r>
        <w:rPr>
          <w:rFonts w:hint="eastAsia" w:ascii="仿宋_GB2312" w:hAnsi="仿宋_GB2312" w:eastAsia="仿宋_GB2312" w:cs="仿宋_GB2312"/>
          <w:b w:val="0"/>
          <w:bCs w:val="0"/>
          <w:color w:val="auto"/>
          <w:sz w:val="32"/>
          <w:szCs w:val="32"/>
          <w:highlight w:val="none"/>
          <w:shd w:val="clear" w:color="auto" w:fill="auto"/>
          <w:lang w:val="zh-CN"/>
        </w:rPr>
        <w:t>。但非乙方原因造成建筑主体维修以及因主体原因造成的设备维修费用，由乙方先行垫付后，可向相关责任方追偿。</w:t>
      </w:r>
    </w:p>
    <w:p w14:paraId="465A950B">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highlight w:val="none"/>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14、因建设等原因造成的停电或停水情况，需调整水、电接口线路时，期间发生的水电费由乙方先垫付，经甲方审核确认后予以支付乙方。</w:t>
      </w:r>
    </w:p>
    <w:p w14:paraId="59548DF6">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15、</w:t>
      </w:r>
      <w:r>
        <w:rPr>
          <w:rFonts w:hint="eastAsia" w:ascii="仿宋_GB2312" w:hAnsi="仿宋_GB2312" w:eastAsia="仿宋_GB2312" w:cs="仿宋_GB2312"/>
          <w:b w:val="0"/>
          <w:bCs w:val="0"/>
          <w:color w:val="auto"/>
          <w:sz w:val="32"/>
          <w:szCs w:val="32"/>
          <w:highlight w:val="none"/>
          <w:shd w:val="clear" w:color="auto" w:fill="auto"/>
          <w:lang w:val="zh-CN"/>
        </w:rPr>
        <w:t>遇雨雪天气，提前做好防滑措施。冬季清除积雪、积冰工作，以雪为令，快速清扫桥面、梯道积雪、铲除结冰，并采取必要防滑措施，严禁在桥面、梯道堆放积雪。</w:t>
      </w:r>
    </w:p>
    <w:p w14:paraId="09B2B78A">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16、</w:t>
      </w:r>
      <w:r>
        <w:rPr>
          <w:rFonts w:hint="eastAsia" w:ascii="仿宋_GB2312" w:hAnsi="仿宋_GB2312" w:eastAsia="仿宋_GB2312" w:cs="仿宋_GB2312"/>
          <w:b w:val="0"/>
          <w:bCs w:val="0"/>
          <w:color w:val="auto"/>
          <w:sz w:val="32"/>
          <w:szCs w:val="32"/>
          <w:highlight w:val="none"/>
          <w:shd w:val="clear" w:color="auto" w:fill="auto"/>
          <w:lang w:val="zh-CN"/>
        </w:rPr>
        <w:t>制定相关应急预案，并进行演练，出现突发应急事件，第一时间到达现场，并立即采取有效措施；负责做好本项目安全消防管理工作。</w:t>
      </w:r>
    </w:p>
    <w:p w14:paraId="3E08E0B4">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17、</w:t>
      </w:r>
      <w:r>
        <w:rPr>
          <w:rFonts w:hint="eastAsia" w:ascii="仿宋_GB2312" w:hAnsi="仿宋_GB2312" w:eastAsia="仿宋_GB2312" w:cs="仿宋_GB2312"/>
          <w:b w:val="0"/>
          <w:bCs w:val="0"/>
          <w:color w:val="auto"/>
          <w:sz w:val="32"/>
          <w:szCs w:val="32"/>
          <w:highlight w:val="none"/>
          <w:shd w:val="clear" w:color="auto" w:fill="auto"/>
          <w:lang w:val="zh-CN"/>
        </w:rPr>
        <w:t>及时上报舆情，按时报送工作资料，负责本项目服务范围的投诉处置等工作。</w:t>
      </w:r>
    </w:p>
    <w:p w14:paraId="3D33ECF7">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sz w:val="32"/>
          <w:szCs w:val="32"/>
          <w:highlight w:val="none"/>
          <w:shd w:val="clear" w:color="auto" w:fill="auto"/>
          <w:lang w:val="en-US" w:eastAsia="zh-CN"/>
        </w:rPr>
        <w:t>18、</w:t>
      </w:r>
      <w:r>
        <w:rPr>
          <w:rFonts w:hint="eastAsia" w:ascii="仿宋_GB2312" w:hAnsi="仿宋_GB2312" w:eastAsia="仿宋_GB2312" w:cs="仿宋_GB2312"/>
          <w:b w:val="0"/>
          <w:bCs w:val="0"/>
          <w:color w:val="auto"/>
          <w:sz w:val="32"/>
          <w:szCs w:val="32"/>
          <w:highlight w:val="none"/>
          <w:shd w:val="clear" w:color="auto" w:fill="auto"/>
          <w:lang w:val="zh-CN"/>
        </w:rPr>
        <w:t>人行天桥秩序安保严格落实安全防范措施管理，安保人员足额上岗，法定节假日及辖区重要活动期间，根据实际情况适时增强安保力量。</w:t>
      </w:r>
    </w:p>
    <w:p w14:paraId="7C8E89E0">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19、</w:t>
      </w:r>
      <w:r>
        <w:rPr>
          <w:rFonts w:hint="eastAsia" w:ascii="仿宋_GB2312" w:hAnsi="仿宋_GB2312" w:eastAsia="仿宋_GB2312" w:cs="仿宋_GB2312"/>
          <w:b w:val="0"/>
          <w:bCs w:val="0"/>
          <w:color w:val="auto"/>
          <w:sz w:val="32"/>
          <w:szCs w:val="32"/>
          <w:highlight w:val="none"/>
          <w:shd w:val="clear" w:color="auto" w:fill="auto"/>
          <w:lang w:val="zh-CN"/>
        </w:rPr>
        <w:t>做好电梯安全管理、日常运行安全管理及天桥设施日常维护工作；做好电梯服务工作，引导行人安全通行；若出现属于本条款服务范围的维修工作，必须立即到达现场，及时开展维修维护。</w:t>
      </w:r>
    </w:p>
    <w:p w14:paraId="66481039">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20、</w:t>
      </w:r>
      <w:r>
        <w:rPr>
          <w:rFonts w:hint="eastAsia" w:ascii="仿宋_GB2312" w:hAnsi="仿宋_GB2312" w:eastAsia="仿宋_GB2312" w:cs="仿宋_GB2312"/>
          <w:b w:val="0"/>
          <w:bCs w:val="0"/>
          <w:color w:val="auto"/>
          <w:sz w:val="32"/>
          <w:szCs w:val="32"/>
          <w:highlight w:val="none"/>
          <w:shd w:val="clear" w:color="auto" w:fill="auto"/>
          <w:lang w:val="zh-CN"/>
        </w:rPr>
        <w:t>天桥整体玻璃面、铝板、格栅屏的高空清洗作业须严格遵守中华人民共和国国家标准GB/T3608-2008《高处作业分级》《特种设备安全法》要求，严格落实安全防护措施方可作业；四座人行天桥外立面清洗每年至少2次。</w:t>
      </w:r>
    </w:p>
    <w:p w14:paraId="6B64E5D3">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黑体" w:hAnsi="黑体" w:eastAsia="黑体" w:cs="黑体"/>
          <w:b w:val="0"/>
          <w:bCs w:val="0"/>
          <w:color w:val="auto"/>
          <w:sz w:val="32"/>
          <w:szCs w:val="32"/>
          <w:highlight w:val="none"/>
          <w:shd w:val="clear" w:color="auto" w:fill="auto"/>
          <w:lang w:val="en-US" w:eastAsia="zh-CN"/>
        </w:rPr>
        <w:t xml:space="preserve">第八条 </w:t>
      </w:r>
      <w:r>
        <w:rPr>
          <w:rFonts w:hint="eastAsia" w:ascii="黑体" w:hAnsi="黑体" w:eastAsia="黑体" w:cs="黑体"/>
          <w:b w:val="0"/>
          <w:bCs w:val="0"/>
          <w:color w:val="auto"/>
          <w:sz w:val="32"/>
          <w:szCs w:val="32"/>
          <w:highlight w:val="none"/>
          <w:shd w:val="clear" w:color="auto" w:fill="auto"/>
          <w:lang w:val="zh-CN"/>
        </w:rPr>
        <w:t>安全责任</w:t>
      </w:r>
    </w:p>
    <w:p w14:paraId="79FA77FA">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1.乙方</w:t>
      </w:r>
      <w:r>
        <w:rPr>
          <w:rFonts w:hint="eastAsia" w:ascii="仿宋_GB2312" w:hAnsi="仿宋_GB2312" w:eastAsia="仿宋_GB2312" w:cs="仿宋_GB2312"/>
          <w:b w:val="0"/>
          <w:bCs w:val="0"/>
          <w:color w:val="auto"/>
          <w:sz w:val="32"/>
          <w:szCs w:val="32"/>
          <w:highlight w:val="none"/>
          <w:shd w:val="clear" w:color="auto" w:fill="auto"/>
          <w:lang w:val="zh-CN"/>
        </w:rPr>
        <w:t>负责其工作人员等的人身、财产安全。若其工作人员发生安全事故，由</w:t>
      </w:r>
      <w:r>
        <w:rPr>
          <w:rFonts w:hint="eastAsia" w:ascii="仿宋_GB2312" w:hAnsi="仿宋_GB2312" w:eastAsia="仿宋_GB2312" w:cs="仿宋_GB2312"/>
          <w:b w:val="0"/>
          <w:bCs w:val="0"/>
          <w:color w:val="auto"/>
          <w:sz w:val="32"/>
          <w:szCs w:val="32"/>
          <w:highlight w:val="none"/>
          <w:shd w:val="clear" w:color="auto" w:fill="auto"/>
          <w:lang w:val="en-US" w:eastAsia="zh-CN"/>
        </w:rPr>
        <w:t>乙方</w:t>
      </w:r>
      <w:r>
        <w:rPr>
          <w:rFonts w:hint="eastAsia" w:ascii="仿宋_GB2312" w:hAnsi="仿宋_GB2312" w:eastAsia="仿宋_GB2312" w:cs="仿宋_GB2312"/>
          <w:b w:val="0"/>
          <w:bCs w:val="0"/>
          <w:color w:val="auto"/>
          <w:sz w:val="32"/>
          <w:szCs w:val="32"/>
          <w:highlight w:val="none"/>
          <w:shd w:val="clear" w:color="auto" w:fill="auto"/>
          <w:lang w:val="zh-CN"/>
        </w:rPr>
        <w:t>自行承担全部责任。</w:t>
      </w:r>
    </w:p>
    <w:p w14:paraId="43075818">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2.乙方</w:t>
      </w:r>
      <w:r>
        <w:rPr>
          <w:rFonts w:hint="eastAsia" w:ascii="仿宋_GB2312" w:hAnsi="仿宋_GB2312" w:eastAsia="仿宋_GB2312" w:cs="仿宋_GB2312"/>
          <w:b w:val="0"/>
          <w:bCs w:val="0"/>
          <w:color w:val="auto"/>
          <w:sz w:val="32"/>
          <w:szCs w:val="32"/>
          <w:highlight w:val="none"/>
          <w:shd w:val="clear" w:color="auto" w:fill="auto"/>
          <w:lang w:val="zh-CN"/>
        </w:rPr>
        <w:t>在履行合同期间因投标人原因所发生的第三方人身、财产伤害，由</w:t>
      </w:r>
      <w:r>
        <w:rPr>
          <w:rFonts w:hint="eastAsia" w:ascii="仿宋_GB2312" w:hAnsi="仿宋_GB2312" w:eastAsia="仿宋_GB2312" w:cs="仿宋_GB2312"/>
          <w:b w:val="0"/>
          <w:bCs w:val="0"/>
          <w:color w:val="auto"/>
          <w:sz w:val="32"/>
          <w:szCs w:val="32"/>
          <w:highlight w:val="none"/>
          <w:shd w:val="clear" w:color="auto" w:fill="auto"/>
          <w:lang w:val="en-US" w:eastAsia="zh-CN"/>
        </w:rPr>
        <w:t>乙方</w:t>
      </w:r>
      <w:r>
        <w:rPr>
          <w:rFonts w:hint="eastAsia" w:ascii="仿宋_GB2312" w:hAnsi="仿宋_GB2312" w:eastAsia="仿宋_GB2312" w:cs="仿宋_GB2312"/>
          <w:b w:val="0"/>
          <w:bCs w:val="0"/>
          <w:color w:val="auto"/>
          <w:sz w:val="32"/>
          <w:szCs w:val="32"/>
          <w:highlight w:val="none"/>
          <w:shd w:val="clear" w:color="auto" w:fill="auto"/>
          <w:lang w:val="zh-CN"/>
        </w:rPr>
        <w:t>承担全部法律责任。若因此使</w:t>
      </w:r>
      <w:r>
        <w:rPr>
          <w:rFonts w:hint="eastAsia" w:ascii="仿宋_GB2312" w:hAnsi="仿宋_GB2312" w:eastAsia="仿宋_GB2312" w:cs="仿宋_GB2312"/>
          <w:b w:val="0"/>
          <w:bCs w:val="0"/>
          <w:color w:val="auto"/>
          <w:sz w:val="32"/>
          <w:szCs w:val="32"/>
          <w:highlight w:val="none"/>
          <w:shd w:val="clear" w:color="auto" w:fill="auto"/>
          <w:lang w:val="en-US" w:eastAsia="zh-CN"/>
        </w:rPr>
        <w:t>甲方</w:t>
      </w:r>
      <w:r>
        <w:rPr>
          <w:rFonts w:hint="eastAsia" w:ascii="仿宋_GB2312" w:hAnsi="仿宋_GB2312" w:eastAsia="仿宋_GB2312" w:cs="仿宋_GB2312"/>
          <w:b w:val="0"/>
          <w:bCs w:val="0"/>
          <w:color w:val="auto"/>
          <w:sz w:val="32"/>
          <w:szCs w:val="32"/>
          <w:highlight w:val="none"/>
          <w:shd w:val="clear" w:color="auto" w:fill="auto"/>
          <w:lang w:val="zh-CN"/>
        </w:rPr>
        <w:t>受到损失，</w:t>
      </w:r>
      <w:r>
        <w:rPr>
          <w:rFonts w:hint="eastAsia" w:ascii="仿宋_GB2312" w:hAnsi="仿宋_GB2312" w:eastAsia="仿宋_GB2312" w:cs="仿宋_GB2312"/>
          <w:b w:val="0"/>
          <w:bCs w:val="0"/>
          <w:color w:val="auto"/>
          <w:sz w:val="32"/>
          <w:szCs w:val="32"/>
          <w:highlight w:val="none"/>
          <w:shd w:val="clear" w:color="auto" w:fill="auto"/>
          <w:lang w:val="en-US" w:eastAsia="zh-CN"/>
        </w:rPr>
        <w:t>甲方</w:t>
      </w:r>
      <w:r>
        <w:rPr>
          <w:rFonts w:hint="eastAsia" w:ascii="仿宋_GB2312" w:hAnsi="仿宋_GB2312" w:eastAsia="仿宋_GB2312" w:cs="仿宋_GB2312"/>
          <w:b w:val="0"/>
          <w:bCs w:val="0"/>
          <w:color w:val="auto"/>
          <w:sz w:val="32"/>
          <w:szCs w:val="32"/>
          <w:highlight w:val="none"/>
          <w:shd w:val="clear" w:color="auto" w:fill="auto"/>
          <w:lang w:val="zh-CN"/>
        </w:rPr>
        <w:t>有权向</w:t>
      </w:r>
      <w:r>
        <w:rPr>
          <w:rFonts w:hint="eastAsia" w:ascii="仿宋_GB2312" w:hAnsi="仿宋_GB2312" w:eastAsia="仿宋_GB2312" w:cs="仿宋_GB2312"/>
          <w:b w:val="0"/>
          <w:bCs w:val="0"/>
          <w:color w:val="auto"/>
          <w:sz w:val="32"/>
          <w:szCs w:val="32"/>
          <w:highlight w:val="none"/>
          <w:shd w:val="clear" w:color="auto" w:fill="auto"/>
          <w:lang w:val="en-US" w:eastAsia="zh-CN"/>
        </w:rPr>
        <w:t>乙方</w:t>
      </w:r>
      <w:r>
        <w:rPr>
          <w:rFonts w:hint="eastAsia" w:ascii="仿宋_GB2312" w:hAnsi="仿宋_GB2312" w:eastAsia="仿宋_GB2312" w:cs="仿宋_GB2312"/>
          <w:b w:val="0"/>
          <w:bCs w:val="0"/>
          <w:color w:val="auto"/>
          <w:sz w:val="32"/>
          <w:szCs w:val="32"/>
          <w:highlight w:val="none"/>
          <w:shd w:val="clear" w:color="auto" w:fill="auto"/>
          <w:lang w:val="zh-CN"/>
        </w:rPr>
        <w:t>追偿，追偿范围包括但不限于违约金、律师费、诉讼费和赔偿金。</w:t>
      </w:r>
    </w:p>
    <w:p w14:paraId="0A5E754F">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3.</w:t>
      </w:r>
      <w:r>
        <w:rPr>
          <w:rFonts w:hint="eastAsia" w:ascii="仿宋_GB2312" w:hAnsi="仿宋_GB2312" w:eastAsia="仿宋_GB2312" w:cs="仿宋_GB2312"/>
          <w:b w:val="0"/>
          <w:bCs w:val="0"/>
          <w:color w:val="auto"/>
          <w:sz w:val="32"/>
          <w:szCs w:val="32"/>
          <w:highlight w:val="none"/>
          <w:shd w:val="clear" w:color="auto" w:fill="auto"/>
          <w:lang w:val="zh-CN"/>
        </w:rPr>
        <w:t>项目实施期间，凡因</w:t>
      </w:r>
      <w:r>
        <w:rPr>
          <w:rFonts w:hint="eastAsia" w:ascii="仿宋_GB2312" w:hAnsi="仿宋_GB2312" w:eastAsia="仿宋_GB2312" w:cs="仿宋_GB2312"/>
          <w:b w:val="0"/>
          <w:bCs w:val="0"/>
          <w:color w:val="auto"/>
          <w:sz w:val="32"/>
          <w:szCs w:val="32"/>
          <w:highlight w:val="none"/>
          <w:shd w:val="clear" w:color="auto" w:fill="auto"/>
          <w:lang w:val="en-US" w:eastAsia="zh-CN"/>
        </w:rPr>
        <w:t>乙方</w:t>
      </w:r>
      <w:r>
        <w:rPr>
          <w:rFonts w:hint="eastAsia" w:ascii="仿宋_GB2312" w:hAnsi="仿宋_GB2312" w:eastAsia="仿宋_GB2312" w:cs="仿宋_GB2312"/>
          <w:b w:val="0"/>
          <w:bCs w:val="0"/>
          <w:color w:val="auto"/>
          <w:sz w:val="32"/>
          <w:szCs w:val="32"/>
          <w:highlight w:val="none"/>
          <w:shd w:val="clear" w:color="auto" w:fill="auto"/>
          <w:lang w:val="zh-CN"/>
        </w:rPr>
        <w:t>的违规操作或者疏于管理而导致的对区域内建筑物、设施设备等造成损毁或涉及人身伤害，由</w:t>
      </w:r>
      <w:r>
        <w:rPr>
          <w:rFonts w:hint="eastAsia" w:ascii="仿宋_GB2312" w:hAnsi="仿宋_GB2312" w:eastAsia="仿宋_GB2312" w:cs="仿宋_GB2312"/>
          <w:b w:val="0"/>
          <w:bCs w:val="0"/>
          <w:color w:val="auto"/>
          <w:sz w:val="32"/>
          <w:szCs w:val="32"/>
          <w:highlight w:val="none"/>
          <w:shd w:val="clear" w:color="auto" w:fill="auto"/>
          <w:lang w:val="en-US" w:eastAsia="zh-CN"/>
        </w:rPr>
        <w:t>乙方</w:t>
      </w:r>
      <w:r>
        <w:rPr>
          <w:rFonts w:hint="eastAsia" w:ascii="仿宋_GB2312" w:hAnsi="仿宋_GB2312" w:eastAsia="仿宋_GB2312" w:cs="仿宋_GB2312"/>
          <w:b w:val="0"/>
          <w:bCs w:val="0"/>
          <w:color w:val="auto"/>
          <w:sz w:val="32"/>
          <w:szCs w:val="32"/>
          <w:highlight w:val="none"/>
          <w:shd w:val="clear" w:color="auto" w:fill="auto"/>
          <w:lang w:val="zh-CN"/>
        </w:rPr>
        <w:t>承担所有赔偿责任。</w:t>
      </w:r>
    </w:p>
    <w:p w14:paraId="218FEA04">
      <w:pPr>
        <w:keepNext w:val="0"/>
        <w:keepLines w:val="0"/>
        <w:pageBreakBefore w:val="0"/>
        <w:widowControl w:val="0"/>
        <w:kinsoku/>
        <w:wordWrap/>
        <w:overflowPunct/>
        <w:topLinePunct w:val="0"/>
        <w:bidi w:val="0"/>
        <w:spacing w:line="560" w:lineRule="exact"/>
        <w:ind w:firstLine="627" w:firstLineChars="196"/>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val="en-US" w:eastAsia="zh-CN"/>
        </w:rPr>
        <w:t>九</w:t>
      </w:r>
      <w:r>
        <w:rPr>
          <w:rFonts w:hint="eastAsia" w:ascii="黑体" w:hAnsi="黑体" w:eastAsia="黑体" w:cs="黑体"/>
          <w:b w:val="0"/>
          <w:bCs w:val="0"/>
          <w:color w:val="auto"/>
          <w:sz w:val="32"/>
          <w:szCs w:val="32"/>
          <w:highlight w:val="none"/>
          <w:shd w:val="clear" w:color="auto" w:fill="auto"/>
        </w:rPr>
        <w:t>条 违约责任</w:t>
      </w:r>
    </w:p>
    <w:p w14:paraId="6676D64A">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1.本合同任何一方违反合同约定，给对方造成损失的，应当予以赔偿。</w:t>
      </w:r>
    </w:p>
    <w:p w14:paraId="198F48B6">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2.乙方未按合同约定开展公厕管理工作的，甲方应扣除当月管理服务费的10%作为违约金，违约金在甲方支付乙方当月管理服务费时予以扣除。</w:t>
      </w:r>
    </w:p>
    <w:p w14:paraId="4A8227B8">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3.服务期限内，甲方有权对乙方管理考核，考核两次不合格，甲方有权单方解除合同，因此，给甲方造成的损失，乙方应予以赔偿。</w:t>
      </w:r>
    </w:p>
    <w:p w14:paraId="5A8FD476">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4.本合同未约定的违约责任，乙方同意按照《西安曲江新区公厕管理考核办法（修订）》</w:t>
      </w:r>
      <w:r>
        <w:rPr>
          <w:rFonts w:hint="eastAsia" w:ascii="仿宋_GB2312" w:hAnsi="仿宋_GB2312" w:eastAsia="仿宋_GB2312" w:cs="仿宋_GB2312"/>
          <w:b w:val="0"/>
          <w:bCs w:val="0"/>
          <w:color w:val="auto"/>
          <w:sz w:val="32"/>
          <w:szCs w:val="32"/>
          <w:highlight w:val="none"/>
          <w:shd w:val="clear" w:color="auto" w:fill="auto"/>
          <w:lang w:val="zh-CN"/>
        </w:rPr>
        <w:t>《西安曲江新区城市道路清扫保洁工作考核办法（修订）》《西安曲江新区城市道路清扫保洁工作考核内容及打分标准》等</w:t>
      </w:r>
      <w:r>
        <w:rPr>
          <w:rFonts w:hint="eastAsia" w:ascii="仿宋_GB2312" w:hAnsi="仿宋_GB2312" w:eastAsia="仿宋_GB2312" w:cs="仿宋_GB2312"/>
          <w:b w:val="0"/>
          <w:bCs w:val="0"/>
          <w:color w:val="auto"/>
          <w:sz w:val="32"/>
          <w:szCs w:val="32"/>
          <w:highlight w:val="none"/>
          <w:shd w:val="clear" w:color="auto" w:fill="auto"/>
          <w:lang w:val="zh-CN"/>
        </w:rPr>
        <w:t>规定中执行。</w:t>
      </w:r>
    </w:p>
    <w:p w14:paraId="7F027A41">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5.出现乙方保洁员上访现象时，甲方有权单方解除合同。并赔偿因此给甲方造成的损失。</w:t>
      </w:r>
    </w:p>
    <w:p w14:paraId="1000ACB4">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6</w:t>
      </w:r>
      <w:r>
        <w:rPr>
          <w:rFonts w:hint="eastAsia" w:ascii="仿宋_GB2312" w:hAnsi="仿宋_GB2312" w:eastAsia="仿宋_GB2312" w:cs="仿宋_GB2312"/>
          <w:b w:val="0"/>
          <w:bCs w:val="0"/>
          <w:color w:val="auto"/>
          <w:sz w:val="32"/>
          <w:szCs w:val="32"/>
          <w:highlight w:val="none"/>
          <w:shd w:val="clear" w:color="auto" w:fill="auto"/>
          <w:lang w:val="en-US" w:eastAsia="zh-CN"/>
        </w:rPr>
        <w:t>.</w:t>
      </w:r>
      <w:r>
        <w:rPr>
          <w:rFonts w:hint="eastAsia" w:ascii="仿宋_GB2312" w:hAnsi="仿宋_GB2312" w:eastAsia="仿宋_GB2312" w:cs="仿宋_GB2312"/>
          <w:b w:val="0"/>
          <w:bCs w:val="0"/>
          <w:color w:val="auto"/>
          <w:sz w:val="32"/>
          <w:szCs w:val="32"/>
          <w:highlight w:val="none"/>
          <w:shd w:val="clear" w:color="auto" w:fill="auto"/>
          <w:lang w:val="zh-CN"/>
        </w:rPr>
        <w:t>工作人员在</w:t>
      </w:r>
      <w:r>
        <w:rPr>
          <w:rFonts w:hint="eastAsia" w:ascii="仿宋_GB2312" w:hAnsi="仿宋_GB2312" w:eastAsia="仿宋_GB2312" w:cs="仿宋_GB2312"/>
          <w:b w:val="0"/>
          <w:bCs w:val="0"/>
          <w:color w:val="auto"/>
          <w:sz w:val="32"/>
          <w:szCs w:val="32"/>
          <w:highlight w:val="none"/>
          <w:shd w:val="clear" w:color="auto" w:fill="auto"/>
          <w:lang w:val="zh-CN"/>
        </w:rPr>
        <w:t>公厕、</w:t>
      </w:r>
      <w:r>
        <w:rPr>
          <w:rFonts w:hint="eastAsia" w:ascii="仿宋_GB2312" w:hAnsi="仿宋_GB2312" w:eastAsia="仿宋_GB2312" w:cs="仿宋_GB2312"/>
          <w:b w:val="0"/>
          <w:bCs w:val="0"/>
          <w:color w:val="auto"/>
          <w:sz w:val="32"/>
          <w:szCs w:val="32"/>
          <w:highlight w:val="none"/>
          <w:shd w:val="clear" w:color="auto" w:fill="auto"/>
          <w:lang w:val="en-US" w:eastAsia="zh-CN"/>
        </w:rPr>
        <w:t>人行天桥</w:t>
      </w:r>
      <w:r>
        <w:rPr>
          <w:rFonts w:hint="eastAsia" w:ascii="仿宋_GB2312" w:hAnsi="仿宋_GB2312" w:eastAsia="仿宋_GB2312" w:cs="仿宋_GB2312"/>
          <w:b w:val="0"/>
          <w:bCs w:val="0"/>
          <w:color w:val="auto"/>
          <w:sz w:val="32"/>
          <w:szCs w:val="32"/>
          <w:highlight w:val="none"/>
          <w:shd w:val="clear" w:color="auto" w:fill="auto"/>
          <w:lang w:val="zh-CN"/>
        </w:rPr>
        <w:t>管理中发生人身伤亡事故及其他损害时，视为乙方违约，甲方有权从管理服务费中扣除合同总金额20%作为违约金。</w:t>
      </w:r>
    </w:p>
    <w:p w14:paraId="7C7099B8">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7.第三人因乙方对</w:t>
      </w:r>
      <w:r>
        <w:rPr>
          <w:rFonts w:hint="eastAsia" w:ascii="仿宋_GB2312" w:hAnsi="仿宋_GB2312" w:eastAsia="仿宋_GB2312" w:cs="仿宋_GB2312"/>
          <w:b w:val="0"/>
          <w:bCs w:val="0"/>
          <w:color w:val="auto"/>
          <w:sz w:val="32"/>
          <w:szCs w:val="32"/>
          <w:highlight w:val="none"/>
          <w:shd w:val="clear" w:color="auto" w:fill="auto"/>
          <w:lang w:val="zh-CN"/>
        </w:rPr>
        <w:t>公厕、</w:t>
      </w:r>
      <w:r>
        <w:rPr>
          <w:rFonts w:hint="eastAsia" w:ascii="仿宋_GB2312" w:hAnsi="仿宋_GB2312" w:eastAsia="仿宋_GB2312" w:cs="仿宋_GB2312"/>
          <w:b w:val="0"/>
          <w:bCs w:val="0"/>
          <w:color w:val="auto"/>
          <w:sz w:val="32"/>
          <w:szCs w:val="32"/>
          <w:highlight w:val="none"/>
          <w:shd w:val="clear" w:color="auto" w:fill="auto"/>
          <w:lang w:val="en-US" w:eastAsia="zh-CN"/>
        </w:rPr>
        <w:t>人行天桥</w:t>
      </w:r>
      <w:r>
        <w:rPr>
          <w:rFonts w:hint="eastAsia" w:ascii="仿宋_GB2312" w:hAnsi="仿宋_GB2312" w:eastAsia="仿宋_GB2312" w:cs="仿宋_GB2312"/>
          <w:b w:val="0"/>
          <w:bCs w:val="0"/>
          <w:color w:val="auto"/>
          <w:sz w:val="32"/>
          <w:szCs w:val="32"/>
          <w:highlight w:val="none"/>
          <w:shd w:val="clear" w:color="auto" w:fill="auto"/>
          <w:lang w:val="zh-CN"/>
        </w:rPr>
        <w:t>的不善管理遭受人身伤亡事故的，由乙方负全部责任，对此给甲方造成的损失，也由乙方全部赔偿。</w:t>
      </w:r>
    </w:p>
    <w:p w14:paraId="46B59CCA">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8.乙方如有虚报管理服务费用的，扣除当月管理服务费50%作为违约金。</w:t>
      </w:r>
    </w:p>
    <w:p w14:paraId="2B0CC8BD">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9.因规划或特殊不可控原因，导致公厕暂停使用的情况，从该公厕暂停使用首日起至恢复正常开放期间费用停止计算，该段时间的管理服务费将在当季度费用中扣除。</w:t>
      </w:r>
    </w:p>
    <w:p w14:paraId="14CDA082">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10.</w:t>
      </w:r>
      <w:r>
        <w:rPr>
          <w:rFonts w:hint="eastAsia" w:ascii="仿宋_GB2312" w:hAnsi="仿宋_GB2312" w:eastAsia="仿宋_GB2312" w:cs="仿宋_GB2312"/>
          <w:b w:val="0"/>
          <w:bCs w:val="0"/>
          <w:color w:val="auto"/>
          <w:sz w:val="32"/>
          <w:szCs w:val="32"/>
          <w:highlight w:val="none"/>
          <w:shd w:val="clear" w:color="auto" w:fill="auto"/>
          <w:lang w:val="zh-CN"/>
        </w:rPr>
        <w:t>甲方不能按期付款，每逾期一日，以应付款项为基数按照合同订立时1年期lpr的标准向乙方支付违约金。</w:t>
      </w:r>
    </w:p>
    <w:p w14:paraId="561F2B52">
      <w:pPr>
        <w:keepLines w:val="0"/>
        <w:pageBreakBefore w:val="0"/>
        <w:kinsoku/>
        <w:wordWrap/>
        <w:overflowPunct/>
        <w:topLinePunct w:val="0"/>
        <w:bidi w:val="0"/>
        <w:adjustRightInd/>
        <w:spacing w:line="560" w:lineRule="exact"/>
        <w:ind w:firstLine="627" w:firstLineChars="196"/>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val="en-US" w:eastAsia="zh-CN"/>
        </w:rPr>
        <w:t>十</w:t>
      </w:r>
      <w:r>
        <w:rPr>
          <w:rFonts w:hint="eastAsia" w:ascii="黑体" w:hAnsi="黑体" w:eastAsia="黑体" w:cs="黑体"/>
          <w:b w:val="0"/>
          <w:bCs w:val="0"/>
          <w:color w:val="auto"/>
          <w:sz w:val="32"/>
          <w:szCs w:val="32"/>
          <w:highlight w:val="none"/>
          <w:shd w:val="clear" w:color="auto" w:fill="auto"/>
        </w:rPr>
        <w:t>条 不可抗力</w:t>
      </w:r>
    </w:p>
    <w:p w14:paraId="79C62002">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遇不可抗力或不可归责于乙方原因，而造成的公厕内设施设备的损坏，乙方应及时向甲方说明情况，乙方对此不负修复或赔偿责任。遇投保财产损坏、灭失的，有关赔偿责任认定应以保险公司理赔调查为准，按保险法和有关法律规定予以赔付。</w:t>
      </w:r>
    </w:p>
    <w:p w14:paraId="7DD1A85E">
      <w:pPr>
        <w:keepLines w:val="0"/>
        <w:pageBreakBefore w:val="0"/>
        <w:kinsoku/>
        <w:wordWrap/>
        <w:overflowPunct/>
        <w:topLinePunct w:val="0"/>
        <w:bidi w:val="0"/>
        <w:adjustRightInd/>
        <w:spacing w:line="560" w:lineRule="exact"/>
        <w:ind w:firstLine="627" w:firstLineChars="196"/>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w:t>
      </w:r>
      <w:r>
        <w:rPr>
          <w:rFonts w:hint="eastAsia" w:ascii="黑体" w:hAnsi="黑体" w:eastAsia="黑体" w:cs="黑体"/>
          <w:b w:val="0"/>
          <w:bCs w:val="0"/>
          <w:color w:val="auto"/>
          <w:sz w:val="32"/>
          <w:szCs w:val="32"/>
          <w:highlight w:val="none"/>
          <w:shd w:val="clear" w:color="auto" w:fill="auto"/>
          <w:lang w:eastAsia="zh-CN"/>
        </w:rPr>
        <w:t>十</w:t>
      </w:r>
      <w:r>
        <w:rPr>
          <w:rFonts w:hint="eastAsia" w:ascii="黑体" w:hAnsi="黑体" w:eastAsia="黑体" w:cs="黑体"/>
          <w:b w:val="0"/>
          <w:bCs w:val="0"/>
          <w:color w:val="auto"/>
          <w:sz w:val="32"/>
          <w:szCs w:val="32"/>
          <w:highlight w:val="none"/>
          <w:shd w:val="clear" w:color="auto" w:fill="auto"/>
          <w:lang w:val="en-US" w:eastAsia="zh-CN"/>
        </w:rPr>
        <w:t>一</w:t>
      </w:r>
      <w:r>
        <w:rPr>
          <w:rFonts w:hint="eastAsia" w:ascii="黑体" w:hAnsi="黑体" w:eastAsia="黑体" w:cs="黑体"/>
          <w:b w:val="0"/>
          <w:bCs w:val="0"/>
          <w:color w:val="auto"/>
          <w:sz w:val="32"/>
          <w:szCs w:val="32"/>
          <w:highlight w:val="none"/>
          <w:shd w:val="clear" w:color="auto" w:fill="auto"/>
        </w:rPr>
        <w:t>条 合同的变更或者解除</w:t>
      </w:r>
    </w:p>
    <w:p w14:paraId="62B524B8">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en-US" w:eastAsia="zh-CN"/>
        </w:rPr>
        <w:t>1.</w:t>
      </w:r>
      <w:r>
        <w:rPr>
          <w:rFonts w:hint="eastAsia" w:ascii="仿宋_GB2312" w:hAnsi="仿宋_GB2312" w:eastAsia="仿宋_GB2312" w:cs="仿宋_GB2312"/>
          <w:b w:val="0"/>
          <w:bCs w:val="0"/>
          <w:color w:val="auto"/>
          <w:sz w:val="32"/>
          <w:szCs w:val="32"/>
          <w:highlight w:val="none"/>
          <w:shd w:val="clear" w:color="auto" w:fill="auto"/>
          <w:lang w:val="zh-CN"/>
        </w:rPr>
        <w:t>合同任何一方对本合同进行变更或者解除的，须经双方协商一致，签订变更或者解除协议。任何一方解除本协议需提前三个月书面告知对方，且违约方应当赔偿因此给守约方造成的损失。</w:t>
      </w:r>
    </w:p>
    <w:p w14:paraId="70233639">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2.如遇市、区一体化运维工作安排或其他整体工作调整，甲方有权单方解除合同且不视为违约，乙方对此知晓并同意，双方协商解决本合同项下各自的权利义务。</w:t>
      </w:r>
    </w:p>
    <w:p w14:paraId="045C9D70">
      <w:pPr>
        <w:keepLines w:val="0"/>
        <w:pageBreakBefore w:val="0"/>
        <w:kinsoku/>
        <w:wordWrap/>
        <w:overflowPunct/>
        <w:topLinePunct w:val="0"/>
        <w:bidi w:val="0"/>
        <w:adjustRightInd/>
        <w:spacing w:line="560" w:lineRule="exact"/>
        <w:ind w:firstLine="627" w:firstLineChars="196"/>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rPr>
        <w:t>第十</w:t>
      </w:r>
      <w:r>
        <w:rPr>
          <w:rFonts w:hint="eastAsia" w:ascii="黑体" w:hAnsi="黑体" w:eastAsia="黑体" w:cs="黑体"/>
          <w:b w:val="0"/>
          <w:bCs w:val="0"/>
          <w:color w:val="auto"/>
          <w:sz w:val="32"/>
          <w:szCs w:val="32"/>
          <w:highlight w:val="none"/>
          <w:shd w:val="clear" w:color="auto" w:fill="auto"/>
          <w:lang w:val="en-US" w:eastAsia="zh-CN"/>
        </w:rPr>
        <w:t>二</w:t>
      </w:r>
      <w:r>
        <w:rPr>
          <w:rFonts w:hint="eastAsia" w:ascii="黑体" w:hAnsi="黑体" w:eastAsia="黑体" w:cs="黑体"/>
          <w:b w:val="0"/>
          <w:bCs w:val="0"/>
          <w:color w:val="auto"/>
          <w:sz w:val="32"/>
          <w:szCs w:val="32"/>
          <w:highlight w:val="none"/>
          <w:shd w:val="clear" w:color="auto" w:fill="auto"/>
        </w:rPr>
        <w:t>条 争议解决</w:t>
      </w:r>
    </w:p>
    <w:p w14:paraId="0650380C">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 xml:space="preserve">因本合同发生争执的，由双方协商解决，协商不成的，任何一方均有权向甲方所在地有管辖权的人民法院提出诉讼。 </w:t>
      </w:r>
    </w:p>
    <w:p w14:paraId="5252C41A">
      <w:pPr>
        <w:pStyle w:val="3"/>
        <w:keepLines w:val="0"/>
        <w:pageBreakBefore w:val="0"/>
        <w:kinsoku/>
        <w:wordWrap/>
        <w:overflowPunct/>
        <w:topLinePunct w:val="0"/>
        <w:bidi w:val="0"/>
        <w:adjustRightInd/>
        <w:spacing w:line="560" w:lineRule="exact"/>
        <w:ind w:firstLine="640" w:firstLineChars="200"/>
        <w:rPr>
          <w:rFonts w:hint="eastAsia" w:ascii="黑体" w:hAnsi="黑体" w:eastAsia="黑体" w:cs="黑体"/>
          <w:b w:val="0"/>
          <w:bCs w:val="0"/>
          <w:color w:val="auto"/>
          <w:kern w:val="2"/>
          <w:sz w:val="32"/>
          <w:szCs w:val="32"/>
          <w:highlight w:val="none"/>
          <w:shd w:val="clear" w:color="auto" w:fill="auto"/>
          <w:lang w:val="zh-CN" w:eastAsia="zh-CN" w:bidi="ar-SA"/>
        </w:rPr>
      </w:pPr>
      <w:bookmarkStart w:id="0" w:name="_Toc510168661"/>
      <w:r>
        <w:rPr>
          <w:rFonts w:hint="eastAsia" w:ascii="黑体" w:hAnsi="黑体" w:eastAsia="黑体" w:cs="黑体"/>
          <w:b w:val="0"/>
          <w:bCs w:val="0"/>
          <w:color w:val="auto"/>
          <w:kern w:val="2"/>
          <w:sz w:val="32"/>
          <w:szCs w:val="32"/>
          <w:highlight w:val="none"/>
          <w:shd w:val="clear" w:color="auto" w:fill="auto"/>
          <w:lang w:val="zh-CN" w:eastAsia="zh-CN" w:bidi="ar-SA"/>
        </w:rPr>
        <w:t>第十</w:t>
      </w:r>
      <w:r>
        <w:rPr>
          <w:rFonts w:hint="eastAsia" w:hAnsi="黑体" w:eastAsia="黑体" w:cs="黑体"/>
          <w:b w:val="0"/>
          <w:bCs w:val="0"/>
          <w:color w:val="auto"/>
          <w:kern w:val="2"/>
          <w:sz w:val="32"/>
          <w:szCs w:val="32"/>
          <w:highlight w:val="none"/>
          <w:shd w:val="clear" w:color="auto" w:fill="auto"/>
          <w:lang w:val="en-US" w:eastAsia="zh-CN" w:bidi="ar-SA"/>
        </w:rPr>
        <w:t>三</w:t>
      </w:r>
      <w:r>
        <w:rPr>
          <w:rFonts w:hint="eastAsia" w:ascii="黑体" w:hAnsi="黑体" w:eastAsia="黑体" w:cs="黑体"/>
          <w:b w:val="0"/>
          <w:bCs w:val="0"/>
          <w:color w:val="auto"/>
          <w:kern w:val="2"/>
          <w:sz w:val="32"/>
          <w:szCs w:val="32"/>
          <w:highlight w:val="none"/>
          <w:shd w:val="clear" w:color="auto" w:fill="auto"/>
          <w:lang w:val="zh-CN" w:eastAsia="zh-CN" w:bidi="ar-SA"/>
        </w:rPr>
        <w:t>条</w:t>
      </w:r>
      <w:r>
        <w:rPr>
          <w:rFonts w:hint="eastAsia" w:ascii="黑体" w:hAnsi="黑体" w:eastAsia="黑体" w:cs="黑体"/>
          <w:b w:val="0"/>
          <w:bCs w:val="0"/>
          <w:color w:val="auto"/>
          <w:kern w:val="2"/>
          <w:sz w:val="32"/>
          <w:szCs w:val="32"/>
          <w:highlight w:val="none"/>
          <w:shd w:val="clear" w:color="auto" w:fill="auto"/>
          <w:lang w:val="en-US" w:eastAsia="zh-CN" w:bidi="ar-SA"/>
        </w:rPr>
        <w:t xml:space="preserve"> </w:t>
      </w:r>
      <w:r>
        <w:rPr>
          <w:rFonts w:hint="eastAsia" w:ascii="黑体" w:hAnsi="黑体" w:eastAsia="黑体" w:cs="黑体"/>
          <w:b w:val="0"/>
          <w:bCs w:val="0"/>
          <w:color w:val="auto"/>
          <w:kern w:val="2"/>
          <w:sz w:val="32"/>
          <w:szCs w:val="32"/>
          <w:highlight w:val="none"/>
          <w:shd w:val="clear" w:color="auto" w:fill="auto"/>
          <w:lang w:val="zh-CN" w:eastAsia="zh-CN" w:bidi="ar-SA"/>
        </w:rPr>
        <w:t>合同生效及其它</w:t>
      </w:r>
      <w:bookmarkEnd w:id="0"/>
    </w:p>
    <w:p w14:paraId="4FF3D778">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1.本合同未尽事宜，由双方协商签订补充协议，补充协议与本协议不一致的，以补充协议为准。</w:t>
      </w:r>
    </w:p>
    <w:p w14:paraId="6A9B7161">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2、合同附件与本合同具有同等法律效力。</w:t>
      </w:r>
    </w:p>
    <w:p w14:paraId="6A083AF1">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3、本合同正本一式</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份，甲方</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eastAsia="zh-CN"/>
        </w:rPr>
        <w:t>份，</w:t>
      </w:r>
      <w:r>
        <w:rPr>
          <w:rFonts w:hint="eastAsia" w:ascii="仿宋_GB2312" w:hAnsi="仿宋_GB2312" w:eastAsia="仿宋_GB2312" w:cs="仿宋_GB2312"/>
          <w:b w:val="0"/>
          <w:bCs w:val="0"/>
          <w:color w:val="auto"/>
          <w:sz w:val="32"/>
          <w:szCs w:val="32"/>
          <w:highlight w:val="none"/>
          <w:shd w:val="clear" w:color="auto" w:fill="auto"/>
          <w:lang w:val="zh-CN"/>
        </w:rPr>
        <w:t>乙方</w:t>
      </w:r>
      <w:r>
        <w:rPr>
          <w:rFonts w:hint="eastAsia" w:ascii="仿宋_GB2312" w:hAnsi="仿宋_GB2312" w:eastAsia="仿宋_GB2312" w:cs="仿宋_GB2312"/>
          <w:b w:val="0"/>
          <w:bCs w:val="0"/>
          <w:color w:val="auto"/>
          <w:sz w:val="32"/>
          <w:szCs w:val="32"/>
          <w:highlight w:val="none"/>
          <w:u w:val="single"/>
          <w:shd w:val="clear" w:color="auto" w:fill="auto"/>
          <w:lang w:val="en-US" w:eastAsia="zh-CN"/>
        </w:rPr>
        <w:t xml:space="preserve">    </w:t>
      </w:r>
      <w:r>
        <w:rPr>
          <w:rFonts w:hint="eastAsia" w:ascii="仿宋_GB2312" w:hAnsi="仿宋_GB2312" w:eastAsia="仿宋_GB2312" w:cs="仿宋_GB2312"/>
          <w:b w:val="0"/>
          <w:bCs w:val="0"/>
          <w:color w:val="auto"/>
          <w:sz w:val="32"/>
          <w:szCs w:val="32"/>
          <w:highlight w:val="none"/>
          <w:shd w:val="clear" w:color="auto" w:fill="auto"/>
          <w:lang w:val="zh-CN"/>
        </w:rPr>
        <w:t>份。</w:t>
      </w:r>
    </w:p>
    <w:p w14:paraId="3C37690C">
      <w:pPr>
        <w:keepLines w:val="0"/>
        <w:pageBreakBefore w:val="0"/>
        <w:kinsoku/>
        <w:wordWrap/>
        <w:overflowPunct/>
        <w:topLinePunct w:val="0"/>
        <w:bidi w:val="0"/>
        <w:adjustRightInd/>
        <w:spacing w:line="560" w:lineRule="exact"/>
        <w:ind w:firstLine="640" w:firstLineChars="200"/>
        <w:rPr>
          <w:rFonts w:hint="eastAsia" w:ascii="仿宋_GB2312" w:hAnsi="仿宋_GB2312" w:eastAsia="仿宋_GB2312" w:cs="仿宋_GB2312"/>
          <w:b w:val="0"/>
          <w:bCs w:val="0"/>
          <w:color w:val="auto"/>
          <w:sz w:val="32"/>
          <w:szCs w:val="32"/>
          <w:highlight w:val="none"/>
          <w:shd w:val="clear" w:color="auto" w:fill="auto"/>
          <w:lang w:val="zh-CN"/>
        </w:rPr>
      </w:pPr>
      <w:r>
        <w:rPr>
          <w:rFonts w:hint="eastAsia" w:ascii="仿宋_GB2312" w:hAnsi="仿宋_GB2312" w:eastAsia="仿宋_GB2312" w:cs="仿宋_GB2312"/>
          <w:b w:val="0"/>
          <w:bCs w:val="0"/>
          <w:color w:val="auto"/>
          <w:sz w:val="32"/>
          <w:szCs w:val="32"/>
          <w:highlight w:val="none"/>
          <w:shd w:val="clear" w:color="auto" w:fill="auto"/>
          <w:lang w:val="zh-CN"/>
        </w:rPr>
        <w:t>4、合同经甲乙双方盖章、签字</w:t>
      </w:r>
      <w:r>
        <w:rPr>
          <w:rFonts w:hint="eastAsia" w:ascii="仿宋_GB2312" w:hAnsi="仿宋_GB2312" w:eastAsia="仿宋_GB2312" w:cs="仿宋_GB2312"/>
          <w:b w:val="0"/>
          <w:bCs w:val="0"/>
          <w:color w:val="auto"/>
          <w:sz w:val="32"/>
          <w:szCs w:val="32"/>
          <w:highlight w:val="none"/>
          <w:shd w:val="clear" w:color="auto" w:fill="auto"/>
          <w:lang w:val="zh-CN" w:eastAsia="zh-CN"/>
        </w:rPr>
        <w:t>或直接盖章</w:t>
      </w:r>
      <w:r>
        <w:rPr>
          <w:rFonts w:hint="eastAsia" w:ascii="仿宋_GB2312" w:hAnsi="仿宋_GB2312" w:eastAsia="仿宋_GB2312" w:cs="仿宋_GB2312"/>
          <w:b w:val="0"/>
          <w:bCs w:val="0"/>
          <w:color w:val="auto"/>
          <w:sz w:val="32"/>
          <w:szCs w:val="32"/>
          <w:highlight w:val="none"/>
          <w:shd w:val="clear" w:color="auto" w:fill="auto"/>
          <w:lang w:val="zh-CN"/>
        </w:rPr>
        <w:t>后生效，合同签订地点为</w:t>
      </w:r>
      <w:r>
        <w:rPr>
          <w:rFonts w:hint="eastAsia" w:ascii="仿宋_GB2312" w:hAnsi="仿宋_GB2312" w:eastAsia="仿宋_GB2312" w:cs="仿宋_GB2312"/>
          <w:b w:val="0"/>
          <w:bCs w:val="0"/>
          <w:color w:val="auto"/>
          <w:sz w:val="32"/>
          <w:szCs w:val="32"/>
          <w:highlight w:val="none"/>
          <w:u w:val="single"/>
          <w:shd w:val="clear" w:color="auto" w:fill="auto"/>
          <w:lang w:val="zh-CN" w:eastAsia="zh-CN"/>
        </w:rPr>
        <w:t>曲江新区</w:t>
      </w:r>
      <w:r>
        <w:rPr>
          <w:rFonts w:hint="eastAsia" w:ascii="仿宋_GB2312" w:hAnsi="仿宋_GB2312" w:eastAsia="仿宋_GB2312" w:cs="仿宋_GB2312"/>
          <w:b w:val="0"/>
          <w:bCs w:val="0"/>
          <w:color w:val="auto"/>
          <w:sz w:val="32"/>
          <w:szCs w:val="32"/>
          <w:highlight w:val="none"/>
          <w:shd w:val="clear" w:color="auto" w:fill="auto"/>
          <w:lang w:val="zh-CN"/>
        </w:rPr>
        <w:t>。</w:t>
      </w:r>
    </w:p>
    <w:p w14:paraId="3DEACAC6">
      <w:pPr>
        <w:keepLines w:val="0"/>
        <w:pageBreakBefore w:val="0"/>
        <w:kinsoku/>
        <w:wordWrap/>
        <w:overflowPunct/>
        <w:topLinePunct w:val="0"/>
        <w:bidi w:val="0"/>
        <w:adjustRightInd/>
        <w:spacing w:line="560" w:lineRule="exact"/>
        <w:jc w:val="both"/>
        <w:rPr>
          <w:rFonts w:hint="eastAsia" w:ascii="仿宋_GB2312" w:hAnsi="仿宋_GB2312" w:eastAsia="仿宋_GB2312" w:cs="仿宋_GB2312"/>
          <w:b/>
          <w:bCs/>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（可根据实际履行情况及客观条件的变化，对合同条款进行必要且合理的调整。）</w:t>
      </w:r>
    </w:p>
    <w:p w14:paraId="439F98C9">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附件1：曲江新区核心区的95座市政公厕及4座人行天桥一览表</w:t>
      </w:r>
    </w:p>
    <w:p w14:paraId="09706120">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附件2：《西安市环卫保洁精细化作业指引》；</w:t>
      </w:r>
    </w:p>
    <w:p w14:paraId="04335A90">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附件3：《西安曲江新区公厕管理工作考核办法（修订）》</w:t>
      </w:r>
    </w:p>
    <w:p w14:paraId="631DACE6">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附件4：</w:t>
      </w:r>
      <w:r>
        <w:rPr>
          <w:rFonts w:hint="eastAsia" w:ascii="仿宋" w:hAnsi="仿宋" w:eastAsia="仿宋" w:cs="Times New Roman"/>
          <w:color w:val="auto"/>
          <w:kern w:val="0"/>
          <w:sz w:val="28"/>
          <w:szCs w:val="28"/>
          <w:highlight w:val="none"/>
          <w:shd w:val="clear" w:color="auto" w:fill="auto"/>
          <w:lang w:val="en-US" w:eastAsia="zh-CN"/>
        </w:rPr>
        <w:t>《西安曲江新区城市道路清扫保洁工作考核办法（修订）》</w:t>
      </w:r>
    </w:p>
    <w:p w14:paraId="1C2A300E">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s="Times New Roman"/>
          <w:color w:val="auto"/>
          <w:kern w:val="0"/>
          <w:sz w:val="28"/>
          <w:szCs w:val="28"/>
          <w:highlight w:val="none"/>
          <w:shd w:val="clear" w:color="auto" w:fill="auto"/>
          <w:lang w:val="en-US" w:eastAsia="zh-CN"/>
        </w:rPr>
      </w:pPr>
      <w:r>
        <w:rPr>
          <w:rFonts w:hint="eastAsia" w:ascii="仿宋" w:hAnsi="仿宋" w:eastAsia="仿宋" w:cs="Times New Roman"/>
          <w:color w:val="auto"/>
          <w:kern w:val="0"/>
          <w:sz w:val="28"/>
          <w:szCs w:val="28"/>
          <w:highlight w:val="none"/>
          <w:shd w:val="clear" w:color="auto" w:fill="auto"/>
          <w:lang w:val="en-US" w:eastAsia="zh-CN"/>
        </w:rPr>
        <w:t>附件5：西安曲江新区城市道路清扫保洁工作考核内容及打分标准</w:t>
      </w:r>
    </w:p>
    <w:p w14:paraId="599072F5">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s="Times New Roman"/>
          <w:color w:val="auto"/>
          <w:kern w:val="0"/>
          <w:sz w:val="28"/>
          <w:szCs w:val="28"/>
          <w:highlight w:val="none"/>
          <w:shd w:val="clear" w:color="auto" w:fill="auto"/>
          <w:lang w:val="en-US" w:eastAsia="zh-CN"/>
        </w:rPr>
      </w:pPr>
      <w:r>
        <w:rPr>
          <w:rFonts w:hint="eastAsia" w:ascii="仿宋" w:hAnsi="仿宋" w:eastAsia="仿宋" w:cs="Times New Roman"/>
          <w:color w:val="auto"/>
          <w:kern w:val="0"/>
          <w:sz w:val="28"/>
          <w:szCs w:val="28"/>
          <w:highlight w:val="none"/>
          <w:shd w:val="clear" w:color="auto" w:fill="auto"/>
          <w:lang w:val="en-US" w:eastAsia="zh-CN"/>
        </w:rPr>
        <w:t>附件6：《西安曲江新区事业资产管理中心环卫园林领域专用账户资金管理三方协议》</w:t>
      </w:r>
    </w:p>
    <w:p w14:paraId="5E6BE2DD">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（以下无正文）</w:t>
      </w:r>
    </w:p>
    <w:p w14:paraId="241D935D">
      <w:pPr>
        <w:pStyle w:val="4"/>
        <w:rPr>
          <w:rFonts w:hint="eastAsia"/>
          <w:highlight w:val="none"/>
        </w:rPr>
      </w:pPr>
      <w:r>
        <w:rPr>
          <w:rFonts w:hint="eastAsia"/>
          <w:highlight w:val="none"/>
        </w:rPr>
        <w:br w:type="page"/>
      </w:r>
    </w:p>
    <w:p w14:paraId="4324FB95">
      <w:pPr>
        <w:widowControl/>
        <w:tabs>
          <w:tab w:val="left" w:pos="8391"/>
        </w:tabs>
        <w:autoSpaceDE w:val="0"/>
        <w:autoSpaceDN w:val="0"/>
        <w:snapToGrid w:val="0"/>
        <w:spacing w:line="360" w:lineRule="auto"/>
        <w:ind w:right="-69"/>
        <w:textAlignment w:val="bottom"/>
        <w:rPr>
          <w:rFonts w:hint="eastAsia" w:ascii="仿宋" w:hAnsi="仿宋" w:eastAsia="仿宋"/>
          <w:color w:val="auto"/>
          <w:kern w:val="0"/>
          <w:sz w:val="28"/>
          <w:szCs w:val="28"/>
          <w:highlight w:val="none"/>
          <w:shd w:val="clear" w:color="auto" w:fill="auto"/>
          <w:lang w:eastAsia="zh-CN"/>
        </w:rPr>
      </w:pPr>
      <w:r>
        <w:rPr>
          <w:rFonts w:hint="eastAsia" w:ascii="仿宋" w:hAnsi="仿宋" w:eastAsia="仿宋"/>
          <w:color w:val="auto"/>
          <w:kern w:val="0"/>
          <w:sz w:val="28"/>
          <w:szCs w:val="28"/>
          <w:highlight w:val="none"/>
          <w:shd w:val="clear" w:color="auto" w:fill="auto"/>
          <w:lang w:eastAsia="zh-CN"/>
        </w:rPr>
        <w:t>（本页为签署页）</w:t>
      </w:r>
    </w:p>
    <w:tbl>
      <w:tblPr>
        <w:tblStyle w:val="6"/>
        <w:tblW w:w="0" w:type="auto"/>
        <w:jc w:val="center"/>
        <w:shd w:val="clear" w:color="auto" w:fill="FFFFFF"/>
        <w:tblLayout w:type="fixed"/>
        <w:tblCellMar>
          <w:top w:w="0" w:type="dxa"/>
          <w:left w:w="108" w:type="dxa"/>
          <w:bottom w:w="0" w:type="dxa"/>
          <w:right w:w="108" w:type="dxa"/>
        </w:tblCellMar>
      </w:tblPr>
      <w:tblGrid>
        <w:gridCol w:w="4643"/>
        <w:gridCol w:w="4643"/>
      </w:tblGrid>
      <w:tr w14:paraId="117EEDD3">
        <w:tblPrEx>
          <w:tblCellMar>
            <w:top w:w="0" w:type="dxa"/>
            <w:left w:w="108" w:type="dxa"/>
            <w:bottom w:w="0" w:type="dxa"/>
            <w:right w:w="108" w:type="dxa"/>
          </w:tblCellMar>
        </w:tblPrEx>
        <w:trPr>
          <w:jc w:val="center"/>
        </w:trPr>
        <w:tc>
          <w:tcPr>
            <w:tcW w:w="4643" w:type="dxa"/>
            <w:shd w:val="clear" w:color="auto" w:fill="auto"/>
            <w:noWrap w:val="0"/>
            <w:vAlign w:val="top"/>
          </w:tcPr>
          <w:p w14:paraId="763C8A9C">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甲方名称</w:t>
            </w:r>
            <w:r>
              <w:rPr>
                <w:rFonts w:ascii="仿宋" w:hAnsi="仿宋" w:eastAsia="仿宋"/>
                <w:color w:val="auto"/>
                <w:spacing w:val="-20"/>
                <w:kern w:val="0"/>
                <w:sz w:val="28"/>
                <w:szCs w:val="28"/>
                <w:highlight w:val="none"/>
                <w:shd w:val="clear" w:color="auto" w:fill="auto"/>
              </w:rPr>
              <w:t>（盖章）</w:t>
            </w:r>
            <w:r>
              <w:rPr>
                <w:rFonts w:ascii="仿宋" w:hAnsi="仿宋" w:eastAsia="仿宋"/>
                <w:color w:val="auto"/>
                <w:kern w:val="0"/>
                <w:sz w:val="28"/>
                <w:szCs w:val="28"/>
                <w:highlight w:val="none"/>
                <w:shd w:val="clear" w:color="auto" w:fill="auto"/>
              </w:rPr>
              <w:t>:</w:t>
            </w:r>
          </w:p>
          <w:p w14:paraId="27709A36">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21BD2712">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代表人</w:t>
            </w:r>
            <w:r>
              <w:rPr>
                <w:rFonts w:hint="eastAsia" w:ascii="仿宋" w:hAnsi="仿宋" w:eastAsia="仿宋"/>
                <w:color w:val="auto"/>
                <w:kern w:val="0"/>
                <w:sz w:val="28"/>
                <w:szCs w:val="28"/>
                <w:highlight w:val="none"/>
                <w:shd w:val="clear" w:color="auto" w:fill="auto"/>
                <w:lang w:eastAsia="zh-CN"/>
              </w:rPr>
              <w:t>或委托人</w:t>
            </w:r>
            <w:r>
              <w:rPr>
                <w:rFonts w:ascii="仿宋" w:hAnsi="仿宋" w:eastAsia="仿宋"/>
                <w:color w:val="auto"/>
                <w:kern w:val="0"/>
                <w:sz w:val="28"/>
                <w:szCs w:val="28"/>
                <w:highlight w:val="none"/>
                <w:shd w:val="clear" w:color="auto" w:fill="auto"/>
              </w:rPr>
              <w:t>（签字）：</w:t>
            </w:r>
          </w:p>
          <w:p w14:paraId="4F512511">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096BFBFF">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开户银行：</w:t>
            </w:r>
          </w:p>
          <w:p w14:paraId="443833FA">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0BFAB50E">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帐号：</w:t>
            </w:r>
          </w:p>
          <w:p w14:paraId="44D6BD23">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电话：</w:t>
            </w:r>
          </w:p>
          <w:p w14:paraId="734B7787">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地址：</w:t>
            </w:r>
          </w:p>
          <w:p w14:paraId="285244FE">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tc>
        <w:tc>
          <w:tcPr>
            <w:tcW w:w="4643" w:type="dxa"/>
            <w:shd w:val="clear" w:color="auto" w:fill="auto"/>
            <w:noWrap w:val="0"/>
            <w:vAlign w:val="top"/>
          </w:tcPr>
          <w:p w14:paraId="68D79E85">
            <w:pPr>
              <w:pStyle w:val="2"/>
              <w:spacing w:line="360" w:lineRule="auto"/>
              <w:jc w:val="both"/>
              <w:rPr>
                <w:rFonts w:ascii="仿宋" w:hAnsi="仿宋" w:eastAsia="仿宋"/>
                <w:color w:val="auto"/>
                <w:kern w:val="0"/>
                <w:szCs w:val="28"/>
                <w:highlight w:val="none"/>
                <w:shd w:val="clear" w:color="auto" w:fill="auto"/>
              </w:rPr>
            </w:pPr>
            <w:r>
              <w:rPr>
                <w:rFonts w:ascii="仿宋" w:hAnsi="仿宋" w:eastAsia="仿宋"/>
                <w:color w:val="auto"/>
                <w:kern w:val="0"/>
                <w:szCs w:val="28"/>
                <w:highlight w:val="none"/>
                <w:shd w:val="clear" w:color="auto" w:fill="auto"/>
              </w:rPr>
              <w:t>乙方名称</w:t>
            </w:r>
            <w:r>
              <w:rPr>
                <w:rFonts w:ascii="仿宋" w:hAnsi="仿宋" w:eastAsia="仿宋"/>
                <w:color w:val="auto"/>
                <w:spacing w:val="-20"/>
                <w:kern w:val="0"/>
                <w:szCs w:val="28"/>
                <w:highlight w:val="none"/>
                <w:shd w:val="clear" w:color="auto" w:fill="auto"/>
              </w:rPr>
              <w:t>（盖章）</w:t>
            </w:r>
            <w:r>
              <w:rPr>
                <w:rFonts w:ascii="仿宋" w:hAnsi="仿宋" w:eastAsia="仿宋"/>
                <w:color w:val="auto"/>
                <w:kern w:val="0"/>
                <w:szCs w:val="28"/>
                <w:highlight w:val="none"/>
                <w:shd w:val="clear" w:color="auto" w:fill="auto"/>
              </w:rPr>
              <w:t>:</w:t>
            </w:r>
          </w:p>
          <w:p w14:paraId="02578300">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493A5114">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代表人</w:t>
            </w:r>
            <w:r>
              <w:rPr>
                <w:rFonts w:hint="eastAsia" w:ascii="仿宋" w:hAnsi="仿宋" w:eastAsia="仿宋"/>
                <w:color w:val="auto"/>
                <w:kern w:val="0"/>
                <w:sz w:val="28"/>
                <w:szCs w:val="28"/>
                <w:highlight w:val="none"/>
                <w:shd w:val="clear" w:color="auto" w:fill="auto"/>
                <w:lang w:eastAsia="zh-CN"/>
              </w:rPr>
              <w:t>或委托人</w:t>
            </w:r>
            <w:r>
              <w:rPr>
                <w:rFonts w:ascii="仿宋" w:hAnsi="仿宋" w:eastAsia="仿宋"/>
                <w:color w:val="auto"/>
                <w:kern w:val="0"/>
                <w:sz w:val="28"/>
                <w:szCs w:val="28"/>
                <w:highlight w:val="none"/>
                <w:shd w:val="clear" w:color="auto" w:fill="auto"/>
              </w:rPr>
              <w:t>（签字）：</w:t>
            </w:r>
          </w:p>
          <w:p w14:paraId="7D79FE39">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4B111D17">
            <w:pPr>
              <w:widowControl/>
              <w:tabs>
                <w:tab w:val="center" w:pos="2213"/>
              </w:tabs>
              <w:autoSpaceDE w:val="0"/>
              <w:autoSpaceDN w:val="0"/>
              <w:snapToGrid w:val="0"/>
              <w:spacing w:line="360" w:lineRule="auto"/>
              <w:ind w:right="-154"/>
              <w:textAlignment w:val="bottom"/>
              <w:rPr>
                <w:rFonts w:hint="eastAsia" w:ascii="仿宋" w:hAnsi="仿宋" w:eastAsia="仿宋"/>
                <w:color w:val="auto"/>
                <w:kern w:val="0"/>
                <w:sz w:val="28"/>
                <w:szCs w:val="28"/>
                <w:highlight w:val="none"/>
                <w:shd w:val="clear" w:color="auto" w:fill="auto"/>
                <w:lang w:eastAsia="zh-CN"/>
              </w:rPr>
            </w:pPr>
            <w:r>
              <w:rPr>
                <w:rFonts w:ascii="仿宋" w:hAnsi="仿宋" w:eastAsia="仿宋"/>
                <w:color w:val="auto"/>
                <w:kern w:val="0"/>
                <w:sz w:val="28"/>
                <w:szCs w:val="28"/>
                <w:highlight w:val="none"/>
                <w:shd w:val="clear" w:color="auto" w:fill="auto"/>
              </w:rPr>
              <w:t>开户银行：</w:t>
            </w:r>
            <w:r>
              <w:rPr>
                <w:rFonts w:hint="eastAsia" w:ascii="仿宋" w:hAnsi="仿宋" w:eastAsia="仿宋"/>
                <w:color w:val="auto"/>
                <w:kern w:val="0"/>
                <w:sz w:val="28"/>
                <w:szCs w:val="28"/>
                <w:highlight w:val="none"/>
                <w:shd w:val="clear" w:color="auto" w:fill="auto"/>
                <w:lang w:eastAsia="zh-CN"/>
              </w:rPr>
              <w:tab/>
            </w:r>
          </w:p>
          <w:p w14:paraId="7C4D8476">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p>
          <w:p w14:paraId="0FAE9817">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帐号：</w:t>
            </w:r>
          </w:p>
          <w:p w14:paraId="1EE2A92B">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电话：</w:t>
            </w:r>
          </w:p>
          <w:p w14:paraId="10D681D5">
            <w:pPr>
              <w:widowControl/>
              <w:autoSpaceDE w:val="0"/>
              <w:autoSpaceDN w:val="0"/>
              <w:snapToGrid w:val="0"/>
              <w:spacing w:line="360" w:lineRule="auto"/>
              <w:ind w:right="-154"/>
              <w:textAlignment w:val="bottom"/>
              <w:rPr>
                <w:rFonts w:ascii="仿宋" w:hAnsi="仿宋" w:eastAsia="仿宋"/>
                <w:color w:val="auto"/>
                <w:kern w:val="0"/>
                <w:sz w:val="28"/>
                <w:szCs w:val="28"/>
                <w:highlight w:val="none"/>
                <w:shd w:val="clear" w:color="auto" w:fill="auto"/>
              </w:rPr>
            </w:pPr>
            <w:r>
              <w:rPr>
                <w:rFonts w:ascii="仿宋" w:hAnsi="仿宋" w:eastAsia="仿宋"/>
                <w:color w:val="auto"/>
                <w:kern w:val="0"/>
                <w:sz w:val="28"/>
                <w:szCs w:val="28"/>
                <w:highlight w:val="none"/>
                <w:shd w:val="clear" w:color="auto" w:fill="auto"/>
              </w:rPr>
              <w:t>地址：</w:t>
            </w:r>
          </w:p>
          <w:p w14:paraId="328BF2CC">
            <w:pPr>
              <w:widowControl/>
              <w:autoSpaceDE w:val="0"/>
              <w:autoSpaceDN w:val="0"/>
              <w:snapToGrid w:val="0"/>
              <w:spacing w:line="360" w:lineRule="auto"/>
              <w:ind w:right="-154"/>
              <w:textAlignment w:val="bottom"/>
              <w:rPr>
                <w:rFonts w:hint="eastAsia" w:ascii="仿宋" w:hAnsi="仿宋" w:eastAsia="仿宋"/>
                <w:color w:val="auto"/>
                <w:kern w:val="0"/>
                <w:sz w:val="28"/>
                <w:szCs w:val="28"/>
                <w:highlight w:val="none"/>
                <w:shd w:val="clear" w:color="auto" w:fill="auto"/>
                <w:lang w:eastAsia="zh-CN"/>
              </w:rPr>
            </w:pPr>
          </w:p>
        </w:tc>
      </w:tr>
    </w:tbl>
    <w:p w14:paraId="08E47D63">
      <w:pPr>
        <w:widowControl/>
        <w:tabs>
          <w:tab w:val="left" w:pos="8391"/>
        </w:tabs>
        <w:autoSpaceDE w:val="0"/>
        <w:autoSpaceDN w:val="0"/>
        <w:snapToGrid w:val="0"/>
        <w:spacing w:line="360" w:lineRule="auto"/>
        <w:ind w:right="-69" w:firstLine="2240" w:firstLineChars="800"/>
        <w:textAlignment w:val="bottom"/>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签订日期：    年   月   日</w:t>
      </w:r>
    </w:p>
    <w:p w14:paraId="29CA3117">
      <w:pPr>
        <w:widowControl/>
        <w:tabs>
          <w:tab w:val="left" w:pos="8391"/>
        </w:tabs>
        <w:autoSpaceDE w:val="0"/>
        <w:autoSpaceDN w:val="0"/>
        <w:snapToGrid w:val="0"/>
        <w:spacing w:line="360" w:lineRule="auto"/>
        <w:ind w:right="-69"/>
        <w:textAlignment w:val="bottom"/>
        <w:rPr>
          <w:rFonts w:hint="default" w:ascii="仿宋" w:hAnsi="仿宋" w:eastAsia="仿宋"/>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br w:type="page"/>
      </w:r>
      <w:r>
        <w:rPr>
          <w:rFonts w:hint="eastAsia" w:ascii="仿宋" w:hAnsi="仿宋" w:eastAsia="仿宋"/>
          <w:color w:val="auto"/>
          <w:kern w:val="0"/>
          <w:sz w:val="28"/>
          <w:szCs w:val="28"/>
          <w:highlight w:val="none"/>
          <w:shd w:val="clear" w:color="auto" w:fill="auto"/>
          <w:lang w:val="en-US" w:eastAsia="zh-CN"/>
        </w:rPr>
        <w:t>附件1：曲江新区核心区的95座市政公厕及4座人行天桥一览表</w:t>
      </w:r>
    </w:p>
    <w:p w14:paraId="687297C0">
      <w:pPr>
        <w:widowControl/>
        <w:tabs>
          <w:tab w:val="left" w:pos="8391"/>
        </w:tabs>
        <w:autoSpaceDE w:val="0"/>
        <w:autoSpaceDN w:val="0"/>
        <w:snapToGrid w:val="0"/>
        <w:spacing w:line="360" w:lineRule="auto"/>
        <w:ind w:right="-69"/>
        <w:jc w:val="center"/>
        <w:textAlignment w:val="bottom"/>
        <w:rPr>
          <w:rFonts w:hint="default" w:ascii="仿宋" w:hAnsi="仿宋" w:eastAsia="仿宋"/>
          <w:b/>
          <w:bCs/>
          <w:color w:val="auto"/>
          <w:kern w:val="0"/>
          <w:sz w:val="28"/>
          <w:szCs w:val="28"/>
          <w:highlight w:val="none"/>
          <w:shd w:val="clear" w:color="auto" w:fill="auto"/>
          <w:lang w:val="en-US" w:eastAsia="zh-CN"/>
        </w:rPr>
      </w:pPr>
      <w:r>
        <w:rPr>
          <w:rFonts w:hint="eastAsia" w:ascii="仿宋" w:hAnsi="仿宋" w:eastAsia="仿宋"/>
          <w:b/>
          <w:bCs/>
          <w:color w:val="auto"/>
          <w:kern w:val="0"/>
          <w:sz w:val="28"/>
          <w:szCs w:val="28"/>
          <w:highlight w:val="none"/>
          <w:shd w:val="clear" w:color="auto" w:fill="auto"/>
          <w:lang w:val="en-US" w:eastAsia="zh-CN"/>
        </w:rPr>
        <w:t>曲江新区核心区的95座市政公厕及4座人行天桥一览表</w:t>
      </w:r>
    </w:p>
    <w:tbl>
      <w:tblPr>
        <w:tblStyle w:val="6"/>
        <w:tblW w:w="525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5"/>
        <w:gridCol w:w="695"/>
        <w:gridCol w:w="2817"/>
        <w:gridCol w:w="1755"/>
        <w:gridCol w:w="1350"/>
        <w:gridCol w:w="445"/>
        <w:gridCol w:w="1000"/>
        <w:gridCol w:w="1000"/>
      </w:tblGrid>
      <w:tr w14:paraId="356EB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1E081E4E">
            <w:pPr>
              <w:keepNext w:val="0"/>
              <w:keepLines w:val="0"/>
              <w:widowControl/>
              <w:suppressLineNumbers w:val="0"/>
              <w:jc w:val="left"/>
              <w:textAlignment w:val="center"/>
              <w:rPr>
                <w:rFonts w:hint="default"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一、95座市政公厕</w:t>
            </w:r>
          </w:p>
        </w:tc>
      </w:tr>
      <w:tr w14:paraId="3B834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6DA24B4">
            <w:pPr>
              <w:keepNext w:val="0"/>
              <w:keepLines w:val="0"/>
              <w:widowControl/>
              <w:suppressLineNumbers w:val="0"/>
              <w:jc w:val="center"/>
              <w:textAlignment w:val="center"/>
              <w:rPr>
                <w:rFonts w:hint="eastAsia" w:ascii="黑体" w:hAnsi="宋体" w:eastAsia="黑体" w:cs="黑体"/>
                <w:i w:val="0"/>
                <w:iCs w:val="0"/>
                <w:color w:val="000000"/>
                <w:kern w:val="0"/>
                <w:sz w:val="24"/>
                <w:szCs w:val="24"/>
                <w:highlight w:val="none"/>
                <w:u w:val="none"/>
                <w:lang w:val="en-US" w:eastAsia="zh-CN" w:bidi="ar"/>
              </w:rPr>
            </w:pPr>
            <w:r>
              <w:rPr>
                <w:rFonts w:hint="eastAsia" w:ascii="黑体" w:hAnsi="宋体" w:eastAsia="黑体" w:cs="黑体"/>
                <w:i w:val="0"/>
                <w:iCs w:val="0"/>
                <w:color w:val="000000"/>
                <w:kern w:val="0"/>
                <w:sz w:val="24"/>
                <w:szCs w:val="24"/>
                <w:highlight w:val="none"/>
                <w:u w:val="none"/>
                <w:lang w:val="en-US" w:eastAsia="zh-CN" w:bidi="ar"/>
              </w:rPr>
              <w:t>序号</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7C06EFA">
            <w:pPr>
              <w:keepNext w:val="0"/>
              <w:keepLines w:val="0"/>
              <w:widowControl/>
              <w:suppressLineNumbers w:val="0"/>
              <w:jc w:val="center"/>
              <w:textAlignment w:val="center"/>
              <w:rPr>
                <w:rFonts w:hint="eastAsia" w:ascii="黑体" w:hAnsi="宋体" w:eastAsia="黑体" w:cs="黑体"/>
                <w:i w:val="0"/>
                <w:iCs w:val="0"/>
                <w:color w:val="000000"/>
                <w:kern w:val="0"/>
                <w:sz w:val="24"/>
                <w:szCs w:val="24"/>
                <w:highlight w:val="none"/>
                <w:u w:val="none"/>
                <w:lang w:val="en-US" w:eastAsia="zh-CN" w:bidi="ar"/>
              </w:rPr>
            </w:pPr>
            <w:r>
              <w:rPr>
                <w:rFonts w:hint="eastAsia" w:ascii="黑体" w:hAnsi="宋体" w:eastAsia="黑体" w:cs="黑体"/>
                <w:i w:val="0"/>
                <w:iCs w:val="0"/>
                <w:color w:val="000000"/>
                <w:kern w:val="0"/>
                <w:sz w:val="24"/>
                <w:szCs w:val="24"/>
                <w:highlight w:val="none"/>
                <w:u w:val="none"/>
                <w:lang w:val="en-US" w:eastAsia="zh-CN" w:bidi="ar"/>
              </w:rPr>
              <w:t>类别</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0A464D6">
            <w:pPr>
              <w:keepNext w:val="0"/>
              <w:keepLines w:val="0"/>
              <w:widowControl/>
              <w:suppressLineNumbers w:val="0"/>
              <w:jc w:val="center"/>
              <w:textAlignment w:val="center"/>
              <w:rPr>
                <w:rFonts w:hint="eastAsia" w:ascii="黑体" w:hAnsi="宋体" w:eastAsia="黑体" w:cs="黑体"/>
                <w:i w:val="0"/>
                <w:iCs w:val="0"/>
                <w:color w:val="000000"/>
                <w:kern w:val="0"/>
                <w:sz w:val="24"/>
                <w:szCs w:val="24"/>
                <w:highlight w:val="none"/>
                <w:u w:val="none"/>
                <w:lang w:val="en-US" w:eastAsia="zh-CN" w:bidi="ar"/>
              </w:rPr>
            </w:pPr>
            <w:r>
              <w:rPr>
                <w:rFonts w:hint="eastAsia" w:ascii="黑体" w:hAnsi="宋体" w:eastAsia="黑体" w:cs="黑体"/>
                <w:i w:val="0"/>
                <w:iCs w:val="0"/>
                <w:color w:val="000000"/>
                <w:kern w:val="0"/>
                <w:sz w:val="24"/>
                <w:szCs w:val="24"/>
                <w:highlight w:val="none"/>
                <w:u w:val="none"/>
                <w:lang w:val="en-US" w:eastAsia="zh-CN" w:bidi="ar"/>
              </w:rPr>
              <w:t>公厕名称</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6E0557F0">
            <w:pPr>
              <w:keepNext w:val="0"/>
              <w:keepLines w:val="0"/>
              <w:widowControl/>
              <w:suppressLineNumbers w:val="0"/>
              <w:jc w:val="center"/>
              <w:textAlignment w:val="center"/>
              <w:rPr>
                <w:rFonts w:hint="eastAsia" w:ascii="黑体" w:hAnsi="宋体" w:eastAsia="黑体" w:cs="黑体"/>
                <w:i w:val="0"/>
                <w:iCs w:val="0"/>
                <w:color w:val="000000"/>
                <w:kern w:val="0"/>
                <w:sz w:val="24"/>
                <w:szCs w:val="24"/>
                <w:highlight w:val="none"/>
                <w:u w:val="none"/>
                <w:lang w:val="en-US" w:eastAsia="zh-CN" w:bidi="ar"/>
              </w:rPr>
            </w:pPr>
            <w:r>
              <w:rPr>
                <w:rFonts w:hint="eastAsia" w:ascii="黑体" w:hAnsi="宋体" w:eastAsia="黑体" w:cs="黑体"/>
                <w:i w:val="0"/>
                <w:iCs w:val="0"/>
                <w:color w:val="000000"/>
                <w:kern w:val="0"/>
                <w:sz w:val="24"/>
                <w:szCs w:val="24"/>
                <w:highlight w:val="none"/>
                <w:u w:val="none"/>
                <w:lang w:val="en-US" w:eastAsia="zh-CN" w:bidi="ar"/>
              </w:rPr>
              <w:t>公厕位置</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60A019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暂定人数（人）</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776E6E4">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备注</w:t>
            </w:r>
          </w:p>
        </w:tc>
      </w:tr>
      <w:tr w14:paraId="704F1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8551FA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9F142B5">
            <w:pPr>
              <w:keepNext w:val="0"/>
              <w:keepLines w:val="0"/>
              <w:widowControl/>
              <w:suppressLineNumbers w:val="0"/>
              <w:jc w:val="center"/>
              <w:textAlignment w:val="center"/>
              <w:rPr>
                <w:rFonts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0"/>
            <w:vAlign w:val="center"/>
          </w:tcPr>
          <w:p w14:paraId="13D90B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芙蓉园1号公厕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027359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芙蓉园西门外</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0F6A2A7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E433D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345A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985A575">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33539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6603EE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芙蓉园3号公厕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4154C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唐西市</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75332AC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1966A7B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F30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0540C8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CADB19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B48102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芙蓉园4号公厕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F74B6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唐东市</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900D83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BC35AB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F9E1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EA854F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00B35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F4FB4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芙蓉园5号公厕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1B829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芙蓉南路与芙蓉西路十字东北角广场内</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4A1293E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14:paraId="2B15A4C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ABDE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0A0DF4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321C2B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B4FAEB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曲江路免费公厕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3A2E6D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曲江路中段（曲江一中对面）</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B5DC1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EC4C8C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69AB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CA8B64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A99AE1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7ED370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大慈恩寺遗址公园公厕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7EC610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曲江新区大慈恩寺遗址公园内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7F6A46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B1EAD7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5B9F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2BBED0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24E64C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D3FB2E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通易坊公厕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D0AF6E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通易坊商业街内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F55741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DB4673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6925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D6560B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9BFEAB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572CD6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北广场东苑公厕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E81852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北广场东苑内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C2A73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B64776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899C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B171C51">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2DDAC1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716CA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曲江池22号公厕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1341EA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唐城墙1区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AEF0FB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8357A8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91C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24697D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ADEDC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217249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唐城墙4号公厕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464CED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雁南二路意丽咖啡曲江店</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9F46DF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F22CF4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AABE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3D198E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5DE71E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DD8E67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唐城墙18号公厕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3B1DEA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雁南二路与慈恩东路交叉口西南侧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339FC1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907855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BBD0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4C21628">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CE6BD0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06071C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寒窑遗址公园公厕（闸机内）</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733A63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寒窑遗址公园</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3A2F1D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7941BE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E9D3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CD289E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A0896D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C056CF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天坛遗址公园公厕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F0AC88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天坛遗址公园</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48B83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11FA0B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7113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BE06FB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462D90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18472D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杜邑公园1</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9E23AD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BAB3A2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7149F3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2D69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06F6401">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C0ABB5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C5F22E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杜邑公园2</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1CA7F9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45AF2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3C41C9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1181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F8BFDD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B0A368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一类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DEEC52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杜邑公园3</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22D6D7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9A80F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861F4A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3F0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B357CC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873DD4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314B99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芙蓉园2号公厕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D3C0AC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芙蓉东路（芙蓉园北门外）</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4F5D9B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D5D89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1633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1497A9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7E6373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79D17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曲江海洋馆免费公厕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741DA5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曲江海洋馆商业街内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5988CE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FAF582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4B2B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134BE5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19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978C22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84B646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曲江海洋极地公园公厕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B382B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曲江海洋馆商业街内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61D50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55A67E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379A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AC1E73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15AF37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4532BF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寒窑商业区公厕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80D5E8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寒窑商业街西南角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AEFF44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3FAFEB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0000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81BA12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0DF9D4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A05CD4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BCBCC3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长安路（国展中心B1馆西南角绿化带内）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5AF616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0F8ED5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05B3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83EDED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85B597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E80D82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3#城市公厕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C5A630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翠华路与雁展路十字东南角（国家电网门前绿化带内）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A38AA5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E381F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A7F6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1E1DDD8">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776848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E34063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4#城市公厕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A2EC5C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雁南路与雁南五路十字西北角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D52CDB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3C794A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6CDD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F8255D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FD2742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D04506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5#秦二世墓遗址公园</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AA814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曲江池南路（秦二世遗址公园北门）</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5A9436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90ECC8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A174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2C4588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D1FFF8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B352FB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6#城市公厕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82B08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芙蓉西路与雁南四路十字西侧（大雁塔安置小区东侧）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E88ADF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0216E0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CE66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F8952E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B6A097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4FEFED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7#城市公厕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2B52B9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北池头二路与芙蓉东路十字西侧（国家电网营业厅北侧）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F5F3AE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659234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AC02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0C658A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6A72B0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372831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拿铁城12号公厕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433FEF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行政商务区内靠近雁塔南路</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7527AA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4C3370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C2BF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6B73B9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85CC9B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8F18BF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12#城市公厕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1C518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公田五路与春临三路十字西南角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8F90AF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8345FF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0EE0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8811B3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29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0AAC43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3B693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13#城市公厕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94C26B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春临二路与公田五路十字西南角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5630AA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38F77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8472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3183D1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E9401D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DC5001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17#城市公厕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E6D0D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雁翔路与杜陵邑南路十字西南角（西北妇幼医院东门）</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205279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FF7E29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0FAC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56C48C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C2A54E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0FFFD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22#城市公厕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752C1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曲江池北路与曲江路十字西北角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D0C3AD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A3FE66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99FD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C8EA2B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8504B5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71A68E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27#城市公厕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6A9F8C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金浮沱二路与公田一路丁字口西北角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FA66A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77D66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642E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D1C668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BB6437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74D59E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雁南四路免费公厕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1963E1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雁南四路与庙坡头路十字西北角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6AB55D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A1C099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238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965FEC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2B1A88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D5E53D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14DC9C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雁翔路（曲江二小南侧）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107F51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ED212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1A2C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C030D2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FFA5F9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8DC5B9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曲江池6号公厕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AE979A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曲江池白龙口</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D324F9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AA636F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B445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888297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FD1FA1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08E6E2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曲江池13号公厕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170D8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唐城墙6区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42FD98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6EDD2C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BE1E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69E99A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99BBF4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81A43D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曲江池16号公厕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02181C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唐城墙3区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2A6F4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CC4A0A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31CF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69324C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E9A010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20DACA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曲江池21号公厕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731B26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唐城墙7区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80454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129091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29B1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4A1CDE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39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EA978C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FFFC8C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文化运动公园1</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FCD106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春林五路文化运动公园内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AF61C1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CF1CF8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8250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180C55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9614DE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25E89B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文化运动公园2</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2B467E8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春林五路文化运动公园内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83D0FD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6433F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15DA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F2ECA4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6BF38A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5276B7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文化运动公园3</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44BE21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春林五路文化运动公园内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23888B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580DC8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FA34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03EDB9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A0B973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279EEB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杜邑公园4</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B0E8E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735175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CA0890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6456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AFFFA3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05C111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D8816F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杜邑公园5</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976F6F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C0858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D590B9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D335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3802B0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20DBFC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E7A45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杜邑公园6</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0C4168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EFE02A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8755FD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353D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6E4CAB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33CA1B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5737D6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杜邑公园7</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58E4B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FD1FC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79FA31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6D31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5D2F5B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F561C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346917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杜邑公园8</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669619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E52A57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5B0C72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F0ED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9BDC32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AE44BA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AD7A0E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杜邑公园9</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161C53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2CE91E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8DB988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55FB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415768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8CAD4E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C3D131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唐城墙遗址公园19号公厕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151E25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唐城墙九区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ECFFA3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CA9E99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0EBB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A78562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49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06E8A0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C15FB8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唐城墙遗址公园20号公厕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253FF3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唐城墙九区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DD9C16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DD5645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6061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EE8AA41">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CAA55F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二类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292309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新开门运动公园公厕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84356F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新开门运动公园内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331D43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1195A9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BFB4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BE8447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53781C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CC57DA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18#城市公厕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9F7FC2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翔悦路与康居巷丁字东南角（曲江九里）</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0764E9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CD0684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0999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2B77C7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5B09EB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1E76EB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21#城市公厕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5B29D7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南三环与寒窑路丁字西北角绿化带内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130D22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1FB71A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95A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4A1575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E5C402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2CB9EC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26#城市公厕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364E51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金浮沱二路（金浮沱小学斜对面）</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90637F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D34F1A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F215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3D03C6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53D98B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BFF499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登高路15号公厕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BD0913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登高路与踏青路十字北100米（管委会东侧）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A8D7DC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A2FD27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C9A2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4A792F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A8920B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067093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南三环2号公厕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05C140B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南三环与雁南路十字西南角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5EF41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77B7D1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655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68F2AAA">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B635BB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2B0A40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曲江池23号公厕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4224AC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理工大校区北侧广场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0B4DF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F4443A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D35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DBAB4CD">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F9C29D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C9E67D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曲江大道1号</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C0EDA8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曲江路与雁曲五路丁字东北角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0CE684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E9E82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44CB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B28622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C92AA8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8FC09E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三兆路2号</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21CD7D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三兆南路与南三环丁字口东南角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349659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EAA536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964A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AFE700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59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567689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89098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北池头二路3号</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AB7009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北池头二路（北池头小区东门对面）</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AEBA39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AB5627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F69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7CC6E28">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D37DE1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4AF99D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8#城市公厕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D2B7FE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公田二路与春临四路西北角（万科城市之光南侧绿化带）</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5FAEE9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D42CD0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88C8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10DBC54">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088C2A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1562A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9#城市公厕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CB5466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公田二路与春临四路东北角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549B5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5C24B8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E5C5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74117C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97C841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28A474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15#城市公厕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6FABC1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公田六路与春临二路丁西北角绿化带内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59122D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932932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04AA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2F2518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21049A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0CA6D3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19#城市公厕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52230A5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植物园东路与登高路十字西南角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60D2F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EE342E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5692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FA29AF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BF7657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E40762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20#城市公厕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10734A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雁翔路与宁安路十字西北角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EFDE05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EED6D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B08A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D31B74B">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0F8F3C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C248B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25#城市公厕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53AEB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踏青路与五典坡路东北角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2BD6D8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A4D464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0285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02CAF0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13518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E9F9F1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29#城市公厕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ECCC2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新开门北路与上巳路十字东南角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DE87E3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489836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294F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6375BE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B1C751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4D295E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南三环1号公厕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371735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启元路与南三环丁字西北角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26A9EC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A1A51C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B392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4E5670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3953A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A52052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城市公厕23号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36C5CAB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公田五路与春临五路十字东北角绿化带内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09AACA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B7AF17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DB2D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F9E987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69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171BD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A1E946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花影公厕10号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960972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航天大道与公田三路十字向东200米路北</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9F3242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E883F3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9D14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C5BB59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4A25D8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215C7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花影公厕11号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6FCFFB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航天大道与公田六路交汇处西侧（卫星消防站）</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A27838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81BBF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353D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6C784A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6B17D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82FD07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城市公厕13号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2951B03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航天大道与公田六路交汇处东侧，加油站门口</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AB3E09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EECFF3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1437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2C207C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075401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19A870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杜邑路免费公厕</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CD6071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余王碥小学南侧</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843C00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3BE091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F585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787FCE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794F665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4A6547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16#城市公厕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CB7A7E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踏青路与观风路丁字口东南角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3F2E58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48E9D6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F4AF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2F31FB4">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B9FAA0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E210C0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南三环6号公厕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AC7716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登高路与南三环十字西北角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FAD6B7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8BD645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9B29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F06EA24">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9D772B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1B12AF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南三环8号公厕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4C1FF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公田三路与南三环丁字东南角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675CA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EA08C0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FB4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ECE653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5A3B97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07FCF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3075794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踏青路与紫云路丁字口东北角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D5EB5A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363AD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11C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D15FB08">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F3073A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6CD7F7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登高路5号公厕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3FEEA6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登高路桥梁闸道（曲江林语小区旁）</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9DFD2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005CE7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8EB2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00A66F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41D0D7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52E27C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14#城市公厕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19081C3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公田六路与春临三路丁字西南角绿化带内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D925D3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6E2B2D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C44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09AA625">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79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9685AF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C851FF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南三环3号公厕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4CBD4B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芙蓉南路与南三环丁字东北角</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418D43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AFDC87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B07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D561B06">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C2105E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D22540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南三环5号公厕</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2AFDFE7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南三环曲江路桥梁西侧闸道口</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901FB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2BCFE6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F71A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A71ABA0">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BECE22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53CE18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城市公厕7号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2787DE3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新雁翔路与三兆村十字</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5A21EC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02D456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3C74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11E7F51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DFC0C6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1A0530B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城市公厕6号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F8FF24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雁翔路与雁引路丁字东侧（3号公交场站）</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C80E2E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45174C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F1CE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94CB74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A7886D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CDF02E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城市公厕11号</w:t>
            </w:r>
          </w:p>
        </w:tc>
        <w:tc>
          <w:tcPr>
            <w:tcW w:w="1819" w:type="pct"/>
            <w:gridSpan w:val="3"/>
            <w:tcBorders>
              <w:top w:val="single" w:color="000000" w:sz="4" w:space="0"/>
              <w:left w:val="single" w:color="000000" w:sz="4" w:space="0"/>
              <w:bottom w:val="single" w:color="000000" w:sz="4" w:space="0"/>
              <w:right w:val="single" w:color="000000" w:sz="4" w:space="0"/>
            </w:tcBorders>
            <w:noWrap w:val="0"/>
            <w:vAlign w:val="center"/>
          </w:tcPr>
          <w:p w14:paraId="747F051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公田五路与航天大道十字东北角绿化带内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7AE8D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2E38AA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7C1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37C5AA7">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A1500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4453C4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城市公厕4号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2D5CB4B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航天大道与公田三路十字向北200米路东</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98484E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3AF7EB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5B2B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6637A09">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6B75AD8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6359F7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裴家崆15号公厕</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7E740CE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公田六路与春临四路丁字南侧路西</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3F4D48A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BB387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7527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43CA8F8">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86</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65EBA0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44F52F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南三环7号</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4791F93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南三环加油站对面公园内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77E6E9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7A93A1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1251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A0A5975">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87</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7B597F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45C159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青年公园1</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43119D1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青年公园内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D5C594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2B9AD6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761B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93BA64E">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88</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23894C5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FCAEB4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青年公园2</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E7BB25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青年公园内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A3A0E6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559D81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BABC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5022C8AF">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89</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41A5F03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1F3926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大华社区公园1</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6568C75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049336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060D0D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B29A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149D5F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90</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550043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6D0E94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大华社区公园2</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6C5B303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02D19B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BA7C26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BC8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8AE897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91</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885521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504FCF0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大华社区公园3</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66EF115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大华社区公园内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58D5DA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15390E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CAAF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A10E21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92</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195A696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76303EE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花影公园1</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0085FA0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花影公园内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21E2EEA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5920F0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0CF4F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6C07053">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93</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0FF0E08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3C99B6A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杜邑公园10</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4471C2E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4CD0FA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0556FBD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1C2D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4FC043E2">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94</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B0673F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01EE71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杜邑公园11</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54D822B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杜陵邑遗址公园内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926A52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BA666E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8C0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6BB2CC1C">
            <w:pPr>
              <w:keepNext w:val="0"/>
              <w:keepLines w:val="0"/>
              <w:widowControl/>
              <w:suppressLineNumbers w:val="0"/>
              <w:jc w:val="center"/>
              <w:textAlignment w:val="center"/>
              <w:rPr>
                <w:rFonts w:hint="eastAsia" w:ascii="黑体" w:hAnsi="宋体" w:eastAsia="黑体" w:cs="黑体"/>
                <w:i w:val="0"/>
                <w:iCs w:val="0"/>
                <w:color w:val="000000"/>
                <w:sz w:val="24"/>
                <w:szCs w:val="24"/>
                <w:highlight w:val="none"/>
                <w:u w:val="none"/>
              </w:rPr>
            </w:pPr>
            <w:r>
              <w:rPr>
                <w:rFonts w:hint="eastAsia" w:ascii="黑体" w:hAnsi="宋体" w:eastAsia="黑体" w:cs="黑体"/>
                <w:i w:val="0"/>
                <w:iCs w:val="0"/>
                <w:color w:val="000000"/>
                <w:kern w:val="0"/>
                <w:sz w:val="24"/>
                <w:szCs w:val="24"/>
                <w:highlight w:val="none"/>
                <w:u w:val="none"/>
                <w:lang w:val="en-US" w:eastAsia="zh-CN" w:bidi="ar"/>
              </w:rPr>
              <w:t>95</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59387A7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三类</w:t>
            </w: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43CF54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悦动公园公厕</w:t>
            </w: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707F550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悦动公园内</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587F22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5965F74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D4B9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7A629EB">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bidi="ar"/>
              </w:rPr>
              <w:t>合计</w:t>
            </w:r>
          </w:p>
        </w:tc>
        <w:tc>
          <w:tcPr>
            <w:tcW w:w="356" w:type="pct"/>
            <w:tcBorders>
              <w:top w:val="single" w:color="000000" w:sz="4" w:space="0"/>
              <w:left w:val="single" w:color="000000" w:sz="4" w:space="0"/>
              <w:bottom w:val="single" w:color="000000" w:sz="4" w:space="0"/>
              <w:right w:val="single" w:color="000000" w:sz="4" w:space="0"/>
            </w:tcBorders>
            <w:noWrap/>
            <w:vAlign w:val="center"/>
          </w:tcPr>
          <w:p w14:paraId="3958FA16">
            <w:pPr>
              <w:jc w:val="center"/>
              <w:rPr>
                <w:rFonts w:hint="eastAsia" w:ascii="宋体" w:hAnsi="宋体" w:eastAsia="宋体" w:cs="宋体"/>
                <w:b/>
                <w:bCs/>
                <w:i w:val="0"/>
                <w:iCs w:val="0"/>
                <w:color w:val="000000"/>
                <w:sz w:val="22"/>
                <w:szCs w:val="22"/>
                <w:highlight w:val="none"/>
                <w:u w:val="none"/>
              </w:rPr>
            </w:pPr>
          </w:p>
        </w:tc>
        <w:tc>
          <w:tcPr>
            <w:tcW w:w="1443" w:type="pct"/>
            <w:tcBorders>
              <w:top w:val="single" w:color="000000" w:sz="4" w:space="0"/>
              <w:left w:val="single" w:color="000000" w:sz="4" w:space="0"/>
              <w:bottom w:val="single" w:color="000000" w:sz="4" w:space="0"/>
              <w:right w:val="single" w:color="000000" w:sz="4" w:space="0"/>
            </w:tcBorders>
            <w:noWrap/>
            <w:vAlign w:val="center"/>
          </w:tcPr>
          <w:p w14:paraId="21E9786E">
            <w:pPr>
              <w:jc w:val="center"/>
              <w:rPr>
                <w:rFonts w:hint="default" w:ascii="方正仿宋_GB2312" w:hAnsi="方正仿宋_GB2312" w:eastAsia="方正仿宋_GB2312" w:cs="方正仿宋_GB2312"/>
                <w:i w:val="0"/>
                <w:iCs w:val="0"/>
                <w:color w:val="000000"/>
                <w:sz w:val="20"/>
                <w:szCs w:val="20"/>
                <w:highlight w:val="none"/>
                <w:u w:val="none"/>
              </w:rPr>
            </w:pPr>
          </w:p>
        </w:tc>
        <w:tc>
          <w:tcPr>
            <w:tcW w:w="1819" w:type="pct"/>
            <w:gridSpan w:val="3"/>
            <w:tcBorders>
              <w:top w:val="single" w:color="000000" w:sz="4" w:space="0"/>
              <w:left w:val="single" w:color="000000" w:sz="4" w:space="0"/>
              <w:bottom w:val="single" w:color="000000" w:sz="4" w:space="0"/>
              <w:right w:val="single" w:color="000000" w:sz="4" w:space="0"/>
            </w:tcBorders>
            <w:noWrap/>
            <w:vAlign w:val="center"/>
          </w:tcPr>
          <w:p w14:paraId="24611299">
            <w:pPr>
              <w:jc w:val="center"/>
              <w:rPr>
                <w:rFonts w:hint="default" w:ascii="方正仿宋_GB2312" w:hAnsi="方正仿宋_GB2312" w:eastAsia="方正仿宋_GB2312" w:cs="方正仿宋_GB2312"/>
                <w:i w:val="0"/>
                <w:iCs w:val="0"/>
                <w:color w:val="000000"/>
                <w:sz w:val="20"/>
                <w:szCs w:val="20"/>
                <w:highlight w:val="none"/>
                <w:u w:val="none"/>
              </w:rPr>
            </w:pP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27A5E5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136</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F9AF69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BF3A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5000" w:type="pct"/>
            <w:gridSpan w:val="8"/>
            <w:tcBorders>
              <w:top w:val="single" w:color="000000" w:sz="4" w:space="0"/>
              <w:left w:val="single" w:color="000000" w:sz="4" w:space="0"/>
              <w:bottom w:val="single" w:color="000000" w:sz="4" w:space="0"/>
              <w:right w:val="single" w:color="000000" w:sz="4" w:space="0"/>
            </w:tcBorders>
            <w:noWrap/>
            <w:vAlign w:val="center"/>
          </w:tcPr>
          <w:p w14:paraId="32839BEC">
            <w:pPr>
              <w:keepNext w:val="0"/>
              <w:keepLines w:val="0"/>
              <w:widowControl/>
              <w:suppressLineNumbers w:val="0"/>
              <w:jc w:val="both"/>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二、4座人行天桥</w:t>
            </w:r>
          </w:p>
        </w:tc>
      </w:tr>
      <w:tr w14:paraId="6EB8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D457A4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序号</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79F11836">
            <w:pPr>
              <w:jc w:val="center"/>
              <w:rPr>
                <w:rFonts w:hint="eastAsia" w:ascii="宋体" w:hAnsi="宋体" w:eastAsia="宋体" w:cs="宋体"/>
                <w:b/>
                <w:bCs/>
                <w:i w:val="0"/>
                <w:iCs w:val="0"/>
                <w:color w:val="000000"/>
                <w:sz w:val="22"/>
                <w:szCs w:val="22"/>
                <w:highlight w:val="none"/>
                <w:u w:val="none"/>
              </w:rPr>
            </w:pPr>
            <w:r>
              <w:rPr>
                <w:rFonts w:hint="eastAsia" w:ascii="黑体" w:hAnsi="宋体" w:eastAsia="黑体" w:cs="黑体"/>
                <w:i w:val="0"/>
                <w:iCs w:val="0"/>
                <w:color w:val="000000"/>
                <w:kern w:val="0"/>
                <w:sz w:val="24"/>
                <w:szCs w:val="24"/>
                <w:highlight w:val="none"/>
                <w:u w:val="none"/>
                <w:lang w:val="en-US" w:eastAsia="zh-CN" w:bidi="ar"/>
              </w:rPr>
              <w:t>天桥名称</w:t>
            </w: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10F4028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黑体" w:hAnsi="宋体" w:eastAsia="黑体" w:cs="黑体"/>
                <w:i w:val="0"/>
                <w:iCs w:val="0"/>
                <w:color w:val="000000"/>
                <w:kern w:val="0"/>
                <w:sz w:val="24"/>
                <w:szCs w:val="24"/>
                <w:highlight w:val="none"/>
                <w:u w:val="none"/>
                <w:lang w:val="en-US" w:eastAsia="zh-CN" w:bidi="ar"/>
              </w:rPr>
              <w:t>天桥位置</w:t>
            </w:r>
          </w:p>
        </w:tc>
        <w:tc>
          <w:tcPr>
            <w:tcW w:w="691" w:type="pct"/>
            <w:tcBorders>
              <w:top w:val="single" w:color="000000" w:sz="4" w:space="0"/>
              <w:left w:val="single" w:color="000000" w:sz="4" w:space="0"/>
              <w:bottom w:val="single" w:color="000000" w:sz="4" w:space="0"/>
              <w:right w:val="single" w:color="000000" w:sz="4" w:space="0"/>
            </w:tcBorders>
            <w:noWrap/>
            <w:vAlign w:val="center"/>
          </w:tcPr>
          <w:p w14:paraId="406BB3C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黑体" w:hAnsi="宋体" w:eastAsia="黑体" w:cs="黑体"/>
                <w:i w:val="0"/>
                <w:iCs w:val="0"/>
                <w:color w:val="000000"/>
                <w:kern w:val="0"/>
                <w:sz w:val="24"/>
                <w:szCs w:val="24"/>
                <w:highlight w:val="none"/>
                <w:u w:val="none"/>
                <w:lang w:val="en-US" w:eastAsia="zh-CN" w:bidi="ar"/>
              </w:rPr>
              <w:t>暂定保洁（人）</w:t>
            </w:r>
          </w:p>
        </w:tc>
        <w:tc>
          <w:tcPr>
            <w:tcW w:w="740" w:type="pct"/>
            <w:gridSpan w:val="2"/>
            <w:tcBorders>
              <w:top w:val="single" w:color="000000" w:sz="4" w:space="0"/>
              <w:left w:val="single" w:color="000000" w:sz="4" w:space="0"/>
              <w:bottom w:val="single" w:color="000000" w:sz="4" w:space="0"/>
              <w:right w:val="single" w:color="000000" w:sz="4" w:space="0"/>
            </w:tcBorders>
            <w:noWrap/>
            <w:vAlign w:val="center"/>
          </w:tcPr>
          <w:p w14:paraId="14A028A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黑体" w:hAnsi="宋体" w:eastAsia="黑体" w:cs="黑体"/>
                <w:i w:val="0"/>
                <w:iCs w:val="0"/>
                <w:color w:val="000000"/>
                <w:kern w:val="0"/>
                <w:sz w:val="24"/>
                <w:szCs w:val="24"/>
                <w:highlight w:val="none"/>
                <w:u w:val="none"/>
                <w:lang w:val="en-US" w:eastAsia="zh-CN" w:bidi="ar"/>
              </w:rPr>
              <w:t>暂定安保（人）</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1474943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备注</w:t>
            </w:r>
          </w:p>
        </w:tc>
      </w:tr>
      <w:tr w14:paraId="3D0A3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03AB4277">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11242FD5">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雁翔路人行天桥</w:t>
            </w: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7E1C2E1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雁翔路</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10EFF44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方正仿宋_GB2312" w:hAnsi="方正仿宋_GB2312" w:eastAsia="方正仿宋_GB2312" w:cs="方正仿宋_GB2312"/>
                <w:i w:val="0"/>
                <w:iCs w:val="0"/>
                <w:color w:val="000000"/>
                <w:sz w:val="20"/>
                <w:szCs w:val="20"/>
                <w:highlight w:val="none"/>
                <w:u w:val="none"/>
                <w:lang w:val="en-US" w:eastAsia="zh-CN"/>
              </w:rPr>
              <w:t>7</w:t>
            </w:r>
          </w:p>
        </w:tc>
        <w:tc>
          <w:tcPr>
            <w:tcW w:w="1445" w:type="dxa"/>
            <w:gridSpan w:val="2"/>
            <w:tcBorders>
              <w:top w:val="single" w:color="000000" w:sz="4" w:space="0"/>
              <w:left w:val="single" w:color="000000" w:sz="4" w:space="0"/>
              <w:bottom w:val="single" w:color="000000" w:sz="4" w:space="0"/>
              <w:right w:val="single" w:color="000000" w:sz="4" w:space="0"/>
            </w:tcBorders>
            <w:noWrap/>
            <w:vAlign w:val="center"/>
          </w:tcPr>
          <w:p w14:paraId="67D9DE0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方正仿宋_GB2312" w:hAnsi="方正仿宋_GB2312" w:eastAsia="方正仿宋_GB2312" w:cs="方正仿宋_GB2312"/>
                <w:i w:val="0"/>
                <w:iCs w:val="0"/>
                <w:color w:val="000000"/>
                <w:sz w:val="20"/>
                <w:szCs w:val="20"/>
                <w:highlight w:val="none"/>
                <w:u w:val="none"/>
                <w:lang w:val="en-US" w:eastAsia="zh-CN"/>
              </w:rPr>
              <w:t>4</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D582E3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BD7B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2B0834F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2</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4918925F">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曲江路人行天桥</w:t>
            </w: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4FD1BD8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曲江路</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B32360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方正仿宋_GB2312" w:hAnsi="方正仿宋_GB2312" w:eastAsia="方正仿宋_GB2312" w:cs="方正仿宋_GB2312"/>
                <w:i w:val="0"/>
                <w:iCs w:val="0"/>
                <w:color w:val="000000"/>
                <w:sz w:val="20"/>
                <w:szCs w:val="20"/>
                <w:highlight w:val="none"/>
                <w:u w:val="none"/>
                <w:lang w:val="en-US" w:eastAsia="zh-CN"/>
              </w:rPr>
              <w:t>2</w:t>
            </w:r>
          </w:p>
        </w:tc>
        <w:tc>
          <w:tcPr>
            <w:tcW w:w="1445" w:type="dxa"/>
            <w:gridSpan w:val="2"/>
            <w:tcBorders>
              <w:top w:val="single" w:color="000000" w:sz="4" w:space="0"/>
              <w:left w:val="single" w:color="000000" w:sz="4" w:space="0"/>
              <w:bottom w:val="single" w:color="000000" w:sz="4" w:space="0"/>
              <w:right w:val="single" w:color="000000" w:sz="4" w:space="0"/>
            </w:tcBorders>
            <w:noWrap/>
            <w:vAlign w:val="center"/>
          </w:tcPr>
          <w:p w14:paraId="285D7D9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方正仿宋_GB2312" w:hAnsi="方正仿宋_GB2312" w:eastAsia="方正仿宋_GB2312" w:cs="方正仿宋_GB2312"/>
                <w:i w:val="0"/>
                <w:iCs w:val="0"/>
                <w:color w:val="000000"/>
                <w:sz w:val="20"/>
                <w:szCs w:val="20"/>
                <w:highlight w:val="none"/>
                <w:u w:val="none"/>
                <w:lang w:val="en-US" w:eastAsia="zh-CN"/>
              </w:rPr>
              <w:t>0</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B99654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308A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3D9C7CB3">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3</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37751F7B">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慈恩西路人行天桥</w:t>
            </w: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2F61155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慈恩西路</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49CF069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方正仿宋_GB2312" w:hAnsi="方正仿宋_GB2312" w:eastAsia="方正仿宋_GB2312" w:cs="方正仿宋_GB2312"/>
                <w:i w:val="0"/>
                <w:iCs w:val="0"/>
                <w:color w:val="000000"/>
                <w:sz w:val="20"/>
                <w:szCs w:val="20"/>
                <w:highlight w:val="none"/>
                <w:u w:val="none"/>
                <w:lang w:val="en-US" w:eastAsia="zh-CN"/>
              </w:rPr>
              <w:t>5</w:t>
            </w:r>
          </w:p>
        </w:tc>
        <w:tc>
          <w:tcPr>
            <w:tcW w:w="1445" w:type="dxa"/>
            <w:gridSpan w:val="2"/>
            <w:tcBorders>
              <w:top w:val="single" w:color="000000" w:sz="4" w:space="0"/>
              <w:left w:val="single" w:color="000000" w:sz="4" w:space="0"/>
              <w:bottom w:val="single" w:color="000000" w:sz="4" w:space="0"/>
              <w:right w:val="single" w:color="000000" w:sz="4" w:space="0"/>
            </w:tcBorders>
            <w:noWrap/>
            <w:vAlign w:val="center"/>
          </w:tcPr>
          <w:p w14:paraId="31DA51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方正仿宋_GB2312" w:hAnsi="方正仿宋_GB2312" w:eastAsia="方正仿宋_GB2312" w:cs="方正仿宋_GB2312"/>
                <w:i w:val="0"/>
                <w:iCs w:val="0"/>
                <w:color w:val="000000"/>
                <w:sz w:val="20"/>
                <w:szCs w:val="20"/>
                <w:highlight w:val="none"/>
                <w:u w:val="none"/>
                <w:lang w:val="en-US" w:eastAsia="zh-CN"/>
              </w:rPr>
              <w:t>4</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4D547A7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1D3A6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6B7BE34">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4</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5409941E">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芙蓉东路人行天桥</w:t>
            </w: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707B9D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t>芙蓉东路</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A872F2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方正仿宋_GB2312" w:hAnsi="方正仿宋_GB2312" w:eastAsia="方正仿宋_GB2312" w:cs="方正仿宋_GB2312"/>
                <w:i w:val="0"/>
                <w:iCs w:val="0"/>
                <w:color w:val="000000"/>
                <w:sz w:val="20"/>
                <w:szCs w:val="20"/>
                <w:highlight w:val="none"/>
                <w:u w:val="none"/>
                <w:lang w:val="en-US" w:eastAsia="zh-CN"/>
              </w:rPr>
              <w:t>5</w:t>
            </w:r>
          </w:p>
        </w:tc>
        <w:tc>
          <w:tcPr>
            <w:tcW w:w="1445" w:type="dxa"/>
            <w:gridSpan w:val="2"/>
            <w:tcBorders>
              <w:top w:val="single" w:color="000000" w:sz="4" w:space="0"/>
              <w:left w:val="single" w:color="000000" w:sz="4" w:space="0"/>
              <w:bottom w:val="single" w:color="000000" w:sz="4" w:space="0"/>
              <w:right w:val="single" w:color="000000" w:sz="4" w:space="0"/>
            </w:tcBorders>
            <w:noWrap/>
            <w:vAlign w:val="center"/>
          </w:tcPr>
          <w:p w14:paraId="1C578B7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方正仿宋_GB2312" w:hAnsi="方正仿宋_GB2312" w:eastAsia="方正仿宋_GB2312" w:cs="方正仿宋_GB2312"/>
                <w:i w:val="0"/>
                <w:iCs w:val="0"/>
                <w:color w:val="000000"/>
                <w:sz w:val="20"/>
                <w:szCs w:val="20"/>
                <w:highlight w:val="none"/>
                <w:u w:val="none"/>
                <w:lang w:val="en-US" w:eastAsia="zh-CN"/>
              </w:rPr>
              <w:t>4</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6D79549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4D6DC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56" w:type="pct"/>
            <w:tcBorders>
              <w:top w:val="single" w:color="000000" w:sz="4" w:space="0"/>
              <w:left w:val="single" w:color="000000" w:sz="4" w:space="0"/>
              <w:bottom w:val="single" w:color="000000" w:sz="4" w:space="0"/>
              <w:right w:val="single" w:color="000000" w:sz="4" w:space="0"/>
            </w:tcBorders>
            <w:noWrap/>
            <w:vAlign w:val="center"/>
          </w:tcPr>
          <w:p w14:paraId="7E91E1A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r>
              <w:rPr>
                <w:rFonts w:hint="eastAsia" w:ascii="宋体" w:hAnsi="宋体" w:eastAsia="宋体" w:cs="宋体"/>
                <w:b/>
                <w:bCs/>
                <w:i w:val="0"/>
                <w:iCs w:val="0"/>
                <w:color w:val="000000"/>
                <w:kern w:val="0"/>
                <w:sz w:val="22"/>
                <w:szCs w:val="22"/>
                <w:highlight w:val="none"/>
                <w:u w:val="none"/>
                <w:lang w:val="en-US" w:eastAsia="zh-CN" w:bidi="ar"/>
              </w:rPr>
              <w:t>合计</w:t>
            </w:r>
          </w:p>
        </w:tc>
        <w:tc>
          <w:tcPr>
            <w:tcW w:w="1799" w:type="pct"/>
            <w:gridSpan w:val="2"/>
            <w:tcBorders>
              <w:top w:val="single" w:color="000000" w:sz="4" w:space="0"/>
              <w:left w:val="single" w:color="000000" w:sz="4" w:space="0"/>
              <w:bottom w:val="single" w:color="000000" w:sz="4" w:space="0"/>
              <w:right w:val="single" w:color="000000" w:sz="4" w:space="0"/>
            </w:tcBorders>
            <w:noWrap/>
            <w:vAlign w:val="center"/>
          </w:tcPr>
          <w:p w14:paraId="4DE2CFB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899" w:type="pct"/>
            <w:tcBorders>
              <w:top w:val="single" w:color="000000" w:sz="4" w:space="0"/>
              <w:left w:val="single" w:color="000000" w:sz="4" w:space="0"/>
              <w:bottom w:val="single" w:color="000000" w:sz="4" w:space="0"/>
              <w:right w:val="single" w:color="000000" w:sz="4" w:space="0"/>
            </w:tcBorders>
            <w:noWrap/>
            <w:vAlign w:val="center"/>
          </w:tcPr>
          <w:p w14:paraId="6465726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ACE92E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rPr>
            </w:pPr>
            <w:r>
              <w:rPr>
                <w:rFonts w:hint="eastAsia" w:ascii="方正仿宋_GB2312" w:hAnsi="方正仿宋_GB2312" w:eastAsia="方正仿宋_GB2312" w:cs="方正仿宋_GB2312"/>
                <w:i w:val="0"/>
                <w:iCs w:val="0"/>
                <w:color w:val="000000"/>
                <w:sz w:val="20"/>
                <w:szCs w:val="20"/>
                <w:highlight w:val="none"/>
                <w:u w:val="none"/>
                <w:lang w:val="en-US" w:eastAsia="zh-CN"/>
              </w:rPr>
              <w:t>19</w:t>
            </w:r>
          </w:p>
        </w:tc>
        <w:tc>
          <w:tcPr>
            <w:tcW w:w="1445" w:type="dxa"/>
            <w:gridSpan w:val="2"/>
            <w:tcBorders>
              <w:top w:val="single" w:color="000000" w:sz="4" w:space="0"/>
              <w:left w:val="single" w:color="000000" w:sz="4" w:space="0"/>
              <w:bottom w:val="single" w:color="000000" w:sz="4" w:space="0"/>
              <w:right w:val="single" w:color="000000" w:sz="4" w:space="0"/>
            </w:tcBorders>
            <w:noWrap/>
            <w:vAlign w:val="center"/>
          </w:tcPr>
          <w:p w14:paraId="65A551B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sz w:val="20"/>
                <w:szCs w:val="20"/>
                <w:highlight w:val="none"/>
                <w:u w:val="none"/>
                <w:lang w:val="en-US" w:eastAsia="zh-CN"/>
              </w:rPr>
            </w:pPr>
            <w:r>
              <w:rPr>
                <w:rFonts w:hint="eastAsia" w:ascii="方正仿宋_GB2312" w:hAnsi="方正仿宋_GB2312" w:eastAsia="方正仿宋_GB2312" w:cs="方正仿宋_GB2312"/>
                <w:i w:val="0"/>
                <w:iCs w:val="0"/>
                <w:color w:val="000000"/>
                <w:sz w:val="20"/>
                <w:szCs w:val="20"/>
                <w:highlight w:val="none"/>
                <w:u w:val="none"/>
                <w:lang w:val="en-US" w:eastAsia="zh-CN"/>
              </w:rPr>
              <w:t>12</w:t>
            </w:r>
          </w:p>
        </w:tc>
        <w:tc>
          <w:tcPr>
            <w:tcW w:w="512" w:type="pct"/>
            <w:tcBorders>
              <w:top w:val="single" w:color="000000" w:sz="4" w:space="0"/>
              <w:left w:val="single" w:color="000000" w:sz="4" w:space="0"/>
              <w:bottom w:val="single" w:color="000000" w:sz="4" w:space="0"/>
              <w:right w:val="single" w:color="000000" w:sz="4" w:space="0"/>
            </w:tcBorders>
            <w:noWrap/>
            <w:vAlign w:val="center"/>
          </w:tcPr>
          <w:p w14:paraId="72C8C3A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p>
        </w:tc>
      </w:tr>
    </w:tbl>
    <w:p w14:paraId="209BC644">
      <w:pPr>
        <w:snapToGrid w:val="0"/>
        <w:spacing w:line="560" w:lineRule="exact"/>
        <w:ind w:left="-105" w:leftChars="-50" w:right="-105" w:rightChars="-50"/>
        <w:jc w:val="both"/>
        <w:rPr>
          <w:rFonts w:hint="eastAsia" w:ascii="仿宋" w:hAnsi="仿宋" w:eastAsia="仿宋" w:cs="Times New Roman"/>
          <w:color w:val="auto"/>
          <w:kern w:val="0"/>
          <w:sz w:val="28"/>
          <w:szCs w:val="28"/>
          <w:highlight w:val="none"/>
          <w:shd w:val="clear" w:color="auto" w:fill="auto"/>
          <w:lang w:val="en-US" w:eastAsia="zh-CN"/>
        </w:rPr>
      </w:pPr>
      <w:r>
        <w:rPr>
          <w:rFonts w:hint="default" w:ascii="仿宋" w:hAnsi="仿宋" w:eastAsia="仿宋"/>
          <w:color w:val="auto"/>
          <w:kern w:val="0"/>
          <w:sz w:val="28"/>
          <w:szCs w:val="28"/>
          <w:highlight w:val="none"/>
          <w:shd w:val="clear" w:color="auto" w:fill="auto"/>
          <w:lang w:val="en-US" w:eastAsia="zh-CN"/>
        </w:rPr>
        <w:br w:type="page"/>
      </w:r>
      <w:r>
        <w:rPr>
          <w:rFonts w:hint="eastAsia" w:ascii="仿宋" w:hAnsi="仿宋" w:eastAsia="仿宋"/>
          <w:color w:val="auto"/>
          <w:kern w:val="0"/>
          <w:sz w:val="28"/>
          <w:szCs w:val="28"/>
          <w:highlight w:val="none"/>
          <w:shd w:val="clear" w:color="auto" w:fill="auto"/>
          <w:lang w:val="en-US" w:eastAsia="zh-CN"/>
        </w:rPr>
        <w:t>附件2：</w:t>
      </w:r>
      <w:r>
        <w:rPr>
          <w:rFonts w:hint="eastAsia" w:ascii="仿宋" w:hAnsi="仿宋" w:eastAsia="仿宋" w:cs="Times New Roman"/>
          <w:color w:val="auto"/>
          <w:kern w:val="0"/>
          <w:sz w:val="28"/>
          <w:szCs w:val="28"/>
          <w:highlight w:val="none"/>
          <w:shd w:val="clear" w:color="auto" w:fill="auto"/>
          <w:lang w:val="en-US" w:eastAsia="zh-CN"/>
        </w:rPr>
        <w:t>《西安市环卫保洁精细化作业指引》</w:t>
      </w:r>
    </w:p>
    <w:tbl>
      <w:tblPr>
        <w:tblStyle w:val="6"/>
        <w:tblW w:w="0" w:type="auto"/>
        <w:tblInd w:w="108" w:type="dxa"/>
        <w:tblLayout w:type="autofit"/>
        <w:tblCellMar>
          <w:top w:w="0" w:type="dxa"/>
          <w:left w:w="108" w:type="dxa"/>
          <w:bottom w:w="0" w:type="dxa"/>
          <w:right w:w="108" w:type="dxa"/>
        </w:tblCellMar>
      </w:tblPr>
      <w:tblGrid>
        <w:gridCol w:w="8859"/>
      </w:tblGrid>
      <w:tr w14:paraId="766A4470">
        <w:tblPrEx>
          <w:tblCellMar>
            <w:top w:w="0" w:type="dxa"/>
            <w:left w:w="108" w:type="dxa"/>
            <w:bottom w:w="0" w:type="dxa"/>
            <w:right w:w="108" w:type="dxa"/>
          </w:tblCellMar>
        </w:tblPrEx>
        <w:trPr>
          <w:trHeight w:val="1985" w:hRule="exact"/>
        </w:trPr>
        <w:tc>
          <w:tcPr>
            <w:tcW w:w="8859" w:type="dxa"/>
            <w:noWrap w:val="0"/>
            <w:vAlign w:val="center"/>
          </w:tcPr>
          <w:p w14:paraId="2DC3C1E7">
            <w:pPr>
              <w:snapToGrid w:val="0"/>
              <w:spacing w:before="57" w:beforeLines="10"/>
              <w:jc w:val="center"/>
              <w:rPr>
                <w:rFonts w:hint="eastAsia" w:ascii="黑体" w:eastAsia="黑体"/>
                <w:color w:val="000000"/>
                <w:highlight w:val="none"/>
              </w:rPr>
            </w:pPr>
          </w:p>
        </w:tc>
      </w:tr>
      <w:tr w14:paraId="06494E2B">
        <w:tblPrEx>
          <w:tblCellMar>
            <w:top w:w="0" w:type="dxa"/>
            <w:left w:w="108" w:type="dxa"/>
            <w:bottom w:w="0" w:type="dxa"/>
            <w:right w:w="108" w:type="dxa"/>
          </w:tblCellMar>
        </w:tblPrEx>
        <w:trPr>
          <w:trHeight w:val="1134" w:hRule="atLeast"/>
        </w:trPr>
        <w:tc>
          <w:tcPr>
            <w:tcW w:w="8859" w:type="dxa"/>
            <w:noWrap w:val="0"/>
            <w:vAlign w:val="center"/>
          </w:tcPr>
          <w:p w14:paraId="1FE5FBBA">
            <w:pPr>
              <w:snapToGrid w:val="0"/>
              <w:spacing w:line="1360" w:lineRule="exact"/>
              <w:jc w:val="center"/>
              <w:rPr>
                <w:rFonts w:hint="eastAsia" w:ascii="黑体" w:eastAsia="黑体"/>
                <w:color w:val="FF0000"/>
                <w:spacing w:val="-4"/>
                <w:w w:val="53"/>
                <w:sz w:val="110"/>
                <w:szCs w:val="110"/>
                <w:highlight w:val="none"/>
              </w:rPr>
            </w:pPr>
            <w:r>
              <w:rPr>
                <w:rFonts w:hint="eastAsia" w:ascii="方正小标宋简体" w:eastAsia="方正小标宋简体"/>
                <w:color w:val="FF0000"/>
                <w:spacing w:val="-4"/>
                <w:w w:val="53"/>
                <w:sz w:val="110"/>
                <w:szCs w:val="110"/>
                <w:highlight w:val="none"/>
              </w:rPr>
              <w:t>西安市城市管理和综合执法局文件</w:t>
            </w:r>
          </w:p>
        </w:tc>
      </w:tr>
      <w:tr w14:paraId="3DA8D9B6">
        <w:tblPrEx>
          <w:tblCellMar>
            <w:top w:w="0" w:type="dxa"/>
            <w:left w:w="108" w:type="dxa"/>
            <w:bottom w:w="0" w:type="dxa"/>
            <w:right w:w="108" w:type="dxa"/>
          </w:tblCellMar>
        </w:tblPrEx>
        <w:trPr>
          <w:trHeight w:val="1134" w:hRule="atLeast"/>
        </w:trPr>
        <w:tc>
          <w:tcPr>
            <w:tcW w:w="8859" w:type="dxa"/>
            <w:noWrap w:val="0"/>
            <w:vAlign w:val="center"/>
          </w:tcPr>
          <w:p w14:paraId="7ECA9E8B">
            <w:pPr>
              <w:snapToGrid w:val="0"/>
              <w:spacing w:before="57" w:beforeLines="10"/>
              <w:jc w:val="center"/>
              <w:rPr>
                <w:rFonts w:hint="eastAsia" w:ascii="黑体" w:eastAsia="黑体"/>
                <w:color w:val="000000"/>
                <w:highlight w:val="none"/>
              </w:rPr>
            </w:pPr>
          </w:p>
        </w:tc>
      </w:tr>
      <w:tr w14:paraId="47485483">
        <w:tblPrEx>
          <w:tblCellMar>
            <w:top w:w="0" w:type="dxa"/>
            <w:left w:w="108" w:type="dxa"/>
            <w:bottom w:w="0" w:type="dxa"/>
            <w:right w:w="108" w:type="dxa"/>
          </w:tblCellMar>
        </w:tblPrEx>
        <w:trPr>
          <w:trHeight w:val="655" w:hRule="atLeast"/>
        </w:trPr>
        <w:tc>
          <w:tcPr>
            <w:tcW w:w="8859" w:type="dxa"/>
            <w:tcBorders>
              <w:bottom w:val="single" w:color="FF0000" w:sz="12" w:space="0"/>
            </w:tcBorders>
            <w:noWrap w:val="0"/>
            <w:vAlign w:val="top"/>
          </w:tcPr>
          <w:p w14:paraId="5F1C7243">
            <w:pPr>
              <w:snapToGrid w:val="0"/>
              <w:spacing w:before="57" w:beforeLines="10"/>
              <w:ind w:left="-69" w:leftChars="-33" w:right="-63" w:rightChars="-30"/>
              <w:jc w:val="center"/>
              <w:rPr>
                <w:rFonts w:eastAsia="仿宋_GB2312"/>
                <w:color w:val="000000"/>
                <w:szCs w:val="32"/>
                <w:highlight w:val="none"/>
              </w:rPr>
            </w:pPr>
            <w:r>
              <w:rPr>
                <w:rFonts w:hint="eastAsia" w:eastAsia="仿宋_GB2312"/>
                <w:sz w:val="32"/>
                <w:szCs w:val="32"/>
                <w:highlight w:val="none"/>
              </w:rPr>
              <w:t>市城管</w:t>
            </w:r>
            <w:r>
              <w:rPr>
                <w:rFonts w:eastAsia="仿宋_GB2312"/>
                <w:color w:val="000000"/>
                <w:sz w:val="32"/>
                <w:szCs w:val="32"/>
                <w:highlight w:val="none"/>
              </w:rPr>
              <w:t>发〔20</w:t>
            </w:r>
            <w:r>
              <w:rPr>
                <w:rFonts w:hint="eastAsia" w:eastAsia="仿宋_GB2312"/>
                <w:sz w:val="32"/>
                <w:szCs w:val="32"/>
                <w:highlight w:val="none"/>
                <w:lang w:val="en-US" w:eastAsia="zh-CN"/>
              </w:rPr>
              <w:t>23</w:t>
            </w:r>
            <w:r>
              <w:rPr>
                <w:rFonts w:eastAsia="仿宋_GB2312"/>
                <w:color w:val="000000"/>
                <w:sz w:val="32"/>
                <w:szCs w:val="32"/>
                <w:highlight w:val="none"/>
              </w:rPr>
              <w:t>〕</w:t>
            </w:r>
            <w:r>
              <w:rPr>
                <w:rFonts w:hint="eastAsia" w:eastAsia="仿宋_GB2312"/>
                <w:sz w:val="32"/>
                <w:szCs w:val="32"/>
                <w:highlight w:val="none"/>
                <w:lang w:val="en-US" w:eastAsia="zh-CN"/>
              </w:rPr>
              <w:t>132</w:t>
            </w:r>
            <w:r>
              <w:rPr>
                <w:rFonts w:eastAsia="仿宋_GB2312"/>
                <w:color w:val="000000"/>
                <w:sz w:val="32"/>
                <w:szCs w:val="32"/>
                <w:highlight w:val="none"/>
              </w:rPr>
              <w:t>号</w:t>
            </w:r>
          </w:p>
        </w:tc>
      </w:tr>
    </w:tbl>
    <w:p w14:paraId="370B761C">
      <w:pPr>
        <w:spacing w:line="576" w:lineRule="exact"/>
        <w:jc w:val="both"/>
        <w:rPr>
          <w:rFonts w:hint="eastAsia" w:ascii="仿宋_GB2312" w:eastAsia="仿宋_GB2312"/>
          <w:color w:val="000000"/>
          <w:spacing w:val="30"/>
          <w:w w:val="80"/>
          <w:highlight w:val="none"/>
        </w:rPr>
      </w:pPr>
    </w:p>
    <w:p w14:paraId="17772095">
      <w:pPr>
        <w:spacing w:line="576" w:lineRule="exact"/>
        <w:jc w:val="center"/>
        <w:rPr>
          <w:rFonts w:hint="eastAsia" w:ascii="仿宋_GB2312" w:eastAsia="仿宋_GB2312"/>
          <w:color w:val="000000"/>
          <w:spacing w:val="30"/>
          <w:w w:val="80"/>
          <w:sz w:val="44"/>
          <w:szCs w:val="44"/>
          <w:highlight w:val="none"/>
        </w:rPr>
      </w:pPr>
    </w:p>
    <w:p w14:paraId="35E5C2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pP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t>西安市城市管理和综合执法局</w:t>
      </w:r>
    </w:p>
    <w:p w14:paraId="0CDA0C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pP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t>关于</w:t>
      </w: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val="en-US" w:eastAsia="zh-CN"/>
        </w:rPr>
        <w:t>印发</w:t>
      </w: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t>西安市环卫保洁精细化作业</w:t>
      </w: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val="en-US" w:eastAsia="zh-CN"/>
        </w:rPr>
        <w:t>指引</w:t>
      </w: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t>的</w:t>
      </w:r>
    </w:p>
    <w:p w14:paraId="3D6F0D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i w:val="0"/>
          <w:caps w:val="0"/>
          <w:color w:val="000000"/>
          <w:spacing w:val="0"/>
          <w:sz w:val="44"/>
          <w:szCs w:val="44"/>
          <w:highlight w:val="none"/>
          <w:lang w:eastAsia="zh-CN"/>
        </w:rPr>
      </w:pPr>
      <w:r>
        <w:rPr>
          <w:rFonts w:hint="eastAsia" w:ascii="方正小标宋简体" w:hAnsi="方正小标宋简体" w:eastAsia="方正小标宋简体" w:cs="方正小标宋简体"/>
          <w:b w:val="0"/>
          <w:bCs/>
          <w:i w:val="0"/>
          <w:caps w:val="0"/>
          <w:color w:val="000000"/>
          <w:spacing w:val="0"/>
          <w:sz w:val="44"/>
          <w:szCs w:val="44"/>
          <w:highlight w:val="none"/>
          <w:shd w:val="clear" w:color="auto" w:fill="FFFFFF"/>
          <w:lang w:eastAsia="zh-CN"/>
        </w:rPr>
        <w:t>通知</w:t>
      </w:r>
    </w:p>
    <w:p w14:paraId="23D72F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小标宋简体" w:hAnsi="方正小标宋简体" w:eastAsia="方正小标宋简体" w:cs="方正小标宋简体"/>
          <w:i w:val="0"/>
          <w:caps w:val="0"/>
          <w:color w:val="000000"/>
          <w:spacing w:val="0"/>
          <w:sz w:val="32"/>
          <w:szCs w:val="32"/>
          <w:highlight w:val="none"/>
          <w:lang w:eastAsia="zh-CN"/>
        </w:rPr>
      </w:pPr>
    </w:p>
    <w:p w14:paraId="40E731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宋体" w:eastAsia="仿宋_GB2312" w:cs="仿宋_GB2312"/>
          <w:i w:val="0"/>
          <w:caps w:val="0"/>
          <w:color w:val="000000"/>
          <w:spacing w:val="0"/>
          <w:sz w:val="32"/>
          <w:szCs w:val="32"/>
          <w:highlight w:val="none"/>
          <w:shd w:val="clear" w:color="auto" w:fill="FFFFFF"/>
          <w:lang w:eastAsia="zh-CN"/>
        </w:rPr>
      </w:pPr>
      <w:r>
        <w:rPr>
          <w:rFonts w:hint="eastAsia" w:ascii="仿宋_GB2312" w:hAnsi="宋体" w:eastAsia="仿宋_GB2312" w:cs="仿宋_GB2312"/>
          <w:i w:val="0"/>
          <w:caps w:val="0"/>
          <w:color w:val="000000"/>
          <w:spacing w:val="0"/>
          <w:sz w:val="32"/>
          <w:szCs w:val="32"/>
          <w:highlight w:val="none"/>
          <w:shd w:val="clear" w:color="auto" w:fill="FFFFFF"/>
          <w:lang w:eastAsia="zh-CN"/>
        </w:rPr>
        <w:t>各区县、开发区城管局、西咸新区城市管理和交通运输局、</w:t>
      </w:r>
      <w:r>
        <w:rPr>
          <w:rFonts w:hint="eastAsia" w:ascii="仿宋_GB2312" w:hAnsi="宋体" w:eastAsia="仿宋_GB2312" w:cs="仿宋_GB2312"/>
          <w:i w:val="0"/>
          <w:caps w:val="0"/>
          <w:color w:val="000000"/>
          <w:spacing w:val="0"/>
          <w:sz w:val="32"/>
          <w:szCs w:val="32"/>
          <w:highlight w:val="none"/>
          <w:shd w:val="clear" w:color="auto" w:fill="FFFFFF"/>
          <w:lang w:val="en-US" w:eastAsia="zh-CN"/>
        </w:rPr>
        <w:t>局属有关单位</w:t>
      </w:r>
      <w:r>
        <w:rPr>
          <w:rFonts w:hint="eastAsia" w:ascii="仿宋_GB2312" w:hAnsi="宋体" w:eastAsia="仿宋_GB2312" w:cs="仿宋_GB2312"/>
          <w:i w:val="0"/>
          <w:caps w:val="0"/>
          <w:color w:val="000000"/>
          <w:spacing w:val="0"/>
          <w:sz w:val="32"/>
          <w:szCs w:val="32"/>
          <w:highlight w:val="none"/>
          <w:shd w:val="clear" w:color="auto" w:fill="FFFFFF"/>
          <w:lang w:eastAsia="zh-CN"/>
        </w:rPr>
        <w:t>：</w:t>
      </w:r>
    </w:p>
    <w:p w14:paraId="521E07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宋体" w:eastAsia="仿宋_GB2312" w:cs="仿宋_GB2312"/>
          <w:i w:val="0"/>
          <w:caps w:val="0"/>
          <w:color w:val="000000"/>
          <w:spacing w:val="0"/>
          <w:sz w:val="32"/>
          <w:szCs w:val="32"/>
          <w:highlight w:val="none"/>
          <w:shd w:val="clear" w:color="auto" w:fill="FFFFFF"/>
          <w:lang w:val="en-US" w:eastAsia="zh-CN"/>
        </w:rPr>
      </w:pPr>
      <w:r>
        <w:rPr>
          <w:rFonts w:hint="eastAsia" w:ascii="仿宋_GB2312" w:hAnsi="宋体" w:eastAsia="仿宋_GB2312" w:cs="仿宋_GB2312"/>
          <w:i w:val="0"/>
          <w:caps w:val="0"/>
          <w:color w:val="000000"/>
          <w:spacing w:val="0"/>
          <w:sz w:val="32"/>
          <w:szCs w:val="32"/>
          <w:highlight w:val="none"/>
          <w:shd w:val="clear" w:color="auto" w:fill="FFFFFF"/>
          <w:lang w:val="en-US" w:eastAsia="zh-CN"/>
        </w:rPr>
        <w:t>现将</w:t>
      </w:r>
      <w:r>
        <w:rPr>
          <w:rFonts w:hint="eastAsia" w:ascii="仿宋_GB2312" w:hAnsi="宋体" w:eastAsia="仿宋_GB2312" w:cs="仿宋_GB2312"/>
          <w:i w:val="0"/>
          <w:caps w:val="0"/>
          <w:color w:val="000000"/>
          <w:spacing w:val="0"/>
          <w:sz w:val="32"/>
          <w:szCs w:val="32"/>
          <w:highlight w:val="none"/>
          <w:shd w:val="clear" w:color="auto" w:fill="FFFFFF"/>
          <w:lang w:eastAsia="zh-CN"/>
        </w:rPr>
        <w:t>《西安市环卫保洁精细化作业</w:t>
      </w:r>
      <w:r>
        <w:rPr>
          <w:rFonts w:hint="eastAsia" w:ascii="仿宋_GB2312" w:hAnsi="宋体" w:eastAsia="仿宋_GB2312" w:cs="仿宋_GB2312"/>
          <w:i w:val="0"/>
          <w:caps w:val="0"/>
          <w:color w:val="000000"/>
          <w:spacing w:val="0"/>
          <w:sz w:val="32"/>
          <w:szCs w:val="32"/>
          <w:highlight w:val="none"/>
          <w:shd w:val="clear" w:color="auto" w:fill="FFFFFF"/>
          <w:lang w:val="en-US" w:eastAsia="zh-CN"/>
        </w:rPr>
        <w:t>指引</w:t>
      </w:r>
      <w:r>
        <w:rPr>
          <w:rFonts w:hint="eastAsia" w:ascii="仿宋_GB2312" w:hAnsi="宋体" w:eastAsia="仿宋_GB2312" w:cs="仿宋_GB2312"/>
          <w:i w:val="0"/>
          <w:caps w:val="0"/>
          <w:color w:val="000000"/>
          <w:spacing w:val="0"/>
          <w:sz w:val="32"/>
          <w:szCs w:val="32"/>
          <w:highlight w:val="none"/>
          <w:shd w:val="clear" w:color="auto" w:fill="FFFFFF"/>
          <w:lang w:eastAsia="zh-CN"/>
        </w:rPr>
        <w:t>》</w:t>
      </w:r>
      <w:r>
        <w:rPr>
          <w:rFonts w:hint="eastAsia" w:ascii="仿宋_GB2312" w:hAnsi="宋体" w:eastAsia="仿宋_GB2312" w:cs="仿宋_GB2312"/>
          <w:i w:val="0"/>
          <w:caps w:val="0"/>
          <w:color w:val="000000"/>
          <w:spacing w:val="0"/>
          <w:sz w:val="32"/>
          <w:szCs w:val="32"/>
          <w:highlight w:val="none"/>
          <w:shd w:val="clear" w:color="auto" w:fill="FFFFFF"/>
          <w:lang w:val="en-US" w:eastAsia="zh-CN"/>
        </w:rPr>
        <w:t>印发你们，</w:t>
      </w:r>
      <w:r>
        <w:rPr>
          <w:rFonts w:hint="eastAsia" w:ascii="仿宋_GB2312" w:hAnsi="宋体" w:eastAsia="仿宋_GB2312" w:cs="仿宋_GB2312"/>
          <w:i w:val="0"/>
          <w:caps w:val="0"/>
          <w:color w:val="000000"/>
          <w:spacing w:val="0"/>
          <w:sz w:val="32"/>
          <w:szCs w:val="32"/>
          <w:highlight w:val="none"/>
          <w:shd w:val="clear" w:color="auto" w:fill="FFFFFF"/>
          <w:lang w:eastAsia="zh-CN"/>
        </w:rPr>
        <w:t>请</w:t>
      </w:r>
      <w:r>
        <w:rPr>
          <w:rFonts w:hint="eastAsia" w:ascii="仿宋_GB2312" w:hAnsi="宋体" w:eastAsia="仿宋_GB2312" w:cs="仿宋_GB2312"/>
          <w:i w:val="0"/>
          <w:caps w:val="0"/>
          <w:color w:val="000000"/>
          <w:spacing w:val="0"/>
          <w:sz w:val="32"/>
          <w:szCs w:val="32"/>
          <w:highlight w:val="none"/>
          <w:shd w:val="clear" w:color="auto" w:fill="FFFFFF"/>
          <w:lang w:val="en-US" w:eastAsia="zh-CN"/>
        </w:rPr>
        <w:t xml:space="preserve">认真遵照执行。               </w:t>
      </w:r>
    </w:p>
    <w:p w14:paraId="28C19D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3840" w:firstLineChars="1200"/>
        <w:jc w:val="both"/>
        <w:textAlignment w:val="auto"/>
        <w:rPr>
          <w:rFonts w:hint="eastAsia" w:ascii="仿宋_GB2312" w:hAnsi="宋体" w:eastAsia="仿宋_GB2312" w:cs="仿宋_GB2312"/>
          <w:i w:val="0"/>
          <w:caps w:val="0"/>
          <w:color w:val="000000"/>
          <w:spacing w:val="0"/>
          <w:sz w:val="32"/>
          <w:szCs w:val="32"/>
          <w:highlight w:val="none"/>
          <w:shd w:val="clear" w:color="auto" w:fill="FFFFFF"/>
          <w:lang w:val="en-US" w:eastAsia="zh-CN"/>
        </w:rPr>
      </w:pPr>
      <w:r>
        <w:rPr>
          <w:rFonts w:hint="eastAsia" w:ascii="仿宋_GB2312" w:hAnsi="宋体" w:eastAsia="仿宋_GB2312" w:cs="仿宋_GB2312"/>
          <w:i w:val="0"/>
          <w:caps w:val="0"/>
          <w:color w:val="000000"/>
          <w:spacing w:val="0"/>
          <w:sz w:val="32"/>
          <w:szCs w:val="32"/>
          <w:highlight w:val="none"/>
          <w:shd w:val="clear" w:color="auto" w:fill="FFFFFF"/>
          <w:lang w:val="en-US" w:eastAsia="zh-CN"/>
        </w:rPr>
        <w:t>西安市城市管理和综合执法局</w:t>
      </w:r>
    </w:p>
    <w:p w14:paraId="163924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5120" w:firstLineChars="1600"/>
        <w:jc w:val="both"/>
        <w:textAlignment w:val="auto"/>
        <w:rPr>
          <w:rFonts w:hint="eastAsia" w:ascii="仿宋_GB2312" w:hAnsi="宋体" w:eastAsia="仿宋_GB2312" w:cs="仿宋_GB2312"/>
          <w:i w:val="0"/>
          <w:caps w:val="0"/>
          <w:color w:val="000000"/>
          <w:spacing w:val="0"/>
          <w:sz w:val="32"/>
          <w:szCs w:val="32"/>
          <w:highlight w:val="none"/>
          <w:shd w:val="clear" w:color="auto" w:fill="FFFFFF"/>
          <w:lang w:val="en-US" w:eastAsia="zh-CN"/>
        </w:rPr>
      </w:pPr>
      <w:r>
        <w:rPr>
          <w:rFonts w:hint="eastAsia" w:ascii="仿宋_GB2312" w:hAnsi="宋体" w:eastAsia="仿宋_GB2312" w:cs="仿宋_GB2312"/>
          <w:i w:val="0"/>
          <w:caps w:val="0"/>
          <w:color w:val="000000"/>
          <w:spacing w:val="0"/>
          <w:sz w:val="32"/>
          <w:szCs w:val="32"/>
          <w:highlight w:val="none"/>
          <w:shd w:val="clear" w:color="auto" w:fill="FFFFFF"/>
          <w:lang w:val="en-US" w:eastAsia="zh-CN"/>
        </w:rPr>
        <w:t>2023年9月4日</w:t>
      </w:r>
    </w:p>
    <w:p w14:paraId="1D14F7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小标宋简体" w:hAnsi="新宋体" w:eastAsia="方正小标宋简体" w:cs="Times New Roman"/>
          <w:color w:val="000000"/>
          <w:sz w:val="44"/>
          <w:szCs w:val="44"/>
          <w:highlight w:val="none"/>
          <w:lang w:eastAsia="zh-CN"/>
        </w:rPr>
      </w:pPr>
      <w:r>
        <w:rPr>
          <w:rFonts w:hint="eastAsia" w:ascii="仿宋_GB2312" w:hAnsi="宋体" w:eastAsia="仿宋_GB2312" w:cs="仿宋_GB2312"/>
          <w:i w:val="0"/>
          <w:caps w:val="0"/>
          <w:color w:val="000000"/>
          <w:spacing w:val="0"/>
          <w:sz w:val="32"/>
          <w:szCs w:val="32"/>
          <w:highlight w:val="none"/>
          <w:shd w:val="clear" w:color="auto" w:fill="FFFFFF"/>
          <w:lang w:val="en-US" w:eastAsia="zh-CN"/>
        </w:rPr>
        <w:t>（联系人：杜益平，联系电话：86787259）</w:t>
      </w:r>
    </w:p>
    <w:p w14:paraId="1CB19C5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000000"/>
          <w:sz w:val="40"/>
          <w:szCs w:val="40"/>
          <w:highlight w:val="none"/>
        </w:rPr>
      </w:pPr>
      <w:r>
        <w:rPr>
          <w:rFonts w:hint="eastAsia" w:ascii="方正小标宋简体" w:hAnsi="新宋体" w:eastAsia="方正小标宋简体" w:cs="Times New Roman"/>
          <w:color w:val="000000"/>
          <w:sz w:val="44"/>
          <w:szCs w:val="44"/>
          <w:highlight w:val="none"/>
          <w:lang w:eastAsia="zh-CN"/>
        </w:rPr>
        <w:br w:type="page"/>
      </w:r>
      <w:r>
        <w:rPr>
          <w:rFonts w:hint="eastAsia" w:ascii="方正小标宋简体" w:hAnsi="新宋体" w:eastAsia="方正小标宋简体" w:cs="Times New Roman"/>
          <w:color w:val="000000"/>
          <w:sz w:val="40"/>
          <w:szCs w:val="40"/>
          <w:highlight w:val="none"/>
          <w:lang w:eastAsia="zh-CN"/>
        </w:rPr>
        <w:t>西安</w:t>
      </w:r>
      <w:r>
        <w:rPr>
          <w:rFonts w:hint="eastAsia" w:ascii="方正小标宋简体" w:hAnsi="新宋体" w:eastAsia="方正小标宋简体" w:cs="Times New Roman"/>
          <w:color w:val="000000"/>
          <w:sz w:val="40"/>
          <w:szCs w:val="40"/>
          <w:highlight w:val="none"/>
        </w:rPr>
        <w:t>市环卫保洁精细化作业</w:t>
      </w:r>
      <w:r>
        <w:rPr>
          <w:rFonts w:hint="eastAsia" w:ascii="方正小标宋简体" w:hAnsi="新宋体" w:eastAsia="方正小标宋简体" w:cs="Times New Roman"/>
          <w:color w:val="000000"/>
          <w:sz w:val="40"/>
          <w:szCs w:val="40"/>
          <w:highlight w:val="none"/>
          <w:lang w:val="en-US" w:eastAsia="zh-CN"/>
        </w:rPr>
        <w:t>指引</w:t>
      </w:r>
      <w:r>
        <w:rPr>
          <w:rFonts w:hint="eastAsia" w:ascii="方正小标宋简体" w:eastAsia="方正小标宋简体"/>
          <w:color w:val="000000"/>
          <w:sz w:val="40"/>
          <w:szCs w:val="40"/>
          <w:highlight w:val="none"/>
        </w:rPr>
        <w:t xml:space="preserve"> </w:t>
      </w:r>
    </w:p>
    <w:p w14:paraId="054D623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000000"/>
          <w:sz w:val="40"/>
          <w:szCs w:val="40"/>
          <w:highlight w:val="none"/>
        </w:rPr>
      </w:pPr>
    </w:p>
    <w:p w14:paraId="2E83F7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sz w:val="28"/>
          <w:szCs w:val="28"/>
          <w:highlight w:val="none"/>
          <w:shd w:val="clear" w:color="auto" w:fill="FFFFFF"/>
        </w:rPr>
        <w:t>为</w:t>
      </w:r>
      <w:r>
        <w:rPr>
          <w:rFonts w:hint="eastAsia" w:ascii="仿宋_GB2312" w:hAnsi="仿宋_GB2312" w:eastAsia="仿宋_GB2312" w:cs="仿宋_GB2312"/>
          <w:i w:val="0"/>
          <w:caps w:val="0"/>
          <w:color w:val="000000"/>
          <w:spacing w:val="0"/>
          <w:sz w:val="28"/>
          <w:szCs w:val="28"/>
          <w:highlight w:val="none"/>
          <w:shd w:val="clear" w:color="auto" w:fill="FFFFFF"/>
          <w:lang w:eastAsia="zh-CN"/>
        </w:rPr>
        <w:t>进一步</w:t>
      </w:r>
      <w:r>
        <w:rPr>
          <w:rFonts w:hint="eastAsia" w:ascii="仿宋_GB2312" w:hAnsi="仿宋_GB2312" w:eastAsia="仿宋_GB2312" w:cs="仿宋_GB2312"/>
          <w:i w:val="0"/>
          <w:caps w:val="0"/>
          <w:color w:val="000000"/>
          <w:spacing w:val="0"/>
          <w:sz w:val="28"/>
          <w:szCs w:val="28"/>
          <w:highlight w:val="none"/>
          <w:shd w:val="clear" w:color="auto" w:fill="FFFFFF"/>
        </w:rPr>
        <w:t>提高我市城市环境卫生水平，建立健全</w:t>
      </w:r>
      <w:r>
        <w:rPr>
          <w:rFonts w:hint="eastAsia" w:ascii="仿宋_GB2312" w:hAnsi="仿宋_GB2312" w:eastAsia="仿宋_GB2312" w:cs="仿宋_GB2312"/>
          <w:i w:val="0"/>
          <w:caps w:val="0"/>
          <w:color w:val="000000"/>
          <w:spacing w:val="0"/>
          <w:sz w:val="28"/>
          <w:szCs w:val="28"/>
          <w:highlight w:val="none"/>
          <w:shd w:val="clear" w:color="auto" w:fill="FFFFFF"/>
          <w:lang w:eastAsia="zh-CN"/>
        </w:rPr>
        <w:t>环卫保洁</w:t>
      </w:r>
      <w:r>
        <w:rPr>
          <w:rFonts w:hint="eastAsia" w:ascii="仿宋_GB2312" w:hAnsi="仿宋_GB2312" w:eastAsia="仿宋_GB2312" w:cs="仿宋_GB2312"/>
          <w:i w:val="0"/>
          <w:caps w:val="0"/>
          <w:color w:val="000000"/>
          <w:spacing w:val="0"/>
          <w:sz w:val="28"/>
          <w:szCs w:val="28"/>
          <w:highlight w:val="none"/>
          <w:shd w:val="clear" w:color="auto" w:fill="FFFFFF"/>
        </w:rPr>
        <w:t>工作科学化、规范化、</w:t>
      </w:r>
      <w:r>
        <w:rPr>
          <w:rFonts w:hint="eastAsia" w:ascii="仿宋_GB2312" w:hAnsi="仿宋_GB2312" w:eastAsia="仿宋_GB2312" w:cs="仿宋_GB2312"/>
          <w:i w:val="0"/>
          <w:caps w:val="0"/>
          <w:color w:val="000000"/>
          <w:spacing w:val="0"/>
          <w:sz w:val="28"/>
          <w:szCs w:val="28"/>
          <w:highlight w:val="none"/>
          <w:shd w:val="clear" w:color="auto" w:fill="FFFFFF"/>
          <w:lang w:eastAsia="zh-CN"/>
        </w:rPr>
        <w:t>常态</w:t>
      </w:r>
      <w:r>
        <w:rPr>
          <w:rFonts w:hint="eastAsia" w:ascii="仿宋_GB2312" w:hAnsi="仿宋_GB2312" w:eastAsia="仿宋_GB2312" w:cs="仿宋_GB2312"/>
          <w:i w:val="0"/>
          <w:caps w:val="0"/>
          <w:color w:val="000000"/>
          <w:spacing w:val="0"/>
          <w:sz w:val="28"/>
          <w:szCs w:val="28"/>
          <w:highlight w:val="none"/>
          <w:shd w:val="clear" w:color="auto" w:fill="FFFFFF"/>
        </w:rPr>
        <w:t>化管理机制，以“绣花”功夫推进环境卫生精细化、智能化管理，</w:t>
      </w:r>
      <w:r>
        <w:rPr>
          <w:rFonts w:hint="eastAsia" w:ascii="仿宋_GB2312" w:hAnsi="仿宋_GB2312" w:eastAsia="仿宋_GB2312" w:cs="仿宋_GB2312"/>
          <w:i w:val="0"/>
          <w:caps w:val="0"/>
          <w:color w:val="000000"/>
          <w:spacing w:val="0"/>
          <w:sz w:val="28"/>
          <w:szCs w:val="28"/>
          <w:highlight w:val="none"/>
          <w:shd w:val="clear" w:color="auto" w:fill="FFFFFF"/>
          <w:lang w:eastAsia="zh-CN"/>
        </w:rPr>
        <w:t>赶超</w:t>
      </w:r>
      <w:r>
        <w:rPr>
          <w:rFonts w:hint="eastAsia" w:ascii="仿宋_GB2312" w:hAnsi="仿宋_GB2312" w:eastAsia="仿宋_GB2312" w:cs="仿宋_GB2312"/>
          <w:i w:val="0"/>
          <w:caps w:val="0"/>
          <w:color w:val="000000"/>
          <w:spacing w:val="0"/>
          <w:sz w:val="28"/>
          <w:szCs w:val="28"/>
          <w:highlight w:val="none"/>
          <w:shd w:val="clear" w:color="auto" w:fill="FFFFFF"/>
        </w:rPr>
        <w:t>一流城市水平，根据</w:t>
      </w:r>
      <w:r>
        <w:rPr>
          <w:rFonts w:hint="eastAsia" w:ascii="仿宋_GB2312" w:hAnsi="仿宋_GB2312" w:eastAsia="仿宋_GB2312" w:cs="仿宋_GB2312"/>
          <w:i w:val="0"/>
          <w:caps w:val="0"/>
          <w:color w:val="000000"/>
          <w:spacing w:val="0"/>
          <w:sz w:val="28"/>
          <w:szCs w:val="28"/>
          <w:highlight w:val="none"/>
          <w:shd w:val="clear" w:color="auto" w:fill="FFFFFF"/>
          <w:lang w:eastAsia="zh-CN"/>
        </w:rPr>
        <w:t>《市容环卫工程项目规范》（</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GB55013-2021</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rPr>
        <w:t>《城市道路清扫保洁质量与评价标准</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CJJ/T126-2022</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rPr>
        <w:t>《西安市城市市容和环境卫生管理条例》</w:t>
      </w:r>
      <w:r>
        <w:rPr>
          <w:rFonts w:hint="eastAsia" w:ascii="仿宋_GB2312" w:hAnsi="仿宋_GB2312" w:eastAsia="仿宋_GB2312" w:cs="仿宋_GB2312"/>
          <w:i w:val="0"/>
          <w:caps w:val="0"/>
          <w:color w:val="000000"/>
          <w:spacing w:val="0"/>
          <w:sz w:val="28"/>
          <w:szCs w:val="28"/>
          <w:highlight w:val="none"/>
          <w:shd w:val="clear" w:color="auto" w:fill="FFFFFF"/>
          <w:lang w:eastAsia="zh-CN"/>
        </w:rPr>
        <w:t>和西安市《</w:t>
      </w:r>
      <w:r>
        <w:rPr>
          <w:rFonts w:hint="eastAsia" w:ascii="仿宋_GB2312" w:hAnsi="仿宋_GB2312" w:eastAsia="仿宋_GB2312" w:cs="仿宋_GB2312"/>
          <w:i w:val="0"/>
          <w:caps w:val="0"/>
          <w:color w:val="000000"/>
          <w:spacing w:val="0"/>
          <w:sz w:val="28"/>
          <w:szCs w:val="28"/>
          <w:highlight w:val="none"/>
          <w:shd w:val="clear" w:color="auto" w:fill="FFFFFF"/>
        </w:rPr>
        <w:t>城市道路清扫保洁技术规范</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DB6101</w:t>
      </w:r>
      <w:r>
        <w:rPr>
          <w:rFonts w:hint="eastAsia" w:ascii="仿宋_GB2312" w:hAnsi="仿宋_GB2312" w:eastAsia="仿宋_GB2312" w:cs="仿宋_GB2312"/>
          <w:i w:val="0"/>
          <w:caps w:val="0"/>
          <w:color w:val="000000"/>
          <w:spacing w:val="0"/>
          <w:sz w:val="28"/>
          <w:szCs w:val="28"/>
          <w:highlight w:val="none"/>
          <w:shd w:val="clear" w:color="auto" w:fill="FFFFFF"/>
          <w:lang w:val="en"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T3057-2019</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rPr>
        <w:t>等规定，结合我市工作实际，制定本</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指引</w:t>
      </w:r>
      <w:r>
        <w:rPr>
          <w:rFonts w:hint="eastAsia" w:ascii="仿宋_GB2312" w:hAnsi="仿宋_GB2312" w:eastAsia="仿宋_GB2312" w:cs="仿宋_GB2312"/>
          <w:i w:val="0"/>
          <w:caps w:val="0"/>
          <w:color w:val="000000"/>
          <w:spacing w:val="0"/>
          <w:sz w:val="28"/>
          <w:szCs w:val="28"/>
          <w:highlight w:val="none"/>
          <w:shd w:val="clear" w:color="auto" w:fill="FFFFFF"/>
        </w:rPr>
        <w:t>。</w:t>
      </w:r>
    </w:p>
    <w:p w14:paraId="7B3577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一、总则</w:t>
      </w:r>
    </w:p>
    <w:p w14:paraId="2F6899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i w:val="0"/>
          <w:caps w:val="0"/>
          <w:color w:val="000000"/>
          <w:spacing w:val="0"/>
          <w:sz w:val="28"/>
          <w:szCs w:val="28"/>
          <w:highlight w:val="none"/>
          <w:shd w:val="clear" w:color="auto" w:fill="FFFFFF"/>
          <w:lang w:val="en-US" w:eastAsia="zh-CN"/>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（一）环卫保洁坚持“政府主导、</w:t>
      </w:r>
      <w:r>
        <w:rPr>
          <w:rFonts w:hint="eastAsia" w:ascii="仿宋_GB2312" w:hAnsi="仿宋_GB2312" w:eastAsia="仿宋_GB2312" w:cs="仿宋_GB2312"/>
          <w:sz w:val="28"/>
          <w:szCs w:val="28"/>
          <w:highlight w:val="none"/>
        </w:rPr>
        <w:t>企业</w:t>
      </w:r>
      <w:r>
        <w:rPr>
          <w:rFonts w:hint="eastAsia" w:ascii="仿宋_GB2312" w:hAnsi="仿宋_GB2312" w:eastAsia="仿宋_GB2312" w:cs="仿宋_GB2312"/>
          <w:color w:val="000000"/>
          <w:sz w:val="28"/>
          <w:szCs w:val="28"/>
          <w:highlight w:val="none"/>
          <w:lang w:val="en-US" w:eastAsia="zh-CN"/>
        </w:rPr>
        <w:t>运营</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、区划为主”的原则，以规范化作业、标准化管理为路径，着力推进作业单位集团化、作业标段规模化、作业方式机械化。以“城市清洁行动”为抓手，持续开展“环卫保洁精细化”行动。</w:t>
      </w:r>
    </w:p>
    <w:p w14:paraId="5A6C26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sz w:val="28"/>
          <w:szCs w:val="28"/>
          <w:highlight w:val="none"/>
          <w:shd w:val="clear" w:color="auto" w:fill="FFFFFF"/>
          <w:lang w:val="en-US" w:eastAsia="zh-CN"/>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（二）</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本指引规定了城市和县城建成区道路清扫保洁作业、公共厕所保洁、其他环卫设施保洁、清扫保洁作业车辆管理、环卫作业人员行为规范、保障与应急环卫作业等环境卫生作业方面的具体要求。</w:t>
      </w:r>
    </w:p>
    <w:p w14:paraId="7953E6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仿宋_GB2312" w:hAnsi="仿宋_GB2312" w:eastAsia="仿宋_GB2312" w:cs="仿宋_GB2312"/>
          <w:i w:val="0"/>
          <w:caps w:val="0"/>
          <w:color w:val="000000"/>
          <w:spacing w:val="0"/>
          <w:sz w:val="28"/>
          <w:szCs w:val="28"/>
          <w:highlight w:val="none"/>
          <w:shd w:val="clear" w:color="auto" w:fill="FFFFFF"/>
          <w:lang w:val="en-US" w:eastAsia="zh-CN"/>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三）大力推行环卫作业机械化，通过多种方式促进环卫企业加快改进更新环卫作业设施设备，增加机械化洗扫和重度污染清洗作业车辆，特别是适用于背街小巷、辅道和人行道作业的小型作业机具（小型扫地车、热水高压清洗机、吸尘机），扩大机械化作业范围，道路机械化清扫率达到省、市相关标准以上。同时，做好不同机械与人工替换率的测算，最大程度减少人工使用和降低环卫工人劳动强度。</w:t>
      </w:r>
    </w:p>
    <w:p w14:paraId="799529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（四）</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大力推行绿色环保、节能减排作业方式，持续推进环卫作业机具设备提档升级，使用新能源环卫作业车辆。</w:t>
      </w:r>
    </w:p>
    <w:p w14:paraId="6A5FF9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黑体" w:hAnsi="黑体" w:eastAsia="黑体" w:cs="黑体"/>
          <w:i w:val="0"/>
          <w:caps w:val="0"/>
          <w:color w:val="333333"/>
          <w:spacing w:val="0"/>
          <w:kern w:val="0"/>
          <w:sz w:val="22"/>
          <w:szCs w:val="22"/>
          <w:highlight w:val="none"/>
          <w:shd w:val="clear" w:color="auto" w:fill="FFFFFF"/>
          <w:lang w:val="en-US" w:eastAsia="zh-CN" w:bidi="ar"/>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二、道路清扫保洁</w:t>
      </w:r>
      <w:r>
        <w:rPr>
          <w:rFonts w:hint="eastAsia" w:ascii="黑体" w:hAnsi="黑体" w:eastAsia="黑体" w:cs="黑体"/>
          <w:i w:val="0"/>
          <w:caps w:val="0"/>
          <w:color w:val="333333"/>
          <w:spacing w:val="0"/>
          <w:kern w:val="0"/>
          <w:sz w:val="22"/>
          <w:szCs w:val="22"/>
          <w:highlight w:val="none"/>
          <w:shd w:val="clear" w:color="auto" w:fill="FFFFFF"/>
          <w:lang w:val="en-US" w:eastAsia="zh-CN" w:bidi="ar"/>
        </w:rPr>
        <w:t> </w:t>
      </w:r>
    </w:p>
    <w:p w14:paraId="291B1C3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楷体_GB2312" w:hAnsi="楷体_GB2312" w:eastAsia="楷体_GB2312" w:cs="楷体_GB2312"/>
          <w:sz w:val="28"/>
          <w:szCs w:val="28"/>
          <w:highlight w:val="none"/>
          <w:lang w:val="en-US" w:eastAsia="zh-CN"/>
        </w:rPr>
      </w:pPr>
      <w:r>
        <w:rPr>
          <w:rFonts w:hint="eastAsia" w:ascii="楷体_GB2312" w:hAnsi="楷体_GB2312" w:eastAsia="楷体_GB2312" w:cs="楷体_GB2312"/>
          <w:sz w:val="28"/>
          <w:szCs w:val="28"/>
          <w:highlight w:val="none"/>
          <w:lang w:val="en-US" w:eastAsia="zh-CN"/>
        </w:rPr>
        <w:t>（一）环卫保洁作业范围</w:t>
      </w:r>
    </w:p>
    <w:p w14:paraId="11BD5A1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sz w:val="20"/>
          <w:szCs w:val="18"/>
          <w:highlight w:val="none"/>
          <w:lang w:val="en-US" w:eastAsia="zh-CN"/>
        </w:rPr>
      </w:pP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1.</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城市和县城建成区内市政道路的车行道、人行道、高架桥（快速路）、车行隧道、立交桥、人行过街天桥、公共广场等路面均属环卫清扫保洁作业范围。</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按照人流量、车流量、商业门店密度、重要场所分布等参数，以及主干道、次干道（连通道）、</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背街小巷道路分布，分为三个等级，具体划分为一级、二级、三级（见附件）。</w:t>
      </w:r>
    </w:p>
    <w:p w14:paraId="467AAE2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sz w:val="20"/>
          <w:szCs w:val="18"/>
          <w:highlight w:val="none"/>
          <w:lang w:val="en-US" w:eastAsia="zh-CN"/>
        </w:rPr>
      </w:pPr>
      <w:r>
        <w:rPr>
          <w:rFonts w:hint="eastAsia" w:ascii="仿宋_GB2312" w:hAnsi="仿宋_GB2312" w:eastAsia="仿宋_GB2312" w:cs="仿宋_GB2312"/>
          <w:sz w:val="28"/>
          <w:szCs w:val="28"/>
          <w:highlight w:val="none"/>
          <w:lang w:val="en-US" w:eastAsia="zh-CN"/>
        </w:rPr>
        <w:t>2.机动车道、立交桥、高架桥、跨线桥、非机动车道、人行道、人行天桥、广场及栏杆、隔离墩（桩、墙）等环卫清扫保洁，适合机械清扫的，应当以大、中、小型洗扫车或吸尘车作业为主；不适合机械清扫作业的，应匹配相应作业人员，实行人工清扫作业。人工清扫作业主要采用防尘软扫帚，避免产生扬尘。</w:t>
      </w:r>
    </w:p>
    <w:p w14:paraId="4B6E85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仿宋_GB2312" w:hAnsi="仿宋_GB2312" w:eastAsia="仿宋_GB2312" w:cs="仿宋_GB2312"/>
          <w:b/>
          <w:bCs/>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（二）道路清扫保洁作业质量标准</w:t>
      </w:r>
    </w:p>
    <w:p w14:paraId="07EEF3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1.道路清扫保洁作业应做到车行道、高架桥和立交桥路面、人行道、下水道入水口、墙角、道牙石下等部位洁净无积尘、污水、污渍和废弃物，道路及两侧可视范围内无暴露垃圾。</w:t>
      </w:r>
    </w:p>
    <w:p w14:paraId="025776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FF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2.道路清洗作业应做到车行道、高架桥和立交桥路面、人行道路面及交通护栏（如有移交）、隔离带下等道路附属设施洁净见本色，无泥沙、浮土、污水、灰带、扬尘。</w:t>
      </w:r>
    </w:p>
    <w:p w14:paraId="6C1F6E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3.车行隧道、人行过街天桥清扫保洁应做到路面干净、无积存污水和垃圾，达到与所连接道路高标准一侧相同的清扫保洁质量标准。</w:t>
      </w:r>
    </w:p>
    <w:p w14:paraId="2A1901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4.公共广场保洁标准：</w:t>
      </w:r>
    </w:p>
    <w:p w14:paraId="3E0AF1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（1）路面干净，无污垢及附着物、积水，人行道上无粘性物。 </w:t>
      </w:r>
    </w:p>
    <w:p w14:paraId="40CA4F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（2）广场各部位干净、整洁，无浮土、渣土、污水、烟头、纸屑、瓜果皮核、痰迹、粪便及其他污物。 </w:t>
      </w:r>
    </w:p>
    <w:p w14:paraId="5A4747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（3）广场附属公共设施完好、表面清洁，无积尘、油迹、锈迹，标识清晰可见，无乱涂写、乱张贴、乱刻画。</w:t>
      </w:r>
    </w:p>
    <w:p w14:paraId="01C9ED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b/>
          <w:bCs/>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（三）人工清扫保洁</w:t>
      </w:r>
    </w:p>
    <w:p w14:paraId="686065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1.作业时间：</w:t>
      </w:r>
    </w:p>
    <w:p w14:paraId="0312A3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000000"/>
          <w:kern w:val="0"/>
          <w:sz w:val="20"/>
          <w:szCs w:val="20"/>
          <w:highlight w:val="none"/>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所有等级道路执行“一普扫+全保”作业模式，每天除“普扫”使用大扫帚外，其余时间全部使用小扫帚或捡拾夹进行保洁。春夏季“普扫”6:30前完成，秋冬季“普扫”7:00前完成。 </w:t>
      </w:r>
    </w:p>
    <w:p w14:paraId="02A4FF6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2.作业要求：</w:t>
      </w:r>
    </w:p>
    <w:p w14:paraId="22FCDF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所有道路实行全日制分班保洁作业。环卫保洁人员配备按一级道路2班制作业，每班次3000平方米配备1名保洁员；二级道路2班制作业，每班次3125平方米配备1名保洁员；三级道路2班制作业，每班次3800平方米配备1名保洁员。各作业单位应组建不少于10%的保洁轮休人员（含保洁应急队伍），以保证保洁人员轮休和快速解决市区范围内突发的市容环境卫生事件。</w:t>
      </w:r>
    </w:p>
    <w:p w14:paraId="5AF1C6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道路保洁实行巡查员负责制，每3-5个作业路段为一个巡查区域，设巡查人员1名。每个作业路段配备相应的小型密闭式垃圾收运车辆，各类道路每名保洁员作业区为一个作业段，对保洁员实行编号定位。每名保洁员配备大扫把1把、小扫帚1把、保洁簸箕1个，捡拾夹、“野广告”清理铲及其它保洁工具等，清扫和保洁工具手把及小型密闭式垃圾收运车辆后箱应贴涂反光标志。</w:t>
      </w:r>
    </w:p>
    <w:p w14:paraId="615F86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（3）人工清扫应按照“七扫”的基本要求进行，即：头遍先普扫，面向车辆扫，有风顺风扫，商店门口轻轻扫，公交车站重点扫，沟底灰沙用力扫，窨井墙角不漏扫。</w:t>
      </w:r>
    </w:p>
    <w:p w14:paraId="3A19E9D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（4）人工清扫作业时注意以下规范： </w:t>
      </w:r>
    </w:p>
    <w:p w14:paraId="2D67CC5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汉仪书宋二S" w:hAnsi="汉仪书宋二S" w:eastAsia="汉仪书宋二S" w:cs="汉仪书宋二S"/>
          <w:sz w:val="28"/>
          <w:szCs w:val="28"/>
          <w:highlight w:val="none"/>
          <w:lang w:val="en-US" w:eastAsia="zh-CN"/>
        </w:rPr>
        <w:t>①</w:t>
      </w:r>
      <w:r>
        <w:rPr>
          <w:rFonts w:hint="eastAsia" w:ascii="仿宋_GB2312" w:hAnsi="仿宋_GB2312" w:eastAsia="仿宋_GB2312" w:cs="仿宋_GB2312"/>
          <w:sz w:val="28"/>
          <w:szCs w:val="28"/>
          <w:highlight w:val="none"/>
          <w:lang w:val="en-US" w:eastAsia="zh-CN"/>
        </w:rPr>
        <w:t xml:space="preserve">在清扫中间护拦时要提高警觉，注意防范来往车辆。 </w:t>
      </w:r>
    </w:p>
    <w:p w14:paraId="63F41B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汉仪书宋二S" w:hAnsi="汉仪书宋二S" w:eastAsia="汉仪书宋二S" w:cs="汉仪书宋二S"/>
          <w:sz w:val="28"/>
          <w:szCs w:val="28"/>
          <w:highlight w:val="none"/>
          <w:lang w:val="en-US" w:eastAsia="zh-CN"/>
        </w:rPr>
        <w:t>②</w:t>
      </w:r>
      <w:r>
        <w:rPr>
          <w:rFonts w:hint="eastAsia" w:ascii="仿宋_GB2312" w:hAnsi="仿宋_GB2312" w:eastAsia="仿宋_GB2312" w:cs="仿宋_GB2312"/>
          <w:sz w:val="28"/>
          <w:szCs w:val="28"/>
          <w:highlight w:val="none"/>
          <w:lang w:val="en-US" w:eastAsia="zh-CN"/>
        </w:rPr>
        <w:t xml:space="preserve">保洁道牙边时要带扫1米宽的路面，将废弃物扫至沟边依次归堆，并应与窨井口保持1米以上的距离，避免垃圾落入窨井口内。 </w:t>
      </w:r>
    </w:p>
    <w:p w14:paraId="04F2C8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③</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辅以机械洒水或清洗作业时，应先推水，后清扫。 </w:t>
      </w:r>
    </w:p>
    <w:p w14:paraId="78A32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④</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行道树产生较多落叶时，要增加巡回保洁次数，并及时清运枯枝落叶。</w:t>
      </w:r>
    </w:p>
    <w:p w14:paraId="612FC3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（5）一级道路非机动车道、人行道、十字路口、人行天桥、绿化带花台、树池、工具箱、果皮箱、雨水篦、井盖表面等局部污渍清洗及零星垃圾，其巡回保洁和捡拾在15分钟内处理。</w:t>
      </w:r>
    </w:p>
    <w:p w14:paraId="597CB4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二级道路非机动车道、人行道、十字路口、人行天桥、绿化带花台、树池、工具箱、果皮箱、雨水篦、井盖表面等局部污渍清洗及零星垃圾，餐饮饭店、集贸市场、车站、医院等人流密集场所和建设工地周边，其巡回保洁和捡拾在20分钟内处理。三级道路其巡回保洁和捡拾在40分钟内处理。</w:t>
      </w:r>
    </w:p>
    <w:p w14:paraId="3955B1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（7）一级道路设置的环卫设施擦洗每日不少于1次。二级、三级道路设置的环卫设施擦洗每两日不少于1次。</w:t>
      </w:r>
    </w:p>
    <w:p w14:paraId="352285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（8）清扫保洁产生的垃圾应及时收集转运，并达到以下作业要求： </w:t>
      </w:r>
    </w:p>
    <w:p w14:paraId="577716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①</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清扫保洁垃圾应定时定点清理，做到工完场清，其中春夏季普扫垃圾应于每天 6:30 前清理完毕，秋冬季普扫垃圾应于每天 7:00 前清理完毕,严禁将垃圾裸露堆放路面。 </w:t>
      </w:r>
    </w:p>
    <w:p w14:paraId="147115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②</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不得往花坛绿地倾倒垃圾，不得将垃圾、泥沙扫入下水道进水篦，保持下水道井眼干净整洁无污物。 </w:t>
      </w:r>
    </w:p>
    <w:p w14:paraId="070C1A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③</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清扫保洁垃圾收集、运输过程中不得有撒落、飞扬、污水滴漏等现象。</w:t>
      </w:r>
    </w:p>
    <w:p w14:paraId="5E95C1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④</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清扫保洁垃圾收集容器应摆放整齐，容器周边无撒落。垃圾容器清理后，其内应无留存垃圾及污水、外观整洁，才能重新复位。 </w:t>
      </w:r>
    </w:p>
    <w:p w14:paraId="633080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⑤</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清扫保洁作业人员不得将垃圾、落叶或泥渣直接清扫、倾倒至城市管网。 </w:t>
      </w:r>
    </w:p>
    <w:p w14:paraId="7D4D70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⑥</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清扫保洁作业人员不得焚烧垃圾。</w:t>
      </w:r>
    </w:p>
    <w:p w14:paraId="149F6F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（9）雨停后及时清理下水道进水篦、井眼及其周边，并进行推水作业，防止路面积水、积泥和积污。</w:t>
      </w:r>
    </w:p>
    <w:p w14:paraId="58607E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（10）对口香糖等粘性污渍，以及油污、乱涂乱写等顽固污渍，应使用铲刀、高压清洗机具以及必要的化学清洗制剂予以清除，并与底色保持一致。 </w:t>
      </w:r>
    </w:p>
    <w:p w14:paraId="076B9B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（11）保洁作业结束后，作业工具应在规定地点摆放，不得在道路路面、墙角、绿化带、绿地中存放。</w:t>
      </w:r>
    </w:p>
    <w:p w14:paraId="08D5C7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（四）机械化清扫保洁</w:t>
      </w:r>
    </w:p>
    <w:p w14:paraId="0F7F0A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一级道路主、辅道机械洗扫作业每日不少于4次。每日05:00-07:00、20:00-22:00每条车道全覆盖作业；09:30-11:30、12:30-16:30双向左右两侧车行道、单向车行道两侧道路各增加作业1次；1月-3月，10月-12月适时增加作业次数，清理落叶和灰带。</w:t>
      </w:r>
    </w:p>
    <w:p w14:paraId="4F0AF8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二级道路机械洗扫作业每日不少于3次。每日05:00-07:00、10:00-17:00、20:00-22:00每条车道全覆盖作业,12:30-16:30双向左右两侧车行道、单向车行道两侧道路各增加作业1次；1月-3月，10月-12月适时增加作业次数，清理落叶和灰带。</w:t>
      </w:r>
    </w:p>
    <w:p w14:paraId="0BC1D9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3.三级道路机械洗扫作业每日不少于2次。每日05:00-07:00、20:00-22:00各作业1次；1月-3月，10月-12月适时增加作业次数，清理落叶和灰带。同时，根据道路情况也可采取人工清扫和冲洗作业相结合方式。</w:t>
      </w:r>
    </w:p>
    <w:p w14:paraId="20689D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4.夏季气温超过35℃时，应当采取换班轮休等方式，缩短劳动者连续作业时间，日最高气温达到40℃以上时，应当停止人工作业，加强机械化作业。其他特殊天气作业时间和频次另行规定。</w:t>
      </w:r>
    </w:p>
    <w:p w14:paraId="2B91F0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机械清扫作业时可根据路面污染情况，洗扫作业时行驶速度不超过8公里/小时，副机转速不低于2200转/分左右；保洁作业时行驶速度不超过15公里/小时，副机转速不低于1800转/分。作业时应严格按照放刷、喷水、调整箱体压力和刷盘转速、清扫的顺序进行操作；非特殊气候情况下，避免“干扫”；作业时禁止扫刷、吸盘不落地。作业完毕后应及时到指定场所排放污水和清、卸垃圾。</w:t>
      </w:r>
    </w:p>
    <w:p w14:paraId="374AB3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b/>
          <w:bCs/>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（五）机械化道路冲洗除尘</w:t>
      </w:r>
    </w:p>
    <w:p w14:paraId="11046B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1.作业要求：</w:t>
      </w:r>
    </w:p>
    <w:p w14:paraId="5AFFCA44">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每年3月1日至11月1日执行“白天湿扫、夜间冲洗”道路的降尘作业模式，对所有道路实施夜间冲洗作业，冲洗作业为每日22:00－次日06:30进行。除道路污染应急处置、重大保障和重污染天气等特殊情况外，原则上不得白天作业。清晨、夜间作业时应打开警示灯、应急灯，禁止鸣报任何提示音乐，特殊情况确需白天作业时，要错开早晚交通高峰段（7:00-9:00，17:00-20:00），作业时要避让车辆和行人。建筑垃圾通道可根据实际情况适时开展道路冲洗作业。</w:t>
      </w:r>
    </w:p>
    <w:p w14:paraId="38F915BF">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（2）秋冬季气温4℃及以下时，停止一切冲洒水作业；气温4℃以上时，每日上午10:00至下午16:00为道路冲洒水作业时段。重污染天气应急响应期间，道路冲洒水作业时间以市城管局通知为准。</w:t>
      </w:r>
    </w:p>
    <w:p w14:paraId="1A2D472D">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（3）雾喷洒水压尘作业要符合以下规定： </w:t>
      </w:r>
    </w:p>
    <w:p w14:paraId="2F4E2880">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①</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根据大气污染和臭氧防治应急响应机制要求，针对不同预警等级，分别按不同程度提高各时段洒水压尘频次。</w:t>
      </w:r>
    </w:p>
    <w:p w14:paraId="68B135D4">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②</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水要喷射成雾状，喷洒均匀，达到路面见潮不见水流的效果。作业覆盖宽度应与道路宽度适宜，做到应洒尽洒。 </w:t>
      </w:r>
    </w:p>
    <w:p w14:paraId="3C47F76A">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③</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根据作业路段宽度、车辆作业宽度、道路交通条件，采取沿道路两侧、中央隔离带或中央黄线两侧适当位置与行车线相同方向进行压尘作业。</w:t>
      </w:r>
    </w:p>
    <w:p w14:paraId="4C77637D">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default"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④</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车辆作业时，速度不应高于20km</w:t>
      </w:r>
      <w:r>
        <w:rPr>
          <w:rFonts w:hint="default" w:ascii="仿宋_GB2312" w:hAnsi="仿宋_GB2312" w:eastAsia="仿宋_GB2312" w:cs="仿宋_GB2312"/>
          <w:i w:val="0"/>
          <w:caps w:val="0"/>
          <w:color w:val="000000"/>
          <w:spacing w:val="0"/>
          <w:kern w:val="0"/>
          <w:sz w:val="28"/>
          <w:szCs w:val="28"/>
          <w:highlight w:val="none"/>
          <w:shd w:val="clear" w:color="auto" w:fill="FFFFFF"/>
          <w:lang w:val="en" w:eastAsia="zh-CN" w:bidi="ar"/>
        </w:rPr>
        <w:t>/h,</w:t>
      </w:r>
      <w:r>
        <w:rPr>
          <w:rFonts w:hint="eastAsia" w:ascii="仿宋_GB2312" w:hAnsi="仿宋_GB2312" w:eastAsia="仿宋_GB2312" w:cs="仿宋_GB2312"/>
          <w:i w:val="0"/>
          <w:caps w:val="0"/>
          <w:color w:val="000000"/>
          <w:spacing w:val="0"/>
          <w:kern w:val="0"/>
          <w:sz w:val="28"/>
          <w:szCs w:val="28"/>
          <w:highlight w:val="none"/>
          <w:shd w:val="clear" w:color="auto" w:fill="FFFFFF"/>
          <w:lang w:val="en" w:eastAsia="zh-CN" w:bidi="ar"/>
        </w:rPr>
        <w:t>洒水设备水压不应大于</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300kPa，喷雾设备水压应不大于15Mpa。</w:t>
      </w:r>
    </w:p>
    <w:p w14:paraId="04AE7E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（4）雨后可开展机械高压冲洗除尘，同时进行路面积水清除作业。</w:t>
      </w:r>
    </w:p>
    <w:p w14:paraId="6D3F0633">
      <w:pPr>
        <w:keepNext w:val="0"/>
        <w:keepLines w:val="0"/>
        <w:pageBreakBefore w:val="0"/>
        <w:kinsoku/>
        <w:wordWrap/>
        <w:overflowPunct/>
        <w:topLinePunct w:val="0"/>
        <w:autoSpaceDE/>
        <w:autoSpaceDN/>
        <w:bidi w:val="0"/>
        <w:adjustRightInd/>
        <w:snapToGrid/>
        <w:spacing w:line="560" w:lineRule="exact"/>
        <w:ind w:firstLine="630"/>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2</w:t>
      </w: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 w:eastAsia="zh-CN" w:bidi="ar"/>
        </w:rPr>
        <w:t>.</w:t>
      </w: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作业方式：</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4E7244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道路冲洗除尘根据不同道路等级，制定清洗除尘方案。所有道路应以冲洗除尘为主，冲洗作业时车辆行驶速度为5-8公里/小时，出水口与地面之间角度调至最佳冲洗位置，压力不小于300kPa，夜间开启警示灯、应急灯、白天鸣放提示音乐。</w:t>
      </w:r>
    </w:p>
    <w:p w14:paraId="48B61E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道路冲洗除尘作业应当实行机械冲洗与机械化洗扫和人工辅助清扫相结合的方式，确保冲洗效果。建筑垃圾清运通道冲洗作业时，应先铲除路面泥饼，再冲洗、推水，建筑工地周边道路宜适当增加冲洗作业频次。</w:t>
      </w:r>
    </w:p>
    <w:p w14:paraId="2F73C8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（3）道路冲洗除尘实行定人、定车、定时、定标、定责“五定”制度。</w:t>
      </w:r>
    </w:p>
    <w:p w14:paraId="4CFD9A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高压清洗后，视路面清洁情况，可再用清洗车对路面进行一次冲刷，将污水、污渣彻底冲刷至道路两侧。清洗车紧邻道牙石作业时，应严格控制水压、水量，确保主水流在道牙石边缘前30厘米左右自然停下，避免污水、污物喷溅人行道或绿篱形成新的污染。</w:t>
      </w:r>
    </w:p>
    <w:p w14:paraId="6D6EF0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（5）冲洗后及时采取有关措施进行推水作业，作业面应无泥沙、积水等。机械冲洗除尘时只可使用车辆前鸭嘴或高压冲洗架，不得采取对冲（地炮）式作业方式。</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6FF4DC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（6）车辆通行条件受限制的背街小巷，应采取人工清洗与小型机械清洗相结合的方式，作业流程按以下规定：</w:t>
      </w:r>
    </w:p>
    <w:p w14:paraId="6CF609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①</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清洗作业前，对道路进行人工普扫或机械湿式普扫。</w:t>
      </w:r>
    </w:p>
    <w:p w14:paraId="2A2BA6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②</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清扫作业后，按从中央线向道路两侧的顺序，采用小型高压清洗车或洒水车单车分次巡回清洗，并视路面污染、积水情况安排洗扫收边。路面宽度允许时，可投入多车辆梯形一次性推进清洗。安装有交通护栏的路段优先清洗交通护栏。</w:t>
      </w:r>
    </w:p>
    <w:p w14:paraId="020C76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③</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根据路面污染情况，可采用小型高压清洗车辆或人工方式对污染部位进行局部清洗。人行道采用小型高压清洗车对污染部位进行定点清洗。</w:t>
      </w:r>
    </w:p>
    <w:p w14:paraId="2A970F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④</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白天至上半夜时段，原则上不进行背街小巷清洗作业，或仅用洒水车进行中小水量雾洒压尘，避免扰民。</w:t>
      </w:r>
    </w:p>
    <w:p w14:paraId="07A199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（7）在道路突发污染事故（如车辆漏油、颜料污染等）、渣土严重污染、环境保障等情况下，需要进行应急或补救性道路清洗时，需向行业主管部门报告，经批准后实施。</w:t>
      </w:r>
    </w:p>
    <w:p w14:paraId="2AF79E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①</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根据污染情况、作业时限、作业数量和质量要求，确定作业方式、作业机械设备种类和数量，并统一集中调度，以便在规定的时间内保质保量完成清洗作业。</w:t>
      </w:r>
    </w:p>
    <w:p w14:paraId="65CDF9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②</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作业前，应先在来车方向 100 米处放置安全锥筒或其它合适的警示标志，以保证作业安全和道路通行安全。</w:t>
      </w:r>
    </w:p>
    <w:p w14:paraId="2395AF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③</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渣土污染严重时，应先以人工方式铲除泥土，再用清洗车喷水浸泡和清洗路面污染，最后由洗扫车将污水污物收扫、吸干、运走。</w:t>
      </w:r>
    </w:p>
    <w:p w14:paraId="6E7648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汉仪书宋二S" w:hAnsi="汉仪书宋二S" w:eastAsia="汉仪书宋二S" w:cs="汉仪书宋二S"/>
          <w:i w:val="0"/>
          <w:caps w:val="0"/>
          <w:color w:val="000000"/>
          <w:spacing w:val="0"/>
          <w:kern w:val="0"/>
          <w:sz w:val="28"/>
          <w:szCs w:val="28"/>
          <w:highlight w:val="none"/>
          <w:shd w:val="clear" w:color="auto" w:fill="FFFFFF"/>
          <w:lang w:val="en-US" w:eastAsia="zh-CN" w:bidi="ar"/>
        </w:rPr>
        <w:t>④</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油污、颜料、涂料等污染路面，应先在污染路面铺撒干沙，人工清扫让干沙充分吸污；污染严重时，应多次更换干沙，人工反复搓扫路面，让干沙充分吸收污物，再将污沙运走清除；然后用高压清洗车清洗受污染路面，最后由洗扫车将污水污物收扫、吸干、运走。</w:t>
      </w:r>
    </w:p>
    <w:p w14:paraId="2425C0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3.作业频次：</w:t>
      </w:r>
    </w:p>
    <w:p w14:paraId="064C1F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（1）冲洗除尘作业频次应根据路面尘土量、天气情况和空气质量确定。春夏季夜间作业时一级道路每周晚间冲洗5次以上；二级和三级道路每周晚间冲洗道路 3次以上；建筑垃圾清运通道每晚冲洗道路 2 次以上；人行道每周白天冲洗2次以上；集贸市场、早（夜）市及人流量较大区域的周边道路及人行道宜适当增加作业频次。秋冬季作业时对有大型货运车辆经过的道路每天白天最多可开展2次冲洗除尘作业，其它路段每两天开展1次道路冲洗除尘作业。</w:t>
      </w:r>
    </w:p>
    <w:p w14:paraId="2721DC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（2）道路两侧下水井口周边油渍及其它污染物冲洗，应采用小型高压高温冲洗设备，做到“即见即洗”。</w:t>
      </w:r>
    </w:p>
    <w:p w14:paraId="144600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三、道路清扫保洁作业车辆管理</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486873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（一）车容车貌要求</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370B3D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1.始终保持车容整洁，专用标志清晰、完整，专用设备、警示灯和指示板灵敏有效、无残缺，车尾应有反光标志（或加贴反光膜）。</w:t>
      </w:r>
    </w:p>
    <w:p w14:paraId="5D8480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2.出车前应对汽车玻璃、车身、轮胎外表进行全面擦拭，车体应干净整洁，无积灰积尘和杂物，车体外观无明显破损，非垃圾接触部位应无污渍、见本色。</w:t>
      </w:r>
    </w:p>
    <w:p w14:paraId="443926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3.作业时应保持车身无牵挂，车厢密封、遮盖良好，无垃圾外露、污水外溢等现象；垃圾接触部位，应保持视觉范围内无污物和明显污渍、无垃圾杂物暴露。</w:t>
      </w:r>
    </w:p>
    <w:p w14:paraId="56690F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4.回场后应及时进行彻底清洗，并将清洗出的垃圾污物投放至指定容器，保持车辆清洗场地清洁，保证车体和车辆轮胎干净无污物，做到脏车不过夜。</w:t>
      </w:r>
    </w:p>
    <w:p w14:paraId="6C8045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5.车辆清洗完毕应做好例行保养工作，认真填写路单、例保簿、仔细检查车容车况，若发现故障，应及时填写小修记录单，最后将车辆按规定位置停放好。</w:t>
      </w:r>
    </w:p>
    <w:p w14:paraId="7C2100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6.车辆驾驶室内应干净整洁，并应按照交通法规要求，正确张贴审验标志，不乱张贴、放置其他与工作无关的物品。</w:t>
      </w:r>
    </w:p>
    <w:p w14:paraId="3BD9B8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7.车辆定期检查、按时维保，确保关键部件（作业部件、密封件、防滴漏件、警示灯、反光条、环卫标识、灭火器、应急锥筒）配件齐全，外观和功能完好，出现故障、破损、缺失后原则上 72 小时内完成修复更新。各区环卫作业车辆完好率应保持在 85%以上。</w:t>
      </w:r>
    </w:p>
    <w:p w14:paraId="480C17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（二）维护保养要求</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2F1DD9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1.车辆完成作业后，必须停放至指定的场所，非工作需要不得动用。停车场地要有固定值班室，由专人看管，负责车辆停放后的安全保卫工作。 </w:t>
      </w:r>
    </w:p>
    <w:p w14:paraId="4DD415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2.车辆驾驶员应按车辆技术要求做好日常检查工作，做好车容车况检查，确保车辆性能完好和车容整洁。</w:t>
      </w:r>
    </w:p>
    <w:p w14:paraId="193913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车辆驾驶员应认真执行车辆一、二级维护保养制度，严格落实出车前检查、途中检查和回停车场后的保养工作，具体检查全车水、电、油、气有无滴、漏现象，清洗车辆外表和垃圾箱内外，加注各润滑点位润滑油。</w:t>
      </w:r>
    </w:p>
    <w:p w14:paraId="25AC36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4.做好每天车辆出车前、作业过程中和车辆回场后的车辆检查工作，确保环卫车辆安全行车，正常作业。</w:t>
      </w:r>
    </w:p>
    <w:p w14:paraId="004DA6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（三）车辆操作要求</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66F85B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1.应对机械化清扫保洁车辆进行定车、定员、定时、定路段管理，在遵守交规和保证安全、文明作业、文明行车前提下，完成当日清洗保洁任务。</w:t>
      </w:r>
    </w:p>
    <w:p w14:paraId="2467ED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2.出车前，驾驶员应做好车辆检查，特别是对油泵、扫刷、喷水嘴要调整适当，确保车况良好、操作规范、文明行车、文明作业、按规定线路和时间作业。</w:t>
      </w:r>
    </w:p>
    <w:p w14:paraId="48730C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3.清扫保洁作业时，操作人员应按如下要求运行作业车辆：</w:t>
      </w:r>
    </w:p>
    <w:p w14:paraId="42706A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（1）打开警示灯、应急灯（大车）、鸣放提示音乐（区县播放：《东方红》，开发区播放《歌唱祖国》）。22:00 时至次日 7:00 时，只开启警示灯、应急灯，暂停播放提示音乐或调低提示音乐音量，避免噪音扰民。</w:t>
      </w:r>
    </w:p>
    <w:p w14:paraId="29581A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（2）遇前方有车辆、行人时，注意及时避让。中、高考等重要考试期间，洒水车途经考场周边道路时应及时关闭洒水提示音乐。</w:t>
      </w:r>
    </w:p>
    <w:p w14:paraId="5CA512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（3）根据路面污染程度、清扫保洁对象和作业条件，设定发动机转速、喷水、扫刷、风机等装置的初始状态，开启喷水降尘设备湿法作业，作业运行速度清扫保洁车辆不超过 8 公里/小时、高压清洗车辆不超过 15 公里/小时；作业时，使用高压小流量清洗，不得使用低压大流量冲水。</w:t>
      </w:r>
    </w:p>
    <w:p w14:paraId="3A0F64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洗扫车主刷落地高度一般降至刷苗稍压地面为宜，吸盘箱调整到紧贴路面的位置，做到道牙根无浮土、无污物，作业过程不扬尘、不漏土、不扰民。扫刷、吸嘴胶轮磨损后要及时调整或更换，经常保持正常的扫刷触地压力和吸嘴离地间隙。 </w:t>
      </w:r>
    </w:p>
    <w:p w14:paraId="69EABD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（5）及时调整喷头位置与水压，保证路面清洗和洒水效果，保证不溅污、不扰民。涉水车辆要到指定地点加注水，并注意节约用水。</w:t>
      </w:r>
    </w:p>
    <w:p w14:paraId="2FD8C8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（6）遇到大块物（如砖块）、大面积垃圾（如纸板）、长树枝等杂物时，先用人工将其清除；遇见较大的障碍物或凹坑时不可强行通过，以免损坏机件。</w:t>
      </w:r>
    </w:p>
    <w:p w14:paraId="0F269D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（7）作业质量、效果下降或出现异常情况，应及时停机检查。 </w:t>
      </w:r>
    </w:p>
    <w:p w14:paraId="367B9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4.完成作业任务后，应按如下要求进行操作和管理： </w:t>
      </w:r>
    </w:p>
    <w:p w14:paraId="4EF671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（1）按规定的线路及时清收清洗保洁垃圾，并将垃圾运送指定的生活垃圾收集点，做到工完场清。</w:t>
      </w:r>
    </w:p>
    <w:p w14:paraId="39F2F1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（2）不得往绿地花坛倾倒垃圾，不得将垃圾、泥沙扫入下水道进水篦，不堵塞下水道井眼。</w:t>
      </w:r>
    </w:p>
    <w:p w14:paraId="239170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（3）将作业车辆停放至指定场所，并进行清理和清洗，保持车容车貌。</w:t>
      </w:r>
    </w:p>
    <w:p w14:paraId="0BDF10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（4）对车辆进行全面的维护保养，及时消除故障隐患，保证车辆出勤率，提高作业效率与质量。</w:t>
      </w:r>
    </w:p>
    <w:p w14:paraId="581C4B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5.恶劣天气情况下（五级以上大风及大雨、下雪），应暂停机械冲洗保洁作业。气温 4℃及以下应暂停涉水保洁作业。</w:t>
      </w:r>
    </w:p>
    <w:p w14:paraId="230F1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6.遇有重大保障活动和道路突发污染事故，各类作业车辆应迅速到位，在交管部门的配合下于清理点位来车方向100米处设置路面警示标志，并有效配合其他人员和车辆快速处置，确保路面的干净整洁。</w:t>
      </w:r>
    </w:p>
    <w:p w14:paraId="760779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7.作业车辆涉水作业时，遇电线、电器应压低水头或调近喷射距离，避免水溅电线造成安全事故。</w:t>
      </w:r>
    </w:p>
    <w:p w14:paraId="5FCF01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（四）新能源车辆操作</w:t>
      </w:r>
    </w:p>
    <w:p w14:paraId="30A4A0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1.检修、维护高压部分维保人员必须取得行业主管部门颁发的电工作业许可证并由厂家培训合格后方可上岗。整车携带高压部分，非专业人员禁止拆卸、打开，防止漏电造成人身伤害。</w:t>
      </w:r>
    </w:p>
    <w:p w14:paraId="067E18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2.严禁用水冲洗驱动电机、控制器、电池箱等高低压电器，以免器件损坏或发生触电危险。涉水行车时，路面积水深度应不超过电机下表面，控制车速不超过 10km/h。</w:t>
      </w:r>
    </w:p>
    <w:p w14:paraId="79ED98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3.充电作业由指定的专人进行，上岗前需培训。动力电池电量满足里程需求，回到充电站后不低于 20%，防止因电量不足导致抛锚。</w:t>
      </w:r>
    </w:p>
    <w:p w14:paraId="61AFD4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4.行驶中尽量匀速驾驶，避免急加减速，多采用预见性制动。合理控制车辆行驶速度，控制最高车速，保证电机运转在高效区或高效区附近。</w:t>
      </w:r>
    </w:p>
    <w:p w14:paraId="6236DE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5.当车辆出现电机高温或故障时，应降低车辆动力输出，降低车速，报修处理。</w:t>
      </w:r>
    </w:p>
    <w:p w14:paraId="63ACE5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6.当车辆需要拖车时，必须将传动轴或半轴拆掉，防止拖车过程中电机旋转发电，导致集成式电机控制器损坏。</w:t>
      </w:r>
    </w:p>
    <w:p w14:paraId="7A9BEC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7.车辆停放区域要远离热源和易燃、易爆等危险区域，不得停放在低洼的地方，防止下雨积水浸泡车辆导致车辆损坏。</w:t>
      </w:r>
    </w:p>
    <w:p w14:paraId="1E6B0F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8.车辆若长期存放超 1 个月，为防止纯电动车辆动力蓄电池活性降低，甚至导致动力蓄电池报废，应每间隔一个月充、放电维护一次。</w:t>
      </w:r>
    </w:p>
    <w:p w14:paraId="7370C0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四、公共厕所清扫保洁</w:t>
      </w:r>
    </w:p>
    <w:p w14:paraId="62D181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仿宋_GB2312" w:hAnsi="仿宋_GB2312" w:eastAsia="仿宋_GB2312" w:cs="仿宋_GB2312"/>
          <w:b/>
          <w:bCs/>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（一）公共厕所基本要求</w:t>
      </w:r>
    </w:p>
    <w:p w14:paraId="1AE3FC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1.公共厕所应按规定的时间准时免费开放：</w:t>
      </w:r>
    </w:p>
    <w:p w14:paraId="04F5FC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（1）火车站或高铁站、汽车站周边和其他全天候对外开放的窗口地带以及人流量较大的区域，公厕应实行 24 小时全天候开放、全天候保洁。</w:t>
      </w:r>
    </w:p>
    <w:p w14:paraId="7DC583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（2）其它沿街公厕开放时间应实行 16 小时开放和保洁，视情况可为 5:00-21:00 或 6:00-22:00。</w:t>
      </w:r>
    </w:p>
    <w:p w14:paraId="6F5A6B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（3）景区、社区、商场或相关单位内部对外开放的公厕，应根据所在场所开放时间、使用需求和时令季节变化等情况，适时调整开放时间。</w:t>
      </w:r>
    </w:p>
    <w:p w14:paraId="4BB91C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2.城市化区域公厕应至少按照“一厕一人”专人负责制配置公厕管理人员，在此基础上应按照 8 小时/班次要求配备公厕管理人员，即 24 小时开放的定员 3 人，16 小时开放的定员 2 人，厕位较多的应按 10 个厕位配备一名公厕管理人员。定员 2 人及以上的公厕，应同时配备男性和女性公厕管理人员，方便清洁男女厕。</w:t>
      </w:r>
    </w:p>
    <w:p w14:paraId="2704B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3.公共厕所应按相关标准设置指示和标识标志牌： </w:t>
      </w:r>
    </w:p>
    <w:p w14:paraId="3E621A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（1）在公共厕所周边50m-200m半径内的不同方向道路上，可按照“多杆合一”要求，各设置不少于2块指向牌，优先在岔路口设置，指示距离误差不超过±20米。</w:t>
      </w:r>
    </w:p>
    <w:p w14:paraId="165868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（2）在厕外醒目位置公示厕所编号、开放时间，在厕内醒目位置公示厕所管理制度、类别（一、二、三类，固定式或移动式）、管理单位名称、厕管人员名称和照片、监督投诉电话、文明如厕公约等信息。</w:t>
      </w:r>
    </w:p>
    <w:p w14:paraId="6F0883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（3）厕内应设置规范、醒目的男厕、女厕、残疾人、母婴、老年人等各类标识牌，注意阶梯、小心地滑等安全提示，文明如厕、禁止吸烟等文明提示，不得使用涂写、刻画等非正规标识牌形式。</w:t>
      </w:r>
    </w:p>
    <w:p w14:paraId="19CC78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（4）除残疾人间外，应在一定数量的蹲位内设置老年扶手，并在蹲位门上设置醒目的提示标识。</w:t>
      </w:r>
    </w:p>
    <w:p w14:paraId="3DEEA6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4.公共厕所各类附属设施完好、整洁，做到自来水通、照明电路通、排污管道通，在清扫保洁作业时必须悬挂作业提示牌。 </w:t>
      </w:r>
    </w:p>
    <w:p w14:paraId="558BBE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内管线要定时检修，并保持干净完好；内外部照明灯具、标志、洗手器具、面镜、挂衣钩、烘手机、冲水设备无损伤；化粪池窨井盖丢失或损坏应及时补充维修，确保正常使用。公共厕所维修维护时，应悬挂提示标牌。</w:t>
      </w:r>
    </w:p>
    <w:p w14:paraId="24C30A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6.定期开展化粪池清掏、疏通作业，每个化粪池每年至少清掏二次，并根据管道堵塞情况随时开展清掏，减少化粪池内的杂物、粪渣和沼气浓度，确保无粪便外溢：</w:t>
      </w:r>
    </w:p>
    <w:p w14:paraId="44AEC9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（1）由专业队伍进行清掏作业，做好必要防护措施，确保作业安全。</w:t>
      </w:r>
    </w:p>
    <w:p w14:paraId="527C21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（2）粪便收集和运输设备应具备良好密封性，确保无滴漏、无异味外泄。</w:t>
      </w:r>
    </w:p>
    <w:p w14:paraId="1E17E1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（3）粪便清理时应保持作业场地清洁、无粪污遗撒。贮（化）粪池清掏作业结束后，应盖严清掏口并及时清理场地和清掏工具。</w:t>
      </w:r>
    </w:p>
    <w:p w14:paraId="402A59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（4）对清掏产生的粪渣进行无害化处理或回收利用，避免造成环境污染。</w:t>
      </w:r>
    </w:p>
    <w:p w14:paraId="1B4CED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（5）化粪池盖上应有“内有沼气、勿扔烟头、避免明火”等安全警示标识。 </w:t>
      </w:r>
    </w:p>
    <w:p w14:paraId="0755FE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7.应确保在雨雪天气下内部地面干净、防滑，并注意保持通风设施运转良好，防止恶臭气体或易燃易爆气体聚集，保障如厕人员不会因此而发生意外伤害事件。 </w:t>
      </w:r>
    </w:p>
    <w:p w14:paraId="4F5E11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8.公厕管理人员不得擅自接水接电，应保证内部照明设施完好和照明强度足够，并应保持管理室内通风透气，确保清扫保洁和管理人员的人身安全。</w:t>
      </w:r>
    </w:p>
    <w:p w14:paraId="48341C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9.公厕管理人员在公厕开放时间内不得无故离岗，确有正规原因必须离岗的，应在厕内公示离岗时间，且全天一般不得超过 1 小时。 </w:t>
      </w:r>
    </w:p>
    <w:p w14:paraId="40530A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10.公厕内应设置保洁服务日志，清扫保洁、设施排查、设施维护、病媒防治、化粪池清掏等工作均做好记录，随时备查。</w:t>
      </w:r>
    </w:p>
    <w:p w14:paraId="41DF04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11.公厕不得无故关闭封停，确因施工维修、待拆迁等原因需要封闭的，应在厕外醒目位置公示关闭理由及重新开放时间。</w:t>
      </w:r>
    </w:p>
    <w:p w14:paraId="259861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b/>
          <w:bCs/>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（二）公共厕所清扫保洁作业要求</w:t>
      </w:r>
    </w:p>
    <w:p w14:paraId="3BEF2B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1.公厕管理人员应每天在公厕开放前至少 10 分钟到岗，穿戴专门工作服、佩带胸牌，检查公厕内用水、用电、排水设施，对厕内及周边环境、大小便池、纸篓和垃圾容器等部位进行一次全面清理，确保干净、整洁、有序。发现设施缺失、破损、故障、管道堵塞，应在第一时间记录、上报和处置。</w:t>
      </w:r>
    </w:p>
    <w:p w14:paraId="08BFE6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2.公厕管理人员在每天上下班高峰时段来临前（早 7:00 前、晚 17:00前），对公厕内外责任区域进行一次全面清扫保洁。人流量较大期间，巡回保洁频次一般不超过 15 分钟；其他时段厕内巡回保洁频次一般不超过半小时，随时保持厕内外环境卫生达标。非 24 小时开放的公厕，公厕管理人员在夜间下班前应严格按照：备、冲、倒、洗、擦、拖、补、喷程序结束全天工作，关闭大门、窗户及其他通电、通水设备。</w:t>
      </w:r>
    </w:p>
    <w:p w14:paraId="706489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3.清扫保洁作业时，按以下流程和要求进行：</w:t>
      </w:r>
    </w:p>
    <w:p w14:paraId="1699A1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（1）设置清扫保洁作业提示标志；地面清扫保洁后，应设置防滑标志。</w:t>
      </w:r>
    </w:p>
    <w:p w14:paraId="0E64AD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（2）依次涮洗便坑、马桶，做到便池无碱迹、痰迹，便器里外干净；用清洁剂刷洗面盆、云台表面，重点涮洗内侧壁，不留污渍、污迹；再把地面、蹲板积水清扫干净。</w:t>
      </w:r>
    </w:p>
    <w:p w14:paraId="658822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（3）用消毒液消毒面盆、马桶盖、马桶内壁，并保持马桶盖及座圈干燥卫生。</w:t>
      </w:r>
    </w:p>
    <w:p w14:paraId="511FD9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（4）用固定抹布擦拭手可触及墙、门隔板、墙上设备（应急灯、洗手液箱、烘干器等表面）。 </w:t>
      </w:r>
    </w:p>
    <w:p w14:paraId="0D750B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（5）不得用水冲墙壁、窗纱和门等，应用干抹布擦拭干净，直到用手摸窗台、门窗等没有尘土为止。 </w:t>
      </w:r>
    </w:p>
    <w:p w14:paraId="1F9232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（6）雨、雪天气应在厕内主要通道和阶梯处铺设防滑地毯；冬季厕内气温4℃以下时，不得用水冲洗地面及阶梯，确保地面不打滑、不积水、不结冰；在醒目位置设置“注意地滑”、“注意阶梯”等警示标语。</w:t>
      </w:r>
    </w:p>
    <w:p w14:paraId="23CF21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（7）应每天对公共厕所进行全面消毒杀菌 1 次。消杀时应对公共厕所开放区域全面喷洒消毒药剂，每天检查箱内毒饵情况，及时更新补充。有效控制各类病媒及“四害”。</w:t>
      </w:r>
    </w:p>
    <w:p w14:paraId="730C4F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4.公厕管理人员应熟练使用厕所设备，并主动向如厕人员介绍公厕设备的正确使用方法。</w:t>
      </w:r>
    </w:p>
    <w:p w14:paraId="06F672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5.公厕管理人员进入异性厕所前，必须问清楚厕所内是否有人使用，确定厕所无人使用时，再进入清扫保洁，并在门口放置“正在作业”提示牌。</w:t>
      </w:r>
    </w:p>
    <w:p w14:paraId="422E71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6.在清扫保洁作业进行时如有人用厕，不得把水溅洒到如厕人身上，避免与如厕人发生纠纷。</w:t>
      </w:r>
    </w:p>
    <w:p w14:paraId="7DC0C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公厕使用中，遇有管道堵塞、粪井满溢、设施损坏（老年扶手、脚踏板、蹲坑、座盆、门窗纱、井口、井盖、井圈、厕牌、宣传牌、瓷砖等）及水电问题，应及时上报有关部门，做到当天任务当天完成并在最短时间内解决，避免影响市民如厕。</w:t>
      </w:r>
    </w:p>
    <w:p w14:paraId="5BB4AD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8.应定期擦拭公厕设置的各类标牌，保持其干净、整洁；管理间的清扫保洁工具应摆放有序、干净、整洁。</w:t>
      </w:r>
    </w:p>
    <w:p w14:paraId="47D8025B">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0"/>
          <w:szCs w:val="18"/>
          <w:highlight w:val="none"/>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（三）公共厕所清扫保洁质量要求</w:t>
      </w:r>
      <w:r>
        <w:rPr>
          <w:rFonts w:hint="eastAsia" w:ascii="楷体_GB2312" w:hAnsi="楷体_GB2312" w:eastAsia="楷体_GB2312" w:cs="楷体_GB2312"/>
          <w:b w:val="0"/>
          <w:bCs w:val="0"/>
          <w:color w:val="000000"/>
          <w:kern w:val="0"/>
          <w:sz w:val="24"/>
          <w:szCs w:val="24"/>
          <w:highlight w:val="none"/>
          <w:lang w:val="en-US" w:eastAsia="zh-CN" w:bidi="ar"/>
        </w:rPr>
        <w:t xml:space="preserve"> </w:t>
      </w:r>
    </w:p>
    <w:p w14:paraId="44C112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1.公共厕所内区域管理服务应达到以下要求：</w:t>
      </w:r>
    </w:p>
    <w:p w14:paraId="2D216D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（1）采光和通风条件应良好，按要求配置照明和排气除臭硬件设施，确保各类设施设备配置齐全、数量充足、效果良好、满足需要，厕内保持全天候无明显异味。</w:t>
      </w:r>
    </w:p>
    <w:p w14:paraId="26CA87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厕内地面、墙壁、天花板、门窗等部位，以及照明灯具、洗手台、面镜、隔板、冲水设备、灭蚊灯具、通风除臭设备及其他各类公厕硬件设施洁净且外观完好，无破损、锈迹、污垢、积尘、积水、蛛网、屎尿、废弃物，无乱涂写、乱刻画、乱张贴，无杂物乱堆放。</w:t>
      </w:r>
    </w:p>
    <w:p w14:paraId="189644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（3）大小便池及时冲洗，无屎尿等污物残留，无明显污渍污垢。</w:t>
      </w:r>
    </w:p>
    <w:p w14:paraId="5E531D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（4）纸篓和垃圾桶及时清理，无废弃物满溢。</w:t>
      </w:r>
    </w:p>
    <w:p w14:paraId="0D6CE6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（5）应配置厕位扶手、挂衣钩、置物架等服务设施，视条件提供厕纸、洗手液、烘手机、温水洗手、厕位引导等服务。</w:t>
      </w:r>
    </w:p>
    <w:p w14:paraId="14D7CA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（6）拖把、水桶、抹布、扫把等作业工具应放置或晾晒于专门的工具间、工具架，或其他厕内外隐蔽位置，确保不影响观瞻。厕内主要通道、洗手台、厕位内不得放置作业工具和其他影响观瞻及通行的物品。</w:t>
      </w:r>
    </w:p>
    <w:p w14:paraId="48E8B1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（7）基本无蚊蝇。</w:t>
      </w:r>
    </w:p>
    <w:p w14:paraId="3DCC65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2.公共厕所周边 5 米以内公共区域（含花坛绿化带）的管理应达到以下要求：</w:t>
      </w:r>
    </w:p>
    <w:p w14:paraId="6E1EF9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（1）无垃圾、粪便、污水、污迹、杂草、蚊蝇孳生地。</w:t>
      </w:r>
    </w:p>
    <w:p w14:paraId="0A5AEE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（2）无杂物乱堆放、厕管人员衣物乱晾晒。</w:t>
      </w:r>
    </w:p>
    <w:p w14:paraId="21697D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（3）保持道路清洁、畅通，贮粪池无满溢。</w:t>
      </w:r>
    </w:p>
    <w:p w14:paraId="2CF5E7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（4）无摆摊设点。</w:t>
      </w:r>
    </w:p>
    <w:p w14:paraId="7ED89E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五、其他环卫设施</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15375A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（一）果皮箱</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347E9A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1.作业标准：</w:t>
      </w:r>
    </w:p>
    <w:p w14:paraId="25942B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果皮箱内的垃圾日产日清，无满溢现象，投放口周边整洁，无垃圾悬挂；箱体周围地面无撒落存留垃圾、无陈旧油污，箱体无破损、无锈迹、无污垢、无污渍，外观干净整洁。</w:t>
      </w:r>
    </w:p>
    <w:p w14:paraId="786EFF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2.作业时间及频次：</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18BAE9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一、二级道路（区域）果皮箱应当每日内部清掏、外部保洁，清掏和保洁每日不少于4次，即07:00-09:00、12:00-14:00、17:00-19:00、21:00-23:00。公交站台、小饮食店、繁华商业区等人口密集区域，应增加清掏、保洁频次。</w:t>
      </w:r>
    </w:p>
    <w:p w14:paraId="19BC10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（2）三级道路（区域）果皮箱每日清掏和保洁不少于2次，即07:00-09:00、18:00-20:00；并根据箱体内垃圾存量随时清掏、保洁。</w:t>
      </w:r>
    </w:p>
    <w:p w14:paraId="28083C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b w:val="0"/>
          <w:bCs w:val="0"/>
          <w:i w:val="0"/>
          <w:caps w:val="0"/>
          <w:color w:val="000000"/>
          <w:spacing w:val="0"/>
          <w:kern w:val="0"/>
          <w:sz w:val="28"/>
          <w:szCs w:val="28"/>
          <w:highlight w:val="none"/>
          <w:shd w:val="clear" w:color="auto" w:fill="FFFFFF"/>
          <w:lang w:val="en-US" w:eastAsia="zh-CN" w:bidi="ar"/>
        </w:rPr>
        <w:t>3.作业方式：</w:t>
      </w:r>
      <w:r>
        <w:rPr>
          <w:rFonts w:hint="eastAsia" w:ascii="仿宋_GB2312" w:hAnsi="仿宋_GB2312" w:eastAsia="仿宋_GB2312" w:cs="仿宋_GB2312"/>
          <w:i w:val="0"/>
          <w:caps w:val="0"/>
          <w:color w:val="333333"/>
          <w:spacing w:val="0"/>
          <w:kern w:val="0"/>
          <w:sz w:val="22"/>
          <w:szCs w:val="22"/>
          <w:highlight w:val="none"/>
          <w:shd w:val="clear" w:color="auto" w:fill="FFFFFF"/>
          <w:lang w:val="en-US" w:eastAsia="zh-CN" w:bidi="ar"/>
        </w:rPr>
        <w:t> </w:t>
      </w:r>
    </w:p>
    <w:p w14:paraId="6187F6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（1）果皮箱箱门、箱体等整洁无缺损、内壁整洁、标识清晰、配置垃圾袋方便投放，箱内垃圾积存不超过投放口；箱周围地面整洁。</w:t>
      </w:r>
    </w:p>
    <w:p w14:paraId="5441D1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（2）果皮箱的内桶应套装专用垃圾袋，清掏时扎口连袋收运，禁止将零散垃圾直接倒入收集车内。</w:t>
      </w:r>
    </w:p>
    <w:p w14:paraId="67B289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（3）收集时应将可回收垃圾与其他垃圾进行分类分拣作业，对分类不正确的垃圾，进行二次分类后再行收集。</w:t>
      </w:r>
    </w:p>
    <w:p w14:paraId="1D659A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color w:val="333333"/>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（4）连袋清掏垃圾后内桶重新套装专用垃圾袋，须将重新套好垃圾袋的内桶复位并关闭箱门，再对箱体及地面进行保洁。</w:t>
      </w:r>
    </w:p>
    <w:p w14:paraId="0571A7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FF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（5）垃圾桶根据其形状、规格和尺寸，能够套袋的应套装垃圾袋，无法套袋的应将桶内及周边地面垃圾清理干净。</w:t>
      </w:r>
      <w:r>
        <w:rPr>
          <w:rFonts w:hint="eastAsia" w:ascii="仿宋_GB2312" w:hAnsi="仿宋_GB2312" w:eastAsia="仿宋_GB2312" w:cs="仿宋_GB2312"/>
          <w:i w:val="0"/>
          <w:caps w:val="0"/>
          <w:color w:val="FF0000"/>
          <w:spacing w:val="0"/>
          <w:kern w:val="0"/>
          <w:sz w:val="28"/>
          <w:szCs w:val="28"/>
          <w:highlight w:val="none"/>
          <w:shd w:val="clear" w:color="auto" w:fill="FFFFFF"/>
          <w:lang w:val="en-US" w:eastAsia="zh-CN" w:bidi="ar"/>
        </w:rPr>
        <w:t xml:space="preserve"> </w:t>
      </w:r>
    </w:p>
    <w:p w14:paraId="49F04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（二）环卫工具箱</w:t>
      </w:r>
    </w:p>
    <w:p w14:paraId="26725F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1.环卫工具箱保持外表完好、整洁，无破损和锈蚀，无乱涂写、乱张贴、乱刻画；箱体文字、图片、标识清晰；上表面清洁，无积尘、油迹、锈迹。</w:t>
      </w:r>
    </w:p>
    <w:p w14:paraId="09251E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2.保洁员工具箱常用尺寸为：长2.7*宽 0.5*高0.45m，也可根据需要定制尺寸。</w:t>
      </w:r>
    </w:p>
    <w:p w14:paraId="35DE57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3.保洁员工作箱应采用膨胀螺丝固定在地面上，以防被挪移，内部设箱体，用于储存物品和工具，侧面和正面都可以做门，需采用防盗锁。</w:t>
      </w:r>
    </w:p>
    <w:p w14:paraId="515A92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（三）环卫工人作息室</w:t>
      </w:r>
    </w:p>
    <w:p w14:paraId="767FBF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1.环卫工人休息室位置原则上应保持隐蔽，不应设置于主次干道交叉路口附近，且不应对车辆、行人通行产生影响。</w:t>
      </w:r>
    </w:p>
    <w:p w14:paraId="181F89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2.环卫工人休息室基本功能应齐全，满足环卫工人工间休息、更衣、纳凉、就餐，以及存放扫帚、铁锹、小扫帚、撮箕、拾捡器、小铲刀等清扫保洁作业工具需求，无人使用时应保持门、窗上锁。</w:t>
      </w:r>
    </w:p>
    <w:p w14:paraId="3192F5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3.环卫工人休息室应按要求配备灭火器等防火设施，小于50平方米，配备4kg的干粉灭火器不少于1具，并根据国家标准进行定期检测，确保灭火器在有效期内。</w:t>
      </w:r>
    </w:p>
    <w:p w14:paraId="01C6A8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4.无环卫工人休息室的路段，不得将工具摆放在人行道上，要将工具存放在隐蔽位置，并摆放整齐，不影响观瞻。</w:t>
      </w:r>
    </w:p>
    <w:p w14:paraId="43332F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环卫工人休息室内外应进行定期或不定期的清理，保持其内部及周边环境整洁、有序。禁止将作业工具随意摆放在环卫工人休息室外。存放在环卫工人休息室内的作业工具应定期进行清理、清洗、整饰，保持外观完好。</w:t>
      </w:r>
    </w:p>
    <w:p w14:paraId="76494CB6">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0"/>
          <w:szCs w:val="18"/>
          <w:highlight w:val="none"/>
        </w:rPr>
      </w:pPr>
      <w:r>
        <w:rPr>
          <w:rFonts w:hint="eastAsia" w:ascii="黑体" w:hAnsi="黑体" w:eastAsia="黑体" w:cs="黑体"/>
          <w:b w:val="0"/>
          <w:bCs w:val="0"/>
          <w:color w:val="000000"/>
          <w:kern w:val="0"/>
          <w:sz w:val="28"/>
          <w:szCs w:val="28"/>
          <w:highlight w:val="none"/>
          <w:lang w:val="en-US" w:eastAsia="zh-CN" w:bidi="ar"/>
        </w:rPr>
        <w:t>六、环卫作业人员管理</w:t>
      </w:r>
      <w:r>
        <w:rPr>
          <w:rFonts w:hint="eastAsia" w:ascii="仿宋_GB2312" w:hAnsi="仿宋_GB2312" w:eastAsia="仿宋_GB2312" w:cs="仿宋_GB2312"/>
          <w:b/>
          <w:bCs/>
          <w:color w:val="000000"/>
          <w:kern w:val="0"/>
          <w:sz w:val="24"/>
          <w:szCs w:val="24"/>
          <w:highlight w:val="none"/>
          <w:lang w:val="en-US" w:eastAsia="zh-CN" w:bidi="ar"/>
        </w:rPr>
        <w:t xml:space="preserve"> </w:t>
      </w:r>
    </w:p>
    <w:p w14:paraId="0FA0DF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（一）仪容仪表</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2A8C49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1.作业人员应统一着装，保持衣帽整齐，并佩戴工号牌，且有所属单位的明显标志、作业工种等标识。 </w:t>
      </w:r>
    </w:p>
    <w:p w14:paraId="7EAF2F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2.作业人员着装应满足以下要求：</w:t>
      </w:r>
    </w:p>
    <w:p w14:paraId="33E3FA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（1）工作帽帽沿应向正前方，不得歪戴帽。</w:t>
      </w:r>
    </w:p>
    <w:p w14:paraId="466A7D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（2）纽扣应扣齐，不得敞开外衣。</w:t>
      </w:r>
    </w:p>
    <w:p w14:paraId="6D6CE6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（3）非工作需要不得将衣袖、裤管卷起，作业时不得将衣服搭放在肩上。</w:t>
      </w:r>
    </w:p>
    <w:p w14:paraId="102A30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（4）统一佩带工作牌，工作牌应佩戴在左胸襟处。</w:t>
      </w:r>
    </w:p>
    <w:p w14:paraId="1C67C1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（5）非特殊情况不得穿背心、短裤、拖鞋、打赤脚作业。</w:t>
      </w:r>
    </w:p>
    <w:p w14:paraId="4728FE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（6）夜间和雾天作业时必须穿反光标志服（反光背心）；雨雪天气作业时应穿戴环卫标志雨衣，不允许打伞作业。</w:t>
      </w:r>
    </w:p>
    <w:p w14:paraId="49951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b w:val="0"/>
          <w:bCs w:val="0"/>
          <w:i w:val="0"/>
          <w:caps w:val="0"/>
          <w:color w:val="000000"/>
          <w:spacing w:val="0"/>
          <w:kern w:val="0"/>
          <w:sz w:val="28"/>
          <w:szCs w:val="28"/>
          <w:highlight w:val="none"/>
          <w:shd w:val="clear" w:color="auto" w:fill="FFFFFF"/>
          <w:lang w:val="en-US" w:eastAsia="zh-CN" w:bidi="ar"/>
        </w:rPr>
        <w:t>（二）文明作业</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2A54DD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1.服从领导与工作安排，相互支持、分工协作，发扬团队精神。</w:t>
      </w:r>
    </w:p>
    <w:p w14:paraId="28FECA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2.根据所辖路段的人流、车流情况，合理安排作业时间和方式，清扫机动车道中央分隔路面时要注意来往车辆，主动避开行人和车流高峰，以免发生意外。</w:t>
      </w:r>
    </w:p>
    <w:p w14:paraId="7114D9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3.上班时间不得与他人聊天，不得在岗上聚堆抽烟、吃零食；工作场合与他人同行时，不允许勾肩搭背，嬉戏打闹。</w:t>
      </w:r>
    </w:p>
    <w:p w14:paraId="0DFDDA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4.需要路人配合时，应使用“您好、请、对不起、让一让、谢谢”等文明用语，禁止使用“喂、走开点、让开”等命令式用语，尽量避免与路人发生矛盾。</w:t>
      </w:r>
    </w:p>
    <w:p w14:paraId="1C1EE0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5.清扫保洁作业时，作业人员行为要满足以下要求：</w:t>
      </w:r>
    </w:p>
    <w:p w14:paraId="4E4C78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（1）认真做好各自管辖区域内的清扫保洁工作，作业期间不得坐岗、串岗、擅自离岗。特殊情况下需离岗时，应与邻近保洁员做好交接，离岗时间不得超过 10 分钟。</w:t>
      </w:r>
    </w:p>
    <w:p w14:paraId="1F7E7B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（2）注意行人和来往车辆，压低扫帚，不扬尘、不溅污、不扰民，礼貌待人；遇乱吐、乱扔、乱倒等不文明行为，应以文明、礼貌用语提醒劝阻。</w:t>
      </w:r>
    </w:p>
    <w:p w14:paraId="0A135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（3）晨扫作业时，不得大声喧哗，以免影响居民休息。</w:t>
      </w:r>
    </w:p>
    <w:p w14:paraId="1B1C12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（4）完工后，应将工具堆放整齐、冲洗污水处理干净，不对行人、周边环境和市民生活造成影响。 </w:t>
      </w:r>
    </w:p>
    <w:p w14:paraId="4B7E89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6.机械作业时，作业人员行为应达到以下要求：</w:t>
      </w:r>
    </w:p>
    <w:p w14:paraId="137018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（1）文明行车，严格遵守冲、洒水规范，遇行人密集处要减速慢行，控制音量，减少扰民。</w:t>
      </w:r>
    </w:p>
    <w:p w14:paraId="786042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（2）夜间收集垃圾时，应对作业车辆做到轻停放、轻开关门、轻上垃圾，尽量减少噪音。 </w:t>
      </w:r>
    </w:p>
    <w:p w14:paraId="728540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（3）垃圾收集类车辆应外观干净整洁，不得有明显污渍、牵挂物，停放时应与道路呈平行方向；装载垃圾作业时，应避让行人视线。</w:t>
      </w:r>
    </w:p>
    <w:p w14:paraId="4A09FA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7.公厕清扫保洁时，应避让来宾，尊重宾客的隐私，严禁与如厕人发生争吵。</w:t>
      </w:r>
    </w:p>
    <w:p w14:paraId="2360CC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8.发现求助信号时，应及时给予帮助，并协助相关人员处理善后事宜。</w:t>
      </w:r>
    </w:p>
    <w:p w14:paraId="1645D8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9.必须服从各级管理人员的管理，不得殴打、辱骂管理人员。</w:t>
      </w:r>
    </w:p>
    <w:p w14:paraId="1DF126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七、重大节假日、大型活动环卫应急保障</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0735A0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（一）重大节假日</w:t>
      </w:r>
    </w:p>
    <w:p w14:paraId="03F610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主要是指国家规定的政治生活或民俗生活中的社会喜庆、休息（闲）的非工作日或非工作时段，如国庆节、五一国际劳动节、元旦、春节、元宵节、端午节、中秋节、清明节等。</w:t>
      </w:r>
    </w:p>
    <w:p w14:paraId="3596FF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（二）进一步提高重点时段、重点地带的作业质量</w:t>
      </w:r>
    </w:p>
    <w:p w14:paraId="71325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1.主次干道全天候保持无暴露垃圾，保洁质量良好；无明显灰带，无渣土污染；容器清洁，随满随清；作业车辆整洁。</w:t>
      </w:r>
    </w:p>
    <w:p w14:paraId="661E4E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2.背街小巷内无暴露垃圾，垃圾点及时清运，保洁质量良好，容器整洁。</w:t>
      </w:r>
    </w:p>
    <w:p w14:paraId="615255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3.主次干道两侧公厕全天候管理人员值守，随时清洗，保持内外卫生整洁。</w:t>
      </w:r>
    </w:p>
    <w:p w14:paraId="728892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4.重大节假日道路环境保障按以下工作流程进行：</w:t>
      </w:r>
    </w:p>
    <w:p w14:paraId="3AC3F9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（1）普扫完成以后，进入全天候动态保洁阶段；洗扫车全天候于立交桥、主干道上作业；保洁人员不间断满覆盖作业；清运车辆高频率运转，保持随产随清。</w:t>
      </w:r>
    </w:p>
    <w:p w14:paraId="1F2F92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（2）在非冬季节日里，洒水车上、下午各喷洒主干道一次。 </w:t>
      </w:r>
    </w:p>
    <w:p w14:paraId="58102E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（3）遇突发污染，高压冲洗车与人工配合及时清洗。</w:t>
      </w:r>
    </w:p>
    <w:p w14:paraId="6C9B46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（4）公厕由值守管理人员动态清洁，保持厕内外卫生整洁。</w:t>
      </w:r>
    </w:p>
    <w:p w14:paraId="352318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（5）每个节假日之前，各责任单位对各自的作业车辆、容器进行一次彻底的清洗。 </w:t>
      </w:r>
    </w:p>
    <w:p w14:paraId="54DBBD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5.重大节假日道路环境保障应达到以下要求：</w:t>
      </w:r>
    </w:p>
    <w:p w14:paraId="344CC8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（1）增加保洁作业人员、清运车辆及技术人员配备，增加白天洗扫车或高压冲洗车值班作业，确保节日保障效果。</w:t>
      </w:r>
    </w:p>
    <w:p w14:paraId="70945D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（2）各保障单位应组织节日应急保障队伍（以正常工作人员的10%配备），保持车辆及设备状况良好，以保证应对突发情况。</w:t>
      </w:r>
    </w:p>
    <w:p w14:paraId="52C304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（3）公共厕所管理部门还应配备技术人员、作业车辆及相关设备，确保公共厕所正常使用，在人流密集区域，增加移动公厕数量。</w:t>
      </w:r>
    </w:p>
    <w:p w14:paraId="56FEAB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（4）繁华路段、行人高峰时段、居民密集区实行重点保障，确保关键环节与薄弱环节环境卫生管理质量达标。</w:t>
      </w:r>
    </w:p>
    <w:p w14:paraId="3EEC59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（5）各责任单位领导要带头值班、带班，电台或其他通讯设施通畅，做好全程合理调度与机动应急处理。</w:t>
      </w:r>
    </w:p>
    <w:p w14:paraId="7B708B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黑体" w:hAnsi="黑体" w:eastAsia="黑体" w:cs="黑体"/>
          <w:i w:val="0"/>
          <w:caps w:val="0"/>
          <w:color w:val="000000"/>
          <w:spacing w:val="0"/>
          <w:kern w:val="0"/>
          <w:sz w:val="28"/>
          <w:szCs w:val="28"/>
          <w:highlight w:val="none"/>
          <w:shd w:val="clear" w:color="auto" w:fill="FFFFFF"/>
          <w:lang w:val="en-US" w:eastAsia="zh-CN" w:bidi="ar"/>
        </w:rPr>
        <w:t>八、重大自然灾害及特殊天气环卫应急保障</w:t>
      </w:r>
    </w:p>
    <w:p w14:paraId="054900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（一）地震受灾环卫公厕应急保障作业基本要求</w:t>
      </w:r>
    </w:p>
    <w:p w14:paraId="3DAC34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1.及时对公共厕所和化粪池进行逐个检查，彻底清扫、消毒、清掏粪液，防止粪便持续渗漏及外溢，污染环境和水源。</w:t>
      </w:r>
    </w:p>
    <w:p w14:paraId="646B7D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在公共厕所严重受损及污水管网、粪便排放与处理设施不完善，或者严重受损的地区，以及在灾民聚集点，选择合适地点、合理布局，搭建临时公共厕所，并每日对厕所内部四壁、地面、便器等用10%漂白粉溶液喷洒消毒，同时喷洒灭蚊蝇药物，保持厕所内清洁卫生、无蛆蝇孳生。</w:t>
      </w:r>
    </w:p>
    <w:p w14:paraId="5DB38B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按收运距离每50-70km配备1辆收运车进行粪便清运。粪便清运工具每日完成作业后，应进行冲洗和消毒处理。清运的粪便优先进入无害化处理设施或临时应急处理设施处置，并达到基本杀灭粪便中的病原菌和寄生虫卵的要求，避免居民区空气、土壤、水源的污染。粪便清运人员工作时穿隔离衣裤、长筒胶鞋，戴手套、口罩，并应对个人防护用品进行定期消毒处理。</w:t>
      </w:r>
    </w:p>
    <w:p w14:paraId="041205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（二）暴雨洪水环卫作业应急保障基本要求</w:t>
      </w:r>
    </w:p>
    <w:p w14:paraId="0E4FCB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1.参与西安市政府组织的抗洪救灾工作，做好环境卫生紧急整治和控管工作。</w:t>
      </w:r>
    </w:p>
    <w:p w14:paraId="196084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2.暴雨过后，及时清除马路上的积水、淤泥、残渣、漂浮物等，垃圾车要加速加班转运，保证垃圾不在市内过夜。</w:t>
      </w:r>
    </w:p>
    <w:p w14:paraId="442FC0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3.遇到特大暴雨洪水灾害时，环卫工人要及时清除紧急避难场所及周边的垃圾，并配合做好防疫消毒工作。</w:t>
      </w:r>
    </w:p>
    <w:p w14:paraId="042862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4.洪灾过后，环卫工人应及时清理干净市民撤离后遗留的生活垃圾，做好环境卫生工作。 </w:t>
      </w:r>
    </w:p>
    <w:p w14:paraId="050CC1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（三）大雾天气环卫应急保障作业基本要求</w:t>
      </w:r>
    </w:p>
    <w:p w14:paraId="05ADFD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1.建立预警机制，提前掌握天气预报信息，做好安全防范与应急的各项准备工作。</w:t>
      </w:r>
    </w:p>
    <w:p w14:paraId="04EFC3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2.清扫保洁作业时间段内出现大雾天气，只对人行道进行清扫保洁，待大雾散后再对车行道实施清扫保洁。</w:t>
      </w:r>
    </w:p>
    <w:p w14:paraId="7278A2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3.环卫工人应着反光标志服上岗，严禁在机动车道上作业；雾散后，在机动车道上作业应采取安全防护措施（安全警示牌、专人疏导车辆维护现场）。</w:t>
      </w:r>
    </w:p>
    <w:p w14:paraId="45CE30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（四）大风天气应急环卫作业保障基本要求</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26E096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1.道路路面在秋冬大风季节会出现大面积、大量落叶与扬尘等，应及时进行清除。</w:t>
      </w:r>
    </w:p>
    <w:p w14:paraId="0BD33A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2.进入秋季后，各环卫作业单位指定专人密切关注天气变化，提前做好应急人员及车辆的安排、部署。</w:t>
      </w:r>
    </w:p>
    <w:p w14:paraId="177FCB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3.重大活动、灾害性天气的落叶处置实行市城管部门总体调度，其他情况下由各区城管部门或保洁企业负责人现场调度。</w:t>
      </w:r>
    </w:p>
    <w:p w14:paraId="19D7D1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sz w:val="20"/>
          <w:szCs w:val="18"/>
          <w:highlight w:val="none"/>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4.采取洗扫车或吸尘车为主、人工为辅的作业办法清除落叶。遇有重大保障活动，应提前 1 小时完成清除落叶工作；遇有一般性保障活动，应提前半小时完成清除落叶工作。</w:t>
      </w:r>
    </w:p>
    <w:p w14:paraId="4811AE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楷体_GB2312" w:hAnsi="楷体_GB2312" w:eastAsia="楷体_GB2312" w:cs="楷体_GB2312"/>
          <w:i w:val="0"/>
          <w:caps w:val="0"/>
          <w:color w:val="000000"/>
          <w:spacing w:val="0"/>
          <w:kern w:val="0"/>
          <w:sz w:val="28"/>
          <w:szCs w:val="28"/>
          <w:highlight w:val="none"/>
          <w:shd w:val="clear" w:color="auto" w:fill="FFFFFF"/>
          <w:lang w:val="en-US" w:eastAsia="zh-CN" w:bidi="ar"/>
        </w:rPr>
        <w:t>（五）道路扫雪除冰应急保障基本要求</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 </w:t>
      </w:r>
    </w:p>
    <w:p w14:paraId="367209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1.入冬前应根据有关规定，做好扫雪除冰的技术准备工作和应急预案，建立扫雪除冰作业指挥调度、网络系统，实行信息化管理，做好扫雪除冰机械设备的维修、保养和调试，机械设备完好率应大于90%。 </w:t>
      </w:r>
    </w:p>
    <w:p w14:paraId="338041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2.根据道路的重要程度、交通流量、地理位置编排设计作业程序，并应以机械作业为主、人工作业为辅，合理使用环保型融雪剂，保护环境。</w:t>
      </w:r>
    </w:p>
    <w:p w14:paraId="3F04EB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3.雨加雪时，应采用直接清扫的方法，将路面积雪、积水清扫干净，避免路面结冰。</w:t>
      </w:r>
    </w:p>
    <w:p w14:paraId="1DCF30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4.扫雪除冰作业应做好行人、车辆的疏导和安全工作，作业人员应穿警示防护服。临时占道扫雪除冰作业时，应在作业路段设置符合交通标志要求的警示标志。 </w:t>
      </w:r>
    </w:p>
    <w:p w14:paraId="7B8F9E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5.环保型融雪剂的选择与使用应达到以下要求： </w:t>
      </w:r>
    </w:p>
    <w:p w14:paraId="06CB25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（1）重要交通枢纽（含立交桥、高架桥和坡道）根据雪情预报，在降雪前、初时撒（洒）少量环保型融雪剂。</w:t>
      </w:r>
    </w:p>
    <w:p w14:paraId="5701D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（2）环保型融雪剂使用时，应根据环境温度、积雪量选择种类，并严格控制施撒（洒）量。气温高于-5℃时，下雪前在引桥、立交桥等有坡度的道路上预施撒（洒）颗粒状环保型融雪剂的剂量不应大于10g/</w:t>
      </w:r>
      <w:r>
        <w:rPr>
          <w:rFonts w:hint="eastAsia" w:ascii="仿宋_GB2312" w:hAnsi="仿宋_GB2312" w:eastAsia="仿宋_GB2312" w:cs="仿宋_GB2312"/>
          <w:i w:val="0"/>
          <w:caps w:val="0"/>
          <w:color w:val="000000"/>
          <w:spacing w:val="0"/>
          <w:kern w:val="0"/>
          <w:sz w:val="24"/>
          <w:szCs w:val="24"/>
          <w:highlight w:val="none"/>
          <w:shd w:val="clear" w:color="auto" w:fill="FFFFFF"/>
          <w:lang w:val="en-US" w:eastAsia="zh-CN" w:bidi="ar"/>
        </w:rPr>
        <w:t>㎡</w:t>
      </w: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中雪、大雪应先进行积雪清除，再根据路面剩余雪量，按规定使用量施撒（洒）环保型融雪剂；零星小雪和路面薄冰，可采取直接施撒（洒）环保型融雪剂的方式作业，人行便道交通设施不应使用氯化物类融雪剂。</w:t>
      </w:r>
    </w:p>
    <w:p w14:paraId="6E2CED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1"/>
        <w:jc w:val="both"/>
        <w:textAlignment w:val="auto"/>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pPr>
      <w:r>
        <w:rPr>
          <w:rFonts w:hint="eastAsia" w:ascii="仿宋_GB2312" w:hAnsi="仿宋_GB2312" w:eastAsia="仿宋_GB2312" w:cs="仿宋_GB2312"/>
          <w:i w:val="0"/>
          <w:caps w:val="0"/>
          <w:color w:val="000000"/>
          <w:spacing w:val="0"/>
          <w:kern w:val="0"/>
          <w:sz w:val="28"/>
          <w:szCs w:val="28"/>
          <w:highlight w:val="none"/>
          <w:shd w:val="clear" w:color="auto" w:fill="FFFFFF"/>
          <w:lang w:val="en-US" w:eastAsia="zh-CN" w:bidi="ar"/>
        </w:rPr>
        <w:t xml:space="preserve">（3）不含融雪剂的积雪，因地制宜就地处理；含有融雪剂的积雪，应单独收集、运输和处理，不应堆放在绿地、绿化带中。 </w:t>
      </w:r>
    </w:p>
    <w:p w14:paraId="620D18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楷体_GB2312" w:hAnsi="楷体_GB2312" w:eastAsia="楷体_GB2312" w:cs="楷体_GB2312"/>
          <w:sz w:val="28"/>
          <w:szCs w:val="28"/>
          <w:highlight w:val="none"/>
          <w:lang w:val="en-US" w:eastAsia="zh-CN"/>
        </w:rPr>
        <w:t>（六）</w:t>
      </w:r>
      <w:r>
        <w:rPr>
          <w:rFonts w:hint="eastAsia" w:ascii="楷体_GB2312" w:hAnsi="楷体_GB2312" w:eastAsia="楷体_GB2312" w:cs="楷体_GB2312"/>
          <w:sz w:val="28"/>
          <w:szCs w:val="28"/>
          <w:highlight w:val="none"/>
        </w:rPr>
        <w:t>泥土撒漏和路面污染</w:t>
      </w:r>
      <w:r>
        <w:rPr>
          <w:rFonts w:hint="eastAsia" w:ascii="楷体_GB2312" w:hAnsi="楷体_GB2312" w:eastAsia="楷体_GB2312" w:cs="楷体_GB2312"/>
          <w:sz w:val="28"/>
          <w:szCs w:val="28"/>
          <w:highlight w:val="none"/>
          <w:lang w:val="en-US" w:eastAsia="zh-CN"/>
        </w:rPr>
        <w:t>应急保障基本要求</w:t>
      </w:r>
    </w:p>
    <w:p w14:paraId="3FFFA9A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一旦发现泥土撒漏或路面污染，</w:t>
      </w:r>
      <w:r>
        <w:rPr>
          <w:rFonts w:hint="eastAsia" w:ascii="仿宋_GB2312" w:hAnsi="仿宋_GB2312" w:eastAsia="仿宋_GB2312" w:cs="仿宋_GB2312"/>
          <w:sz w:val="28"/>
          <w:szCs w:val="28"/>
          <w:highlight w:val="none"/>
          <w:lang w:val="en-US" w:eastAsia="zh-CN"/>
        </w:rPr>
        <w:t>道路环卫保洁责任单位</w:t>
      </w:r>
      <w:r>
        <w:rPr>
          <w:rFonts w:hint="eastAsia" w:ascii="仿宋_GB2312" w:hAnsi="仿宋_GB2312" w:eastAsia="仿宋_GB2312" w:cs="仿宋_GB2312"/>
          <w:sz w:val="28"/>
          <w:szCs w:val="28"/>
          <w:highlight w:val="none"/>
        </w:rPr>
        <w:t>要迅速响应，及时采取行动。</w:t>
      </w:r>
      <w:r>
        <w:rPr>
          <w:rFonts w:hint="eastAsia" w:ascii="仿宋_GB2312" w:hAnsi="仿宋_GB2312" w:eastAsia="仿宋_GB2312" w:cs="仿宋_GB2312"/>
          <w:sz w:val="28"/>
          <w:szCs w:val="28"/>
          <w:highlight w:val="none"/>
          <w:lang w:val="en-US" w:eastAsia="zh-CN"/>
        </w:rPr>
        <w:t>保洁</w:t>
      </w:r>
      <w:r>
        <w:rPr>
          <w:rFonts w:hint="eastAsia" w:ascii="仿宋_GB2312" w:hAnsi="仿宋_GB2312" w:eastAsia="仿宋_GB2312" w:cs="仿宋_GB2312"/>
          <w:sz w:val="28"/>
          <w:szCs w:val="28"/>
          <w:highlight w:val="none"/>
        </w:rPr>
        <w:t>人员能够快速赶到现场，开始清扫工作。</w:t>
      </w:r>
    </w:p>
    <w:p w14:paraId="695E27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在进行泥土撒漏和路面污染清扫时，需要确保人员的安全。</w:t>
      </w:r>
      <w:r>
        <w:rPr>
          <w:rFonts w:hint="eastAsia" w:ascii="仿宋_GB2312" w:hAnsi="仿宋_GB2312" w:eastAsia="仿宋_GB2312" w:cs="仿宋_GB2312"/>
          <w:sz w:val="28"/>
          <w:szCs w:val="28"/>
          <w:highlight w:val="none"/>
          <w:lang w:val="en-US" w:eastAsia="zh-CN"/>
        </w:rPr>
        <w:t>保洁</w:t>
      </w:r>
      <w:r>
        <w:rPr>
          <w:rFonts w:hint="eastAsia" w:ascii="仿宋_GB2312" w:hAnsi="仿宋_GB2312" w:eastAsia="仿宋_GB2312" w:cs="仿宋_GB2312"/>
          <w:sz w:val="28"/>
          <w:szCs w:val="28"/>
          <w:highlight w:val="none"/>
        </w:rPr>
        <w:t>人员需要佩戴必要的个人防护装备，如手套、口罩</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并</w:t>
      </w:r>
      <w:r>
        <w:rPr>
          <w:rFonts w:hint="eastAsia" w:ascii="仿宋_GB2312" w:hAnsi="仿宋_GB2312" w:eastAsia="仿宋_GB2312" w:cs="仿宋_GB2312"/>
          <w:sz w:val="28"/>
          <w:szCs w:val="28"/>
          <w:highlight w:val="none"/>
        </w:rPr>
        <w:t>根据工作区域的大小和形状来确定摆放锥形桶的位置</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确保锥形桶能够清晰标示出工作区域的范围，以提醒车辆注意避让。</w:t>
      </w:r>
    </w:p>
    <w:p w14:paraId="2E2FA9B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清扫泥土撒漏和路面污染</w:t>
      </w:r>
      <w:r>
        <w:rPr>
          <w:rFonts w:hint="eastAsia" w:ascii="仿宋_GB2312" w:hAnsi="仿宋_GB2312" w:eastAsia="仿宋_GB2312" w:cs="仿宋_GB2312"/>
          <w:sz w:val="28"/>
          <w:szCs w:val="28"/>
          <w:highlight w:val="none"/>
          <w:lang w:val="en-US" w:eastAsia="zh-CN"/>
        </w:rPr>
        <w:t>时，</w:t>
      </w:r>
      <w:r>
        <w:rPr>
          <w:rFonts w:hint="eastAsia" w:ascii="仿宋_GB2312" w:hAnsi="仿宋_GB2312" w:eastAsia="仿宋_GB2312" w:cs="仿宋_GB2312"/>
          <w:sz w:val="28"/>
          <w:szCs w:val="28"/>
          <w:highlight w:val="none"/>
        </w:rPr>
        <w:t>需要使用专业的工具和设备，如</w:t>
      </w:r>
      <w:r>
        <w:rPr>
          <w:rFonts w:hint="eastAsia" w:ascii="仿宋_GB2312" w:hAnsi="仿宋_GB2312" w:eastAsia="仿宋_GB2312" w:cs="仿宋_GB2312"/>
          <w:sz w:val="28"/>
          <w:szCs w:val="28"/>
          <w:highlight w:val="none"/>
          <w:lang w:val="en-US" w:eastAsia="zh-CN"/>
        </w:rPr>
        <w:t>大</w:t>
      </w:r>
      <w:r>
        <w:rPr>
          <w:rFonts w:hint="eastAsia" w:ascii="仿宋_GB2312" w:hAnsi="仿宋_GB2312" w:eastAsia="仿宋_GB2312" w:cs="仿宋_GB2312"/>
          <w:sz w:val="28"/>
          <w:szCs w:val="28"/>
          <w:highlight w:val="none"/>
        </w:rPr>
        <w:t>扫帚、铲子、高压水枪等。</w:t>
      </w:r>
      <w:r>
        <w:rPr>
          <w:rFonts w:hint="eastAsia" w:ascii="仿宋_GB2312" w:hAnsi="仿宋_GB2312" w:eastAsia="仿宋_GB2312" w:cs="仿宋_GB2312"/>
          <w:sz w:val="28"/>
          <w:szCs w:val="28"/>
          <w:highlight w:val="none"/>
          <w:lang w:val="en-US" w:eastAsia="zh-CN"/>
        </w:rPr>
        <w:t>日常保养时</w:t>
      </w:r>
      <w:r>
        <w:rPr>
          <w:rFonts w:hint="eastAsia" w:ascii="仿宋_GB2312" w:hAnsi="仿宋_GB2312" w:eastAsia="仿宋_GB2312" w:cs="仿宋_GB2312"/>
          <w:sz w:val="28"/>
          <w:szCs w:val="28"/>
          <w:highlight w:val="none"/>
        </w:rPr>
        <w:t>需要确保这些工具和设备的良好工作状态。</w:t>
      </w:r>
    </w:p>
    <w:p w14:paraId="13A985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废物处置：在清扫过程中产生的泥土和污染物需要妥善处理</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道路环卫保洁责任单位应</w:t>
      </w:r>
      <w:r>
        <w:rPr>
          <w:rFonts w:hint="eastAsia" w:ascii="仿宋_GB2312" w:hAnsi="仿宋_GB2312" w:eastAsia="仿宋_GB2312" w:cs="仿宋_GB2312"/>
          <w:sz w:val="28"/>
          <w:szCs w:val="28"/>
          <w:highlight w:val="none"/>
        </w:rPr>
        <w:t>设立合适的废物处置点，并确保废物得到正确的处理。</w:t>
      </w:r>
    </w:p>
    <w:p w14:paraId="4D2E39B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p>
    <w:p w14:paraId="7E94A1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p>
    <w:p w14:paraId="521BD6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参考文献：</w:t>
      </w:r>
    </w:p>
    <w:p w14:paraId="31033191">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i w:val="0"/>
          <w:caps w:val="0"/>
          <w:color w:val="000000"/>
          <w:spacing w:val="0"/>
          <w:sz w:val="28"/>
          <w:szCs w:val="28"/>
          <w:highlight w:val="none"/>
          <w:shd w:val="clear" w:color="auto" w:fill="FFFFFF"/>
          <w:lang w:eastAsia="zh-CN"/>
        </w:rPr>
        <w:t>《市容环卫工程项目规范》</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GB 55013-2021</w:t>
      </w:r>
    </w:p>
    <w:p w14:paraId="361BA96E">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《城市公厕卫生标准》GB 17217-1998 </w:t>
      </w:r>
    </w:p>
    <w:p w14:paraId="0001DBA9">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《生活垃圾分类标志》GB/T 19095-2019 </w:t>
      </w:r>
    </w:p>
    <w:p w14:paraId="4318EA0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《城镇市容环境卫生劳动定额》HLD47-101-2008</w:t>
      </w:r>
    </w:p>
    <w:p w14:paraId="7A44F0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i w:val="0"/>
          <w:caps w:val="0"/>
          <w:color w:val="000000"/>
          <w:spacing w:val="0"/>
          <w:sz w:val="28"/>
          <w:szCs w:val="28"/>
          <w:highlight w:val="none"/>
          <w:shd w:val="clear" w:color="auto" w:fill="FFFFFF"/>
        </w:rPr>
      </w:pPr>
      <w:r>
        <w:rPr>
          <w:rFonts w:hint="eastAsia" w:ascii="仿宋_GB2312" w:hAnsi="仿宋_GB2312" w:eastAsia="仿宋_GB2312" w:cs="仿宋_GB2312"/>
          <w:sz w:val="28"/>
          <w:szCs w:val="28"/>
          <w:highlight w:val="none"/>
          <w:lang w:val="en-US" w:eastAsia="zh-CN"/>
        </w:rPr>
        <w:t>《城市市容市貌干净整洁有序安全标准（试行）》（2020）</w:t>
      </w:r>
    </w:p>
    <w:p w14:paraId="0471F6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i w:val="0"/>
          <w:caps w:val="0"/>
          <w:color w:val="000000"/>
          <w:spacing w:val="0"/>
          <w:sz w:val="28"/>
          <w:szCs w:val="28"/>
          <w:highlight w:val="none"/>
          <w:shd w:val="clear" w:color="auto" w:fill="FFFFFF"/>
        </w:rPr>
        <w:t>《城市道路清扫保洁质量与评价标准</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CJJ/T126-2022</w:t>
      </w:r>
    </w:p>
    <w:p w14:paraId="38747C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《城镇环境卫生设施设置标准》CJJ27-2012</w:t>
      </w:r>
    </w:p>
    <w:p w14:paraId="6F479E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《城市公共厕所设计标准》CJJ14-2016</w:t>
      </w:r>
    </w:p>
    <w:p w14:paraId="305E8F0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i w:val="0"/>
          <w:caps w:val="0"/>
          <w:color w:val="000000"/>
          <w:spacing w:val="0"/>
          <w:sz w:val="28"/>
          <w:szCs w:val="28"/>
          <w:highlight w:val="none"/>
          <w:shd w:val="clear" w:color="auto" w:fill="FFFFFF"/>
          <w:lang w:eastAsia="zh-CN"/>
        </w:rPr>
        <w:t>《西安市</w:t>
      </w:r>
      <w:r>
        <w:rPr>
          <w:rFonts w:hint="eastAsia" w:ascii="仿宋_GB2312" w:hAnsi="仿宋_GB2312" w:eastAsia="仿宋_GB2312" w:cs="仿宋_GB2312"/>
          <w:i w:val="0"/>
          <w:caps w:val="0"/>
          <w:color w:val="000000"/>
          <w:spacing w:val="0"/>
          <w:sz w:val="28"/>
          <w:szCs w:val="28"/>
          <w:highlight w:val="none"/>
          <w:shd w:val="clear" w:color="auto" w:fill="FFFFFF"/>
        </w:rPr>
        <w:t>城市道路清扫保洁技术规范</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DB6101</w:t>
      </w:r>
      <w:r>
        <w:rPr>
          <w:rFonts w:hint="eastAsia" w:ascii="仿宋_GB2312" w:hAnsi="仿宋_GB2312" w:eastAsia="仿宋_GB2312" w:cs="仿宋_GB2312"/>
          <w:i w:val="0"/>
          <w:caps w:val="0"/>
          <w:color w:val="000000"/>
          <w:spacing w:val="0"/>
          <w:sz w:val="28"/>
          <w:szCs w:val="28"/>
          <w:highlight w:val="none"/>
          <w:shd w:val="clear" w:color="auto" w:fill="FFFFFF"/>
          <w:lang w:val="en"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T 3057-2019</w:t>
      </w:r>
    </w:p>
    <w:p w14:paraId="63FEB1C2">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i w:val="0"/>
          <w:caps w:val="0"/>
          <w:color w:val="000000"/>
          <w:spacing w:val="0"/>
          <w:sz w:val="28"/>
          <w:szCs w:val="28"/>
          <w:highlight w:val="none"/>
          <w:shd w:val="clear" w:color="auto" w:fill="FFFFFF"/>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陕西省</w:t>
      </w:r>
      <w:r>
        <w:rPr>
          <w:rFonts w:hint="eastAsia" w:ascii="仿宋_GB2312" w:hAnsi="仿宋_GB2312" w:eastAsia="仿宋_GB2312" w:cs="仿宋_GB2312"/>
          <w:i w:val="0"/>
          <w:caps w:val="0"/>
          <w:color w:val="000000"/>
          <w:spacing w:val="0"/>
          <w:sz w:val="28"/>
          <w:szCs w:val="28"/>
          <w:highlight w:val="none"/>
          <w:shd w:val="clear" w:color="auto" w:fill="FFFFFF"/>
        </w:rPr>
        <w:t>城市市容环境卫生条例》</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2010修订</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p>
    <w:p w14:paraId="069FDB87">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i w:val="0"/>
          <w:caps w:val="0"/>
          <w:color w:val="000000"/>
          <w:spacing w:val="0"/>
          <w:sz w:val="28"/>
          <w:szCs w:val="28"/>
          <w:highlight w:val="none"/>
          <w:shd w:val="clear" w:color="auto" w:fill="FFFFFF"/>
        </w:rPr>
        <w:t>《西安市城市市容和环境卫生管理条例》</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r>
        <w:rPr>
          <w:rFonts w:hint="eastAsia" w:ascii="仿宋_GB2312" w:hAnsi="仿宋_GB2312" w:eastAsia="仿宋_GB2312" w:cs="仿宋_GB2312"/>
          <w:i w:val="0"/>
          <w:caps w:val="0"/>
          <w:color w:val="000000"/>
          <w:spacing w:val="0"/>
          <w:sz w:val="28"/>
          <w:szCs w:val="28"/>
          <w:highlight w:val="none"/>
          <w:shd w:val="clear" w:color="auto" w:fill="FFFFFF"/>
          <w:lang w:val="en-US" w:eastAsia="zh-CN"/>
        </w:rPr>
        <w:t>2017修正</w:t>
      </w:r>
      <w:r>
        <w:rPr>
          <w:rFonts w:hint="eastAsia" w:ascii="仿宋_GB2312" w:hAnsi="仿宋_GB2312" w:eastAsia="仿宋_GB2312" w:cs="仿宋_GB2312"/>
          <w:i w:val="0"/>
          <w:caps w:val="0"/>
          <w:color w:val="000000"/>
          <w:spacing w:val="0"/>
          <w:sz w:val="28"/>
          <w:szCs w:val="28"/>
          <w:highlight w:val="none"/>
          <w:shd w:val="clear" w:color="auto" w:fill="FFFFFF"/>
          <w:lang w:eastAsia="zh-CN"/>
        </w:rPr>
        <w:t>）</w:t>
      </w:r>
    </w:p>
    <w:p w14:paraId="2CFE69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《西安市生活垃圾分类管理办法》（2019）</w:t>
      </w:r>
    </w:p>
    <w:p w14:paraId="4479E7E7">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28"/>
          <w:szCs w:val="28"/>
          <w:highlight w:val="none"/>
          <w:lang w:val="en-US" w:eastAsia="zh-CN"/>
        </w:rPr>
        <w:t xml:space="preserve">《全市城市家具整治提升工作方案》市政办函〔2019〕39号 </w:t>
      </w:r>
    </w:p>
    <w:p w14:paraId="60C406A9">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 xml:space="preserve"> </w:t>
      </w:r>
    </w:p>
    <w:p w14:paraId="1CE6957E">
      <w:pPr>
        <w:keepNext w:val="0"/>
        <w:keepLines w:val="0"/>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0"/>
          <w:szCs w:val="30"/>
          <w:highlight w:val="none"/>
          <w:lang w:val="en-US" w:eastAsia="zh-CN"/>
        </w:rPr>
      </w:pPr>
    </w:p>
    <w:p w14:paraId="0EC44859">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 xml:space="preserve">  </w:t>
      </w:r>
    </w:p>
    <w:p w14:paraId="15C67930">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 xml:space="preserve"> </w:t>
      </w:r>
    </w:p>
    <w:p w14:paraId="7BF12D3B">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lang w:val="en-US" w:eastAsia="zh-CN"/>
        </w:rPr>
        <w:t xml:space="preserve"> </w:t>
      </w:r>
    </w:p>
    <w:p w14:paraId="76E4AF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宋体" w:eastAsia="仿宋_GB2312" w:cs="仿宋_GB2312"/>
          <w:i w:val="0"/>
          <w:caps w:val="0"/>
          <w:color w:val="000000"/>
          <w:spacing w:val="0"/>
          <w:kern w:val="0"/>
          <w:sz w:val="32"/>
          <w:szCs w:val="32"/>
          <w:highlight w:val="none"/>
          <w:shd w:val="clear" w:color="auto" w:fill="FFFFFF"/>
          <w:lang w:val="en-US" w:eastAsia="zh-CN" w:bidi="ar"/>
        </w:rPr>
      </w:pPr>
    </w:p>
    <w:p w14:paraId="63A68B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黑体" w:hAnsi="黑体" w:eastAsia="黑体" w:cs="黑体"/>
          <w:i w:val="0"/>
          <w:caps w:val="0"/>
          <w:color w:val="000000"/>
          <w:spacing w:val="0"/>
          <w:kern w:val="0"/>
          <w:sz w:val="32"/>
          <w:szCs w:val="32"/>
          <w:highlight w:val="none"/>
          <w:shd w:val="clear" w:color="auto" w:fill="FFFFFF"/>
          <w:lang w:val="en-US" w:eastAsia="zh-CN" w:bidi="ar"/>
        </w:rPr>
      </w:pPr>
      <w:r>
        <w:rPr>
          <w:rFonts w:hint="eastAsia" w:ascii="黑体" w:hAnsi="黑体" w:eastAsia="黑体" w:cs="黑体"/>
          <w:i w:val="0"/>
          <w:caps w:val="0"/>
          <w:color w:val="000000"/>
          <w:spacing w:val="0"/>
          <w:kern w:val="0"/>
          <w:sz w:val="32"/>
          <w:szCs w:val="32"/>
          <w:highlight w:val="none"/>
          <w:shd w:val="clear" w:color="auto" w:fill="FFFFFF"/>
          <w:lang w:val="en-US" w:eastAsia="zh-CN" w:bidi="ar"/>
        </w:rPr>
        <w:t>附件</w:t>
      </w:r>
    </w:p>
    <w:tbl>
      <w:tblPr>
        <w:tblStyle w:val="6"/>
        <w:tblW w:w="0" w:type="auto"/>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1245"/>
        <w:gridCol w:w="7545"/>
      </w:tblGrid>
      <w:tr w14:paraId="2F80D4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8790"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14:paraId="457767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color w:val="333333"/>
                <w:highlight w:val="none"/>
              </w:rPr>
            </w:pPr>
            <w:r>
              <w:rPr>
                <w:rFonts w:hint="eastAsia" w:ascii="仿宋_GB2312" w:hAnsi="Calibri" w:eastAsia="仿宋_GB2312" w:cs="仿宋_GB2312"/>
                <w:color w:val="000000"/>
                <w:kern w:val="0"/>
                <w:sz w:val="28"/>
                <w:szCs w:val="28"/>
                <w:highlight w:val="none"/>
                <w:lang w:val="en-US" w:eastAsia="zh-CN" w:bidi="ar"/>
              </w:rPr>
              <w:t>西安</w:t>
            </w:r>
            <w:r>
              <w:rPr>
                <w:rFonts w:hint="default" w:ascii="仿宋_GB2312" w:hAnsi="Calibri" w:eastAsia="仿宋_GB2312" w:cs="仿宋_GB2312"/>
                <w:color w:val="000000"/>
                <w:kern w:val="0"/>
                <w:sz w:val="28"/>
                <w:szCs w:val="28"/>
                <w:highlight w:val="none"/>
                <w:lang w:val="en-US" w:eastAsia="zh-CN" w:bidi="ar"/>
              </w:rPr>
              <w:t>市环卫清扫保洁道路等级划分表</w:t>
            </w:r>
          </w:p>
        </w:tc>
      </w:tr>
      <w:tr w14:paraId="4C85A4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12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14:paraId="4ED4AB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道路等级</w:t>
            </w:r>
          </w:p>
        </w:tc>
        <w:tc>
          <w:tcPr>
            <w:tcW w:w="75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14:paraId="4737F3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道路（区域）名称（范围）</w:t>
            </w:r>
          </w:p>
        </w:tc>
      </w:tr>
      <w:tr w14:paraId="16A2166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5663" w:hRule="atLeast"/>
          <w:jc w:val="center"/>
        </w:trPr>
        <w:tc>
          <w:tcPr>
            <w:tcW w:w="1245" w:type="dxa"/>
            <w:tcBorders>
              <w:top w:val="outset" w:color="auto" w:sz="6" w:space="0"/>
              <w:left w:val="outset" w:color="auto" w:sz="6" w:space="0"/>
              <w:right w:val="outset" w:color="auto" w:sz="6" w:space="0"/>
            </w:tcBorders>
            <w:shd w:val="clear" w:color="auto" w:fill="FFFFFF"/>
            <w:noWrap w:val="0"/>
            <w:tcMar>
              <w:top w:w="0" w:type="dxa"/>
              <w:left w:w="0" w:type="dxa"/>
              <w:bottom w:w="0" w:type="dxa"/>
              <w:right w:w="0" w:type="dxa"/>
            </w:tcMar>
            <w:vAlign w:val="center"/>
          </w:tcPr>
          <w:p w14:paraId="0AB4A7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一级</w:t>
            </w:r>
          </w:p>
        </w:tc>
        <w:tc>
          <w:tcPr>
            <w:tcW w:w="75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14:paraId="124A6E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（1）有关部门确定的重点区域的道路</w:t>
            </w:r>
            <w:r>
              <w:rPr>
                <w:rFonts w:hint="eastAsia" w:ascii="仿宋_GB2312" w:eastAsia="仿宋_GB2312" w:cs="仿宋_GB2312"/>
                <w:color w:val="000000"/>
                <w:kern w:val="0"/>
                <w:sz w:val="28"/>
                <w:szCs w:val="28"/>
                <w:highlight w:val="none"/>
                <w:lang w:val="en-US" w:eastAsia="zh-CN" w:bidi="ar"/>
              </w:rPr>
              <w:t>；</w:t>
            </w:r>
          </w:p>
          <w:p w14:paraId="4095F8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（2）重要商业、文化等公共场所周边的道路及广场；</w:t>
            </w:r>
          </w:p>
          <w:p w14:paraId="6F4C12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eastAsia" w:ascii="仿宋_GB2312" w:hAnsi="Calibri" w:eastAsia="仿宋_GB2312" w:cs="仿宋_GB2312"/>
                <w:color w:val="000000"/>
                <w:kern w:val="0"/>
                <w:sz w:val="28"/>
                <w:szCs w:val="28"/>
                <w:highlight w:val="none"/>
                <w:lang w:val="en-US" w:eastAsia="zh-CN" w:bidi="ar"/>
              </w:rPr>
            </w:pPr>
            <w:r>
              <w:rPr>
                <w:rFonts w:hint="eastAsia" w:ascii="仿宋_GB2312" w:hAnsi="Calibri" w:eastAsia="仿宋_GB2312" w:cs="仿宋_GB2312"/>
                <w:color w:val="000000"/>
                <w:kern w:val="0"/>
                <w:sz w:val="28"/>
                <w:szCs w:val="28"/>
                <w:highlight w:val="none"/>
                <w:lang w:val="en-US" w:eastAsia="zh-CN" w:bidi="ar"/>
              </w:rPr>
              <w:t>（</w:t>
            </w:r>
            <w:r>
              <w:rPr>
                <w:rFonts w:hint="eastAsia" w:ascii="仿宋_GB2312" w:eastAsia="仿宋_GB2312" w:cs="仿宋_GB2312"/>
                <w:color w:val="000000"/>
                <w:kern w:val="0"/>
                <w:sz w:val="28"/>
                <w:szCs w:val="28"/>
                <w:highlight w:val="none"/>
                <w:lang w:val="en-US" w:eastAsia="zh-CN" w:bidi="ar"/>
              </w:rPr>
              <w:t>3</w:t>
            </w:r>
            <w:r>
              <w:rPr>
                <w:rFonts w:hint="eastAsia" w:ascii="仿宋_GB2312" w:hAnsi="Calibri" w:eastAsia="仿宋_GB2312" w:cs="仿宋_GB2312"/>
                <w:color w:val="000000"/>
                <w:kern w:val="0"/>
                <w:sz w:val="28"/>
                <w:szCs w:val="28"/>
                <w:highlight w:val="none"/>
                <w:lang w:val="en-US" w:eastAsia="zh-CN" w:bidi="ar"/>
              </w:rPr>
              <w:t>）商业网点集中，道路旁商业店铺占道路长度 80%以上的繁华闹市路段；</w:t>
            </w:r>
          </w:p>
          <w:p w14:paraId="46962F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eastAsia" w:ascii="仿宋_GB2312" w:hAnsi="Calibri" w:eastAsia="仿宋_GB2312" w:cs="仿宋_GB2312"/>
                <w:color w:val="000000"/>
                <w:kern w:val="0"/>
                <w:sz w:val="28"/>
                <w:szCs w:val="28"/>
                <w:highlight w:val="none"/>
                <w:lang w:val="en-US" w:eastAsia="zh-CN" w:bidi="ar"/>
              </w:rPr>
            </w:pPr>
            <w:r>
              <w:rPr>
                <w:rFonts w:hint="eastAsia" w:ascii="仿宋_GB2312" w:hAnsi="Calibri" w:eastAsia="仿宋_GB2312" w:cs="仿宋_GB2312"/>
                <w:color w:val="000000"/>
                <w:kern w:val="0"/>
                <w:sz w:val="28"/>
                <w:szCs w:val="28"/>
                <w:highlight w:val="none"/>
                <w:lang w:val="en-US" w:eastAsia="zh-CN" w:bidi="ar"/>
              </w:rPr>
              <w:t>（</w:t>
            </w:r>
            <w:r>
              <w:rPr>
                <w:rFonts w:hint="eastAsia" w:ascii="仿宋_GB2312" w:eastAsia="仿宋_GB2312" w:cs="仿宋_GB2312"/>
                <w:color w:val="000000"/>
                <w:kern w:val="0"/>
                <w:sz w:val="28"/>
                <w:szCs w:val="28"/>
                <w:highlight w:val="none"/>
                <w:lang w:val="en-US" w:eastAsia="zh-CN" w:bidi="ar"/>
              </w:rPr>
              <w:t>4</w:t>
            </w:r>
            <w:r>
              <w:rPr>
                <w:rFonts w:hint="eastAsia" w:ascii="仿宋_GB2312" w:hAnsi="Calibri" w:eastAsia="仿宋_GB2312" w:cs="仿宋_GB2312"/>
                <w:color w:val="000000"/>
                <w:kern w:val="0"/>
                <w:sz w:val="28"/>
                <w:szCs w:val="28"/>
                <w:highlight w:val="none"/>
                <w:lang w:val="en-US" w:eastAsia="zh-CN" w:bidi="ar"/>
              </w:rPr>
              <w:t>）高峰期平均人流量为 100 人次/分钟以上和公共交通线路较多的路段；</w:t>
            </w:r>
          </w:p>
          <w:p w14:paraId="41A128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eastAsia" w:ascii="仿宋_GB2312" w:hAnsi="Calibri" w:eastAsia="仿宋_GB2312" w:cs="仿宋_GB2312"/>
                <w:color w:val="000000"/>
                <w:kern w:val="0"/>
                <w:sz w:val="28"/>
                <w:szCs w:val="28"/>
                <w:highlight w:val="none"/>
                <w:lang w:val="en-US" w:eastAsia="zh-CN" w:bidi="ar"/>
              </w:rPr>
            </w:pPr>
            <w:r>
              <w:rPr>
                <w:rFonts w:hint="eastAsia" w:ascii="仿宋_GB2312" w:hAnsi="Calibri" w:eastAsia="仿宋_GB2312" w:cs="仿宋_GB2312"/>
                <w:color w:val="000000"/>
                <w:kern w:val="0"/>
                <w:sz w:val="28"/>
                <w:szCs w:val="28"/>
                <w:highlight w:val="none"/>
                <w:lang w:val="en-US" w:eastAsia="zh-CN" w:bidi="ar"/>
              </w:rPr>
              <w:t>（</w:t>
            </w:r>
            <w:r>
              <w:rPr>
                <w:rFonts w:hint="eastAsia" w:ascii="仿宋_GB2312" w:eastAsia="仿宋_GB2312" w:cs="仿宋_GB2312"/>
                <w:color w:val="000000"/>
                <w:kern w:val="0"/>
                <w:sz w:val="28"/>
                <w:szCs w:val="28"/>
                <w:highlight w:val="none"/>
                <w:lang w:val="en-US" w:eastAsia="zh-CN" w:bidi="ar"/>
              </w:rPr>
              <w:t>5</w:t>
            </w:r>
            <w:r>
              <w:rPr>
                <w:rFonts w:hint="eastAsia" w:ascii="仿宋_GB2312" w:hAnsi="Calibri" w:eastAsia="仿宋_GB2312" w:cs="仿宋_GB2312"/>
                <w:color w:val="000000"/>
                <w:kern w:val="0"/>
                <w:sz w:val="28"/>
                <w:szCs w:val="28"/>
                <w:highlight w:val="none"/>
                <w:lang w:val="en-US" w:eastAsia="zh-CN" w:bidi="ar"/>
              </w:rPr>
              <w:t>）主要旅游点和进出机场、车站、港口的主干路及其所在地路段；</w:t>
            </w:r>
          </w:p>
          <w:p w14:paraId="6B460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color w:val="333333"/>
                <w:highlight w:val="none"/>
              </w:rPr>
            </w:pPr>
            <w:r>
              <w:rPr>
                <w:rFonts w:hint="eastAsia" w:ascii="仿宋_GB2312" w:hAnsi="Calibri" w:eastAsia="仿宋_GB2312" w:cs="仿宋_GB2312"/>
                <w:color w:val="000000"/>
                <w:kern w:val="0"/>
                <w:sz w:val="28"/>
                <w:szCs w:val="28"/>
                <w:highlight w:val="none"/>
                <w:lang w:val="en-US" w:eastAsia="zh-CN" w:bidi="ar"/>
              </w:rPr>
              <w:t>（</w:t>
            </w:r>
            <w:r>
              <w:rPr>
                <w:rFonts w:hint="eastAsia" w:ascii="仿宋_GB2312" w:eastAsia="仿宋_GB2312" w:cs="仿宋_GB2312"/>
                <w:color w:val="000000"/>
                <w:kern w:val="0"/>
                <w:sz w:val="28"/>
                <w:szCs w:val="28"/>
                <w:highlight w:val="none"/>
                <w:lang w:val="en-US" w:eastAsia="zh-CN" w:bidi="ar"/>
              </w:rPr>
              <w:t>6</w:t>
            </w:r>
            <w:r>
              <w:rPr>
                <w:rFonts w:hint="eastAsia" w:ascii="仿宋_GB2312" w:hAnsi="Calibri" w:eastAsia="仿宋_GB2312" w:cs="仿宋_GB2312"/>
                <w:color w:val="000000"/>
                <w:kern w:val="0"/>
                <w:sz w:val="28"/>
                <w:szCs w:val="28"/>
                <w:highlight w:val="none"/>
                <w:lang w:val="en-US" w:eastAsia="zh-CN" w:bidi="ar"/>
              </w:rPr>
              <w:t>）历史文化街区、大型文化娱乐、步行街等主要公共场所所在路段。</w:t>
            </w:r>
          </w:p>
        </w:tc>
      </w:tr>
      <w:tr w14:paraId="2FD5DF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12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14:paraId="45A552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二级</w:t>
            </w:r>
          </w:p>
        </w:tc>
        <w:tc>
          <w:tcPr>
            <w:tcW w:w="75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top"/>
          </w:tcPr>
          <w:p w14:paraId="5DD8CE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（1）商业网点较集中、占道路长度 60～80%的路段；</w:t>
            </w:r>
          </w:p>
          <w:p w14:paraId="1C5931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（2）高峰期平均人流量为 80～100 人次/分钟的路段；</w:t>
            </w:r>
          </w:p>
          <w:p w14:paraId="395785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（3）城市主、次干路及其附近路段；</w:t>
            </w:r>
          </w:p>
          <w:p w14:paraId="39EE11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（4）道路宽度大于 40m 的城市干道。</w:t>
            </w:r>
          </w:p>
        </w:tc>
      </w:tr>
      <w:tr w14:paraId="35C23CE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2080" w:hRule="atLeast"/>
          <w:jc w:val="center"/>
        </w:trPr>
        <w:tc>
          <w:tcPr>
            <w:tcW w:w="1245" w:type="dxa"/>
            <w:tcBorders>
              <w:top w:val="outset" w:color="auto" w:sz="6" w:space="0"/>
              <w:left w:val="outset" w:color="auto" w:sz="6" w:space="0"/>
              <w:right w:val="outset" w:color="auto" w:sz="6" w:space="0"/>
            </w:tcBorders>
            <w:shd w:val="clear" w:color="auto" w:fill="FFFFFF"/>
            <w:noWrap w:val="0"/>
            <w:tcMar>
              <w:top w:w="0" w:type="dxa"/>
              <w:left w:w="0" w:type="dxa"/>
              <w:bottom w:w="0" w:type="dxa"/>
              <w:right w:w="0" w:type="dxa"/>
            </w:tcMar>
            <w:vAlign w:val="center"/>
          </w:tcPr>
          <w:p w14:paraId="29261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三级</w:t>
            </w:r>
          </w:p>
        </w:tc>
        <w:tc>
          <w:tcPr>
            <w:tcW w:w="7545" w:type="dxa"/>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top"/>
          </w:tcPr>
          <w:p w14:paraId="0D96E0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（1）商业网点较少的路段；</w:t>
            </w:r>
          </w:p>
          <w:p w14:paraId="61348D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（2）高峰期平均人流量小于 80 人次/分钟的路段；</w:t>
            </w:r>
          </w:p>
          <w:p w14:paraId="1E89FC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rFonts w:hint="default" w:ascii="仿宋_GB2312" w:hAnsi="Calibri" w:eastAsia="仿宋_GB2312" w:cs="仿宋_GB2312"/>
                <w:color w:val="000000"/>
                <w:kern w:val="0"/>
                <w:sz w:val="28"/>
                <w:szCs w:val="28"/>
                <w:highlight w:val="none"/>
                <w:lang w:val="en-US" w:eastAsia="zh-CN" w:bidi="ar"/>
              </w:rPr>
            </w:pPr>
            <w:r>
              <w:rPr>
                <w:rFonts w:hint="default" w:ascii="仿宋_GB2312" w:hAnsi="Calibri" w:eastAsia="仿宋_GB2312" w:cs="仿宋_GB2312"/>
                <w:color w:val="000000"/>
                <w:kern w:val="0"/>
                <w:sz w:val="28"/>
                <w:szCs w:val="28"/>
                <w:highlight w:val="none"/>
                <w:lang w:val="en-US" w:eastAsia="zh-CN" w:bidi="ar"/>
              </w:rPr>
              <w:t>（3）城郊结合部的主要交通路段；</w:t>
            </w:r>
          </w:p>
          <w:p w14:paraId="231CE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560" w:firstLineChars="200"/>
              <w:jc w:val="left"/>
              <w:textAlignment w:val="auto"/>
              <w:rPr>
                <w:color w:val="333333"/>
                <w:highlight w:val="none"/>
              </w:rPr>
            </w:pPr>
            <w:r>
              <w:rPr>
                <w:rFonts w:hint="default" w:ascii="仿宋_GB2312" w:hAnsi="Calibri" w:eastAsia="仿宋_GB2312" w:cs="仿宋_GB2312"/>
                <w:color w:val="000000"/>
                <w:kern w:val="0"/>
                <w:sz w:val="28"/>
                <w:szCs w:val="28"/>
                <w:highlight w:val="none"/>
                <w:lang w:val="en-US" w:eastAsia="zh-CN" w:bidi="ar"/>
              </w:rPr>
              <w:t>（4）居民区和单位相间的路段。</w:t>
            </w:r>
          </w:p>
        </w:tc>
      </w:tr>
    </w:tbl>
    <w:p w14:paraId="5E43FA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宋体" w:eastAsia="仿宋_GB2312" w:cs="仿宋_GB2312"/>
          <w:i w:val="0"/>
          <w:caps w:val="0"/>
          <w:color w:val="000000"/>
          <w:spacing w:val="0"/>
          <w:kern w:val="0"/>
          <w:sz w:val="32"/>
          <w:szCs w:val="32"/>
          <w:highlight w:val="none"/>
          <w:shd w:val="clear" w:color="auto" w:fill="FFFFFF"/>
          <w:lang w:val="en-US" w:eastAsia="zh-CN" w:bidi="ar"/>
        </w:rPr>
      </w:pPr>
      <w:r>
        <w:rPr>
          <w:rFonts w:hint="eastAsia"/>
          <w:b w:val="0"/>
          <w:bCs w:val="0"/>
          <w:highlight w:val="none"/>
        </w:rPr>
        <mc:AlternateContent>
          <mc:Choice Requires="wps">
            <w:drawing>
              <wp:anchor distT="0" distB="0" distL="114300" distR="114300" simplePos="0" relativeHeight="251661312" behindDoc="0" locked="0" layoutInCell="1" allowOverlap="1">
                <wp:simplePos x="0" y="0"/>
                <wp:positionH relativeFrom="column">
                  <wp:posOffset>48895</wp:posOffset>
                </wp:positionH>
                <wp:positionV relativeFrom="paragraph">
                  <wp:posOffset>328295</wp:posOffset>
                </wp:positionV>
                <wp:extent cx="5800725"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800725"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3.85pt;margin-top:25.85pt;height:0.05pt;width:456.75pt;z-index:251661312;mso-width-relative:page;mso-height-relative:page;" filled="f" stroked="t" coordsize="21600,21600" o:gfxdata="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2HGlQ1QAAAAcBAAAPAAAAAAAAAAEAIAAAACIAAABkcnMvZG93bnJldi54bWxQ&#10;SwECFAAUAAAACACHTuJAH+9R1/oBAAD0AwAADgAAAAAAAAABACAAAAAkAQAAZHJzL2Uyb0RvYy54&#10;bWxQSwUGAAAAAAYABgBZAQAAkAUAAAAA&#10;">
                <v:fill on="f" focussize="0,0"/>
                <v:stroke color="#000000" joinstyle="round"/>
                <v:imagedata o:title=""/>
                <o:lock v:ext="edit" aspectratio="f"/>
              </v:line>
            </w:pict>
          </mc:Fallback>
        </mc:AlternateContent>
      </w:r>
    </w:p>
    <w:p w14:paraId="7D5AF706">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Calibri" w:eastAsia="仿宋_GB2312" w:cs="Times New Roman"/>
          <w:b w:val="0"/>
          <w:bCs w:val="0"/>
          <w:w w:val="95"/>
          <w:sz w:val="28"/>
          <w:szCs w:val="28"/>
          <w:highlight w:val="none"/>
          <w:lang w:val="en-US" w:eastAsia="zh-CN"/>
        </w:rPr>
      </w:pPr>
      <w:r>
        <w:rPr>
          <w:rFonts w:hint="eastAsia" w:ascii="仿宋_GB2312" w:hAnsi="Calibri" w:eastAsia="仿宋_GB2312" w:cs="Times New Roman"/>
          <w:b w:val="0"/>
          <w:bCs w:val="0"/>
          <w:w w:val="95"/>
          <w:sz w:val="28"/>
          <w:szCs w:val="28"/>
          <w:highlight w:val="none"/>
          <w:lang w:val="en-US" w:eastAsia="zh-CN"/>
        </w:rPr>
        <w:t>抄送：省住建厅、市大气污染治理专项行动领导小组办公室、市生态环境局。</w:t>
      </w:r>
    </w:p>
    <w:p w14:paraId="702D0EC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方正仿宋_GBK" w:hAnsi="方正仿宋_GBK" w:eastAsia="方正仿宋_GBK" w:cs="方正仿宋_GBK"/>
          <w:b w:val="0"/>
          <w:bCs w:val="0"/>
          <w:color w:val="000000"/>
          <w:sz w:val="28"/>
          <w:szCs w:val="28"/>
          <w:highlight w:val="none"/>
        </w:rPr>
      </w:pPr>
      <w:r>
        <w:rPr>
          <w:rFonts w:hint="eastAsia" w:ascii="仿宋_GB2312" w:hAnsi="仿宋_GB2312" w:eastAsia="仿宋_GB2312" w:cs="仿宋_GB2312"/>
          <w:b w:val="0"/>
          <w:bCs w:val="0"/>
          <w:kern w:val="2"/>
          <w:sz w:val="32"/>
          <w:szCs w:val="32"/>
          <w:highlight w:val="none"/>
          <w:lang w:val="en-US" w:eastAsia="zh-CN" w:bidi="ar-SA"/>
        </w:rPr>
        <w:t xml:space="preserve"> </w:t>
      </w:r>
      <w:r>
        <w:rPr>
          <w:rFonts w:hint="eastAsia"/>
          <w:b w:val="0"/>
          <w:bCs w:val="0"/>
          <w:highlight w:val="none"/>
        </w:rPr>
        <mc:AlternateContent>
          <mc:Choice Requires="wps">
            <w:drawing>
              <wp:anchor distT="0" distB="0" distL="114300" distR="114300" simplePos="0" relativeHeight="251660288" behindDoc="0" locked="0" layoutInCell="1" allowOverlap="1">
                <wp:simplePos x="0" y="0"/>
                <wp:positionH relativeFrom="column">
                  <wp:posOffset>-6985</wp:posOffset>
                </wp:positionH>
                <wp:positionV relativeFrom="paragraph">
                  <wp:posOffset>44450</wp:posOffset>
                </wp:positionV>
                <wp:extent cx="5800725"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800725"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55pt;margin-top:3.5pt;height:0.05pt;width:456.75pt;z-index:251660288;mso-width-relative:page;mso-height-relative:page;" filled="f" stroked="t" coordsize="21600,21600" o:gfxdata="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uR1/9QAAAAGAQAADwAAAAAAAAABACAAAAAiAAAAZHJzL2Rvd25yZXYueG1sUEsB&#10;AhQAFAAAAAgAh07iQB8DBsf5AQAA9AMAAA4AAAAAAAAAAQAgAAAAIwEAAGRycy9lMm9Eb2MueG1s&#10;UEsFBgAAAAAGAAYAWQEAAI4FAAAAAA==&#10;">
                <v:fill on="f" focussize="0,0"/>
                <v:stroke color="#000000" joinstyle="round"/>
                <v:imagedata o:title=""/>
                <o:lock v:ext="edit" aspectratio="f"/>
              </v:line>
            </w:pict>
          </mc:Fallback>
        </mc:AlternateContent>
      </w:r>
      <w:r>
        <w:rPr>
          <w:rFonts w:hint="eastAsia"/>
          <w:b w:val="0"/>
          <w:bCs w:val="0"/>
          <w:highlight w:val="none"/>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367665</wp:posOffset>
                </wp:positionV>
                <wp:extent cx="580072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5800725"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28.95pt;height:0.05pt;width:456.75pt;z-index:251659264;mso-width-relative:page;mso-height-relative:page;" filled="f" stroked="t" coordsize="21600,21600" o:gfxdata="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FKANT1QAAAAYBAAAPAAAAAAAAAAEAIAAAACIAAABkcnMvZG93bnJldi54bWxQ&#10;SwECFAAUAAAACACHTuJAHzf+9/oBAAD0AwAADgAAAAAAAAABACAAAAAkAQAAZHJzL2Uyb0RvYy54&#10;bWxQSwUGAAAAAAYABgBZAQAAkAUAAAAA&#10;">
                <v:fill on="f" focussize="0,0"/>
                <v:stroke color="#000000" joinstyle="round"/>
                <v:imagedata o:title=""/>
                <o:lock v:ext="edit" aspectratio="f"/>
              </v:line>
            </w:pict>
          </mc:Fallback>
        </mc:AlternateContent>
      </w:r>
      <w:r>
        <w:rPr>
          <w:rFonts w:hint="eastAsia" w:ascii="仿宋_GB2312" w:eastAsia="仿宋_GB2312"/>
          <w:b w:val="0"/>
          <w:bCs w:val="0"/>
          <w:sz w:val="28"/>
          <w:szCs w:val="28"/>
          <w:highlight w:val="none"/>
        </w:rPr>
        <w:t xml:space="preserve">西安市城市管理和综合执法局办公室         </w:t>
      </w:r>
      <w:r>
        <w:rPr>
          <w:rFonts w:hint="eastAsia" w:ascii="仿宋_GB2312" w:eastAsia="仿宋_GB2312"/>
          <w:b w:val="0"/>
          <w:bCs w:val="0"/>
          <w:sz w:val="28"/>
          <w:szCs w:val="28"/>
          <w:highlight w:val="none"/>
          <w:lang w:val="en-US" w:eastAsia="zh-CN"/>
        </w:rPr>
        <w:t xml:space="preserve"> </w:t>
      </w:r>
      <w:r>
        <w:rPr>
          <w:rFonts w:hint="eastAsia" w:ascii="仿宋_GB2312" w:eastAsia="仿宋_GB2312"/>
          <w:b w:val="0"/>
          <w:bCs w:val="0"/>
          <w:sz w:val="28"/>
          <w:szCs w:val="28"/>
          <w:highlight w:val="none"/>
        </w:rPr>
        <w:t>202</w:t>
      </w:r>
      <w:r>
        <w:rPr>
          <w:rFonts w:hint="eastAsia" w:ascii="仿宋_GB2312" w:eastAsia="仿宋_GB2312"/>
          <w:b w:val="0"/>
          <w:bCs w:val="0"/>
          <w:sz w:val="28"/>
          <w:szCs w:val="28"/>
          <w:highlight w:val="none"/>
          <w:lang w:val="en-US" w:eastAsia="zh-CN"/>
        </w:rPr>
        <w:t>3</w:t>
      </w:r>
      <w:r>
        <w:rPr>
          <w:rFonts w:hint="eastAsia" w:ascii="仿宋_GB2312" w:eastAsia="仿宋_GB2312"/>
          <w:b w:val="0"/>
          <w:bCs w:val="0"/>
          <w:sz w:val="28"/>
          <w:szCs w:val="28"/>
          <w:highlight w:val="none"/>
        </w:rPr>
        <w:t>年</w:t>
      </w:r>
      <w:r>
        <w:rPr>
          <w:rFonts w:hint="eastAsia" w:ascii="仿宋_GB2312" w:eastAsia="仿宋_GB2312"/>
          <w:b w:val="0"/>
          <w:bCs w:val="0"/>
          <w:sz w:val="28"/>
          <w:szCs w:val="28"/>
          <w:highlight w:val="none"/>
          <w:lang w:val="en-US" w:eastAsia="zh-CN"/>
        </w:rPr>
        <w:t>9</w:t>
      </w:r>
      <w:r>
        <w:rPr>
          <w:rFonts w:hint="eastAsia" w:ascii="仿宋_GB2312" w:eastAsia="仿宋_GB2312"/>
          <w:b w:val="0"/>
          <w:bCs w:val="0"/>
          <w:sz w:val="28"/>
          <w:szCs w:val="28"/>
          <w:highlight w:val="none"/>
        </w:rPr>
        <w:t>月</w:t>
      </w:r>
      <w:r>
        <w:rPr>
          <w:rFonts w:hint="eastAsia" w:ascii="仿宋_GB2312" w:eastAsia="仿宋_GB2312"/>
          <w:b w:val="0"/>
          <w:bCs w:val="0"/>
          <w:sz w:val="28"/>
          <w:szCs w:val="28"/>
          <w:highlight w:val="none"/>
          <w:lang w:val="en-US" w:eastAsia="zh-CN"/>
        </w:rPr>
        <w:t>4</w:t>
      </w:r>
      <w:r>
        <w:rPr>
          <w:rFonts w:hint="eastAsia" w:ascii="仿宋_GB2312" w:eastAsia="仿宋_GB2312"/>
          <w:b w:val="0"/>
          <w:bCs w:val="0"/>
          <w:sz w:val="28"/>
          <w:szCs w:val="28"/>
          <w:highlight w:val="none"/>
        </w:rPr>
        <w:t>日印发</w:t>
      </w:r>
    </w:p>
    <w:p w14:paraId="3DF4C7BB">
      <w:pPr>
        <w:snapToGrid w:val="0"/>
        <w:spacing w:line="560" w:lineRule="exact"/>
        <w:ind w:left="-105" w:leftChars="-50" w:right="-105" w:rightChars="-50"/>
        <w:jc w:val="both"/>
        <w:rPr>
          <w:rFonts w:hint="eastAsia" w:ascii="仿宋" w:hAnsi="仿宋" w:eastAsia="仿宋"/>
          <w:color w:val="auto"/>
          <w:kern w:val="0"/>
          <w:sz w:val="28"/>
          <w:szCs w:val="28"/>
          <w:highlight w:val="none"/>
          <w:shd w:val="clear" w:color="auto" w:fill="auto"/>
          <w:lang w:val="en-US" w:eastAsia="zh-CN"/>
        </w:rPr>
      </w:pPr>
      <w:r>
        <w:rPr>
          <w:rFonts w:hint="eastAsia" w:ascii="仿宋" w:hAnsi="仿宋" w:eastAsia="仿宋" w:cs="Times New Roman"/>
          <w:color w:val="auto"/>
          <w:kern w:val="0"/>
          <w:sz w:val="28"/>
          <w:szCs w:val="28"/>
          <w:highlight w:val="none"/>
          <w:shd w:val="clear" w:color="auto" w:fill="auto"/>
          <w:lang w:val="en-US" w:eastAsia="zh-CN"/>
        </w:rPr>
        <w:br w:type="page"/>
      </w:r>
      <w:r>
        <w:rPr>
          <w:rFonts w:hint="eastAsia" w:ascii="仿宋" w:hAnsi="仿宋" w:eastAsia="仿宋" w:cs="Times New Roman"/>
          <w:color w:val="auto"/>
          <w:kern w:val="0"/>
          <w:sz w:val="28"/>
          <w:szCs w:val="28"/>
          <w:highlight w:val="none"/>
          <w:shd w:val="clear" w:color="auto" w:fill="auto"/>
          <w:lang w:val="en-US" w:eastAsia="zh-CN"/>
        </w:rPr>
        <w:t>附件3：</w:t>
      </w:r>
      <w:r>
        <w:rPr>
          <w:rFonts w:hint="eastAsia" w:ascii="仿宋" w:hAnsi="仿宋" w:eastAsia="仿宋"/>
          <w:color w:val="auto"/>
          <w:kern w:val="0"/>
          <w:sz w:val="28"/>
          <w:szCs w:val="28"/>
          <w:highlight w:val="none"/>
          <w:shd w:val="clear" w:color="auto" w:fill="auto"/>
          <w:lang w:val="en-US" w:eastAsia="zh-CN"/>
        </w:rPr>
        <w:t>《西安曲江新区公厕管理工作考核办法（修订）》</w:t>
      </w:r>
    </w:p>
    <w:p w14:paraId="342CB765">
      <w:pPr>
        <w:snapToGrid w:val="0"/>
        <w:spacing w:line="560" w:lineRule="exact"/>
        <w:ind w:left="-105" w:leftChars="-50" w:right="-105" w:rightChars="-50"/>
        <w:jc w:val="center"/>
        <w:rPr>
          <w:rFonts w:hint="eastAsia" w:ascii="方正小标宋简体" w:hAnsi="方正小标宋简体" w:eastAsia="方正小标宋简体" w:cs="方正小标宋简体"/>
          <w:sz w:val="44"/>
          <w:szCs w:val="44"/>
          <w:highlight w:val="none"/>
        </w:rPr>
      </w:pPr>
    </w:p>
    <w:p w14:paraId="769C33CA">
      <w:pPr>
        <w:snapToGrid w:val="0"/>
        <w:spacing w:line="560" w:lineRule="exact"/>
        <w:ind w:left="-105" w:leftChars="-50" w:right="-105" w:rightChars="-50"/>
        <w:jc w:val="center"/>
        <w:rPr>
          <w:rFonts w:hint="eastAsia" w:ascii="方正小标宋简体" w:hAnsi="方正小标宋简体" w:eastAsia="方正小标宋简体" w:cs="方正小标宋简体"/>
          <w:bCs/>
          <w:sz w:val="44"/>
          <w:szCs w:val="44"/>
          <w:highlight w:val="none"/>
        </w:rPr>
      </w:pPr>
      <w:r>
        <w:rPr>
          <w:rFonts w:hint="eastAsia" w:ascii="方正小标宋简体" w:hAnsi="方正小标宋简体" w:eastAsia="方正小标宋简体" w:cs="方正小标宋简体"/>
          <w:sz w:val="44"/>
          <w:szCs w:val="44"/>
          <w:highlight w:val="none"/>
        </w:rPr>
        <w:t>西安曲江</w:t>
      </w:r>
      <w:r>
        <w:rPr>
          <w:rFonts w:hint="eastAsia" w:ascii="方正小标宋简体" w:hAnsi="方正小标宋简体" w:eastAsia="方正小标宋简体" w:cs="方正小标宋简体"/>
          <w:sz w:val="44"/>
          <w:szCs w:val="44"/>
          <w:highlight w:val="none"/>
          <w:lang w:eastAsia="zh-CN"/>
        </w:rPr>
        <w:t>新区</w:t>
      </w:r>
      <w:r>
        <w:rPr>
          <w:rFonts w:hint="eastAsia" w:ascii="方正小标宋简体" w:hAnsi="方正小标宋简体" w:eastAsia="方正小标宋简体" w:cs="方正小标宋简体"/>
          <w:bCs/>
          <w:sz w:val="44"/>
          <w:szCs w:val="44"/>
          <w:highlight w:val="none"/>
        </w:rPr>
        <w:t>公厕管理工作考核办法</w:t>
      </w:r>
    </w:p>
    <w:p w14:paraId="04CFADC0">
      <w:pPr>
        <w:spacing w:line="500" w:lineRule="exact"/>
        <w:jc w:val="center"/>
        <w:rPr>
          <w:rFonts w:hint="eastAsia" w:ascii="黑体" w:hAnsi="黑体" w:eastAsia="黑体" w:cs="黑体"/>
          <w:bCs/>
          <w:sz w:val="32"/>
          <w:szCs w:val="32"/>
          <w:highlight w:val="none"/>
        </w:rPr>
      </w:pPr>
      <w:r>
        <w:rPr>
          <w:rFonts w:hint="eastAsia" w:ascii="黑体" w:hAnsi="黑体" w:eastAsia="黑体" w:cs="黑体"/>
          <w:bCs/>
          <w:sz w:val="32"/>
          <w:szCs w:val="32"/>
          <w:highlight w:val="none"/>
        </w:rPr>
        <w:t>（修订）</w:t>
      </w:r>
    </w:p>
    <w:p w14:paraId="42E62DF4">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为进一步加强曲江新区公厕管理工作，促进我区公厕</w:t>
      </w:r>
      <w:r>
        <w:rPr>
          <w:rFonts w:hint="eastAsia" w:ascii="仿宋_GB2312" w:hAnsi="仿宋_GB2312" w:eastAsia="仿宋_GB2312" w:cs="仿宋_GB2312"/>
          <w:sz w:val="32"/>
          <w:szCs w:val="32"/>
          <w:highlight w:val="none"/>
          <w:lang w:eastAsia="zh-CN"/>
        </w:rPr>
        <w:t>精细化</w:t>
      </w:r>
      <w:r>
        <w:rPr>
          <w:rFonts w:hint="eastAsia" w:ascii="仿宋_GB2312" w:hAnsi="仿宋_GB2312" w:eastAsia="仿宋_GB2312" w:cs="仿宋_GB2312"/>
          <w:sz w:val="32"/>
          <w:szCs w:val="32"/>
          <w:highlight w:val="none"/>
        </w:rPr>
        <w:t>服务管理的规范化、标准化，现结合曲江新区管理实际，特制定本考核办法。</w:t>
      </w:r>
    </w:p>
    <w:p w14:paraId="15620F5D">
      <w:pPr>
        <w:snapToGrid w:val="0"/>
        <w:spacing w:line="56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一、考核主体、对象</w:t>
      </w:r>
    </w:p>
    <w:p w14:paraId="5CB59EAA">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1、考核主体：曲江新区</w:t>
      </w:r>
      <w:r>
        <w:rPr>
          <w:rFonts w:hint="eastAsia" w:ascii="仿宋_GB2312" w:hAnsi="仿宋_GB2312" w:eastAsia="仿宋_GB2312" w:cs="仿宋_GB2312"/>
          <w:sz w:val="32"/>
          <w:szCs w:val="32"/>
          <w:highlight w:val="none"/>
          <w:lang w:eastAsia="zh-CN"/>
        </w:rPr>
        <w:t>城市管理和综合执法局</w:t>
      </w:r>
      <w:r>
        <w:rPr>
          <w:rFonts w:hint="eastAsia" w:ascii="仿宋_GB2312" w:hAnsi="仿宋_GB2312" w:eastAsia="仿宋_GB2312" w:cs="仿宋_GB2312"/>
          <w:sz w:val="32"/>
          <w:szCs w:val="32"/>
          <w:highlight w:val="none"/>
        </w:rPr>
        <w:t>。</w:t>
      </w:r>
    </w:p>
    <w:p w14:paraId="007BF79C">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2、考核对象：负责核心区公厕管理的政府采购中标单位。</w:t>
      </w:r>
    </w:p>
    <w:p w14:paraId="705FE02E">
      <w:pPr>
        <w:snapToGrid w:val="0"/>
        <w:spacing w:line="56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二、考评原则</w:t>
      </w:r>
    </w:p>
    <w:p w14:paraId="3D67A657">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按照“免费开放、人员在岗、标志明显、设施完善、卫生达标、环境优美、管理规范、服务一流”的标准，“公开、公平、透明”的原则，对公厕管理进行检查考评。</w:t>
      </w:r>
    </w:p>
    <w:p w14:paraId="3CE15A8B">
      <w:pPr>
        <w:snapToGrid w:val="0"/>
        <w:spacing w:line="56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三、考核依据、方式</w:t>
      </w:r>
    </w:p>
    <w:p w14:paraId="6C7EB88E">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1、根据《曲江新区免费公厕维护管理及保洁标准》及《曲江新区免费公厕考核内容及扣分标准》进行量化考核。</w:t>
      </w:r>
    </w:p>
    <w:p w14:paraId="5D84F340">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2、每月随机抽取中标单位</w:t>
      </w:r>
      <w:r>
        <w:rPr>
          <w:rFonts w:hint="eastAsia" w:ascii="仿宋_GB2312" w:hAnsi="仿宋_GB2312" w:eastAsia="仿宋_GB2312" w:cs="仿宋_GB2312"/>
          <w:sz w:val="32"/>
          <w:szCs w:val="32"/>
          <w:highlight w:val="none"/>
          <w:lang w:eastAsia="zh-CN"/>
        </w:rPr>
        <w:t>负责公厕数量的</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，进行现场检查考核。</w:t>
      </w:r>
    </w:p>
    <w:p w14:paraId="15C80F7B">
      <w:pPr>
        <w:snapToGrid w:val="0"/>
        <w:spacing w:line="560" w:lineRule="exact"/>
        <w:ind w:firstLine="640" w:firstLineChars="200"/>
        <w:rPr>
          <w:rFonts w:hint="eastAsia" w:ascii="仿宋" w:hAnsi="仿宋" w:eastAsia="仿宋" w:cs="黑体"/>
          <w:sz w:val="32"/>
          <w:szCs w:val="32"/>
          <w:highlight w:val="none"/>
        </w:rPr>
      </w:pPr>
      <w:r>
        <w:rPr>
          <w:rFonts w:hint="eastAsia" w:ascii="仿宋" w:hAnsi="仿宋" w:eastAsia="仿宋" w:cs="黑体"/>
          <w:sz w:val="32"/>
          <w:szCs w:val="32"/>
          <w:highlight w:val="none"/>
        </w:rPr>
        <w:t>四、考核内容</w:t>
      </w:r>
    </w:p>
    <w:p w14:paraId="0CFCD06B">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考核内容包括：公厕管理、公厕保洁质量、设施设备维护、通报及投诉处置、宣传及资料报送、工作指令落实等内容。</w:t>
      </w:r>
    </w:p>
    <w:p w14:paraId="09312292">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具体考核内容详见《曲江新区免费公厕考核内容及扣分标准》。</w:t>
      </w:r>
    </w:p>
    <w:p w14:paraId="22A685B0">
      <w:pPr>
        <w:snapToGrid w:val="0"/>
        <w:spacing w:line="56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五、考核运用</w:t>
      </w:r>
    </w:p>
    <w:p w14:paraId="3C5AA784">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1、公厕管理具有动态特性，考核打分结合日常公厕管理质量结果、重大活动保障落实执行等按照考核内容进行量化打分。</w:t>
      </w:r>
    </w:p>
    <w:p w14:paraId="631F1FCF">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2、结合日常公厕管理和月度考核管理情况，得出当月考核分值，依据月度考核结果进行奖惩；根据年度公厕质量考评结果实行淘汰制。</w:t>
      </w:r>
    </w:p>
    <w:p w14:paraId="5E8BB997">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3、考核分值为百分制，实行无记名打分。</w:t>
      </w:r>
    </w:p>
    <w:p w14:paraId="2C0E8D66">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4、以考核标准分值为计分基础，98分（含）-100分为优秀，95分（含）-98分为良好，90分（含）-95分为及格，80分（含）-90分为不及格，低于80分值的为差。</w:t>
      </w:r>
    </w:p>
    <w:p w14:paraId="7F4307CF">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5、月度考核于每月的最后一周内进行；年度考评暂定在12月份进行。</w:t>
      </w:r>
    </w:p>
    <w:p w14:paraId="2C11F456">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6、月度考核由</w:t>
      </w:r>
      <w:r>
        <w:rPr>
          <w:rFonts w:hint="eastAsia" w:ascii="仿宋_GB2312" w:hAnsi="仿宋_GB2312" w:eastAsia="仿宋_GB2312" w:cs="仿宋_GB2312"/>
          <w:sz w:val="32"/>
          <w:szCs w:val="32"/>
          <w:highlight w:val="none"/>
          <w:lang w:eastAsia="zh-CN"/>
        </w:rPr>
        <w:t>城市管理和综合执法局环境卫生管理科</w:t>
      </w:r>
      <w:r>
        <w:rPr>
          <w:rFonts w:hint="eastAsia" w:ascii="仿宋_GB2312" w:hAnsi="仿宋_GB2312" w:eastAsia="仿宋_GB2312" w:cs="仿宋_GB2312"/>
          <w:sz w:val="32"/>
          <w:szCs w:val="32"/>
          <w:highlight w:val="none"/>
        </w:rPr>
        <w:t>负责组织实施；年终考核由</w:t>
      </w:r>
      <w:r>
        <w:rPr>
          <w:rFonts w:hint="eastAsia" w:ascii="仿宋_GB2312" w:hAnsi="仿宋_GB2312" w:eastAsia="仿宋_GB2312" w:cs="仿宋_GB2312"/>
          <w:sz w:val="32"/>
          <w:szCs w:val="32"/>
          <w:highlight w:val="none"/>
          <w:lang w:eastAsia="zh-CN"/>
        </w:rPr>
        <w:t>城市管理和综合执法局环境卫生管理科</w:t>
      </w:r>
      <w:r>
        <w:rPr>
          <w:rFonts w:hint="eastAsia" w:ascii="仿宋_GB2312" w:hAnsi="仿宋_GB2312" w:eastAsia="仿宋_GB2312" w:cs="仿宋_GB2312"/>
          <w:sz w:val="32"/>
          <w:szCs w:val="32"/>
          <w:highlight w:val="none"/>
        </w:rPr>
        <w:t>组成考评小组进行综合考评。</w:t>
      </w:r>
    </w:p>
    <w:p w14:paraId="421EAE36">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7、奖惩：</w:t>
      </w:r>
    </w:p>
    <w:p w14:paraId="061BA24F">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（1）被新闻媒体宣传报道或行业部门等上级提出表扬的，每次加1-2分。</w:t>
      </w:r>
    </w:p>
    <w:p w14:paraId="30D4DBA8">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（2）分值在良好线以上的（含95分），给予书面通报表扬。</w:t>
      </w:r>
    </w:p>
    <w:p w14:paraId="23A733E9">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（3）分值在及格线以上的，按照合同约定支付月度公厕管理承包费。</w:t>
      </w:r>
    </w:p>
    <w:p w14:paraId="2EFAFC80">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（4）分值在不及格区间的，根据考核分值支付月度公厕管理承包费。</w:t>
      </w:r>
    </w:p>
    <w:p w14:paraId="75166AF3">
      <w:pPr>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即：按实际得分与及格下线（90分）的分差，每低1分=0.5%的月度公厕管理承包费。</w:t>
      </w:r>
    </w:p>
    <w:p w14:paraId="66412175">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（5）分值为差的，支付80%月度公厕管理承包费。</w:t>
      </w:r>
    </w:p>
    <w:p w14:paraId="116F20DB">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8、考核排名末位且分值为不及格或差的</w:t>
      </w:r>
    </w:p>
    <w:p w14:paraId="4B03E11C">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将按照考核分值及以下情况进行综合评定支付月度公厕管理承包费用：</w:t>
      </w:r>
    </w:p>
    <w:p w14:paraId="3F372EFB">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首次末位由中标单位项目负责人在曲江新区</w:t>
      </w:r>
      <w:r>
        <w:rPr>
          <w:rFonts w:hint="eastAsia" w:ascii="仿宋_GB2312" w:hAnsi="仿宋_GB2312" w:eastAsia="仿宋_GB2312" w:cs="仿宋_GB2312"/>
          <w:sz w:val="32"/>
          <w:szCs w:val="32"/>
          <w:highlight w:val="none"/>
          <w:lang w:eastAsia="zh-CN"/>
        </w:rPr>
        <w:t>城市管理和综合执法局环境卫生管理科</w:t>
      </w:r>
      <w:r>
        <w:rPr>
          <w:rFonts w:hint="eastAsia" w:ascii="仿宋_GB2312" w:hAnsi="仿宋_GB2312" w:eastAsia="仿宋_GB2312" w:cs="仿宋_GB2312"/>
          <w:sz w:val="32"/>
          <w:szCs w:val="32"/>
          <w:highlight w:val="none"/>
        </w:rPr>
        <w:t>组织召开的市容管理工作月度大会上做工作改进表态发言；</w:t>
      </w:r>
    </w:p>
    <w:p w14:paraId="0ED23807">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二次末位的，对该中标单位通报批评，并使用其10%月度公厕管理承包费，用于改进提升;</w:t>
      </w:r>
    </w:p>
    <w:p w14:paraId="1F73E84C">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第三次末位的，对该中标单位通报批评，直接解除承包管理合同或取消第二年其投标资格。</w:t>
      </w:r>
    </w:p>
    <w:p w14:paraId="69BDAA8F">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9、出现重大安全生产事故的，一票否决，解除与责任管理公司的公厕管理劳务承包合同或取消其下年度投标资格。</w:t>
      </w:r>
    </w:p>
    <w:p w14:paraId="07E23536">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六、其它</w:t>
      </w:r>
    </w:p>
    <w:p w14:paraId="76A7661F">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（1）本办法自发布之日起实施。</w:t>
      </w:r>
    </w:p>
    <w:p w14:paraId="7352E223">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（2）本办法在实际工作中不断予以完善。</w:t>
      </w:r>
    </w:p>
    <w:p w14:paraId="479F2F40">
      <w:pPr>
        <w:spacing w:line="58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附:《曲江新区公厕考核内容及</w:t>
      </w:r>
      <w:r>
        <w:rPr>
          <w:rFonts w:hint="eastAsia" w:ascii="仿宋_GB2312" w:hAnsi="仿宋_GB2312" w:eastAsia="仿宋_GB2312" w:cs="仿宋_GB2312"/>
          <w:sz w:val="32"/>
          <w:szCs w:val="32"/>
          <w:highlight w:val="none"/>
          <w:lang w:eastAsia="zh-CN"/>
        </w:rPr>
        <w:t>打分</w:t>
      </w:r>
      <w:r>
        <w:rPr>
          <w:rFonts w:hint="eastAsia" w:ascii="仿宋_GB2312" w:hAnsi="仿宋_GB2312" w:eastAsia="仿宋_GB2312" w:cs="仿宋_GB2312"/>
          <w:sz w:val="32"/>
          <w:szCs w:val="32"/>
          <w:highlight w:val="none"/>
        </w:rPr>
        <w:t>标准》</w:t>
      </w:r>
    </w:p>
    <w:p w14:paraId="114D1345">
      <w:pPr>
        <w:ind w:firstLine="643" w:firstLineChars="200"/>
        <w:rPr>
          <w:rFonts w:hint="eastAsia" w:ascii="仿宋" w:hAnsi="仿宋" w:eastAsia="仿宋" w:cs="仿宋_GB2312"/>
          <w:b/>
          <w:sz w:val="32"/>
          <w:szCs w:val="32"/>
          <w:highlight w:val="none"/>
        </w:rPr>
      </w:pPr>
    </w:p>
    <w:p w14:paraId="5CBB6445">
      <w:pPr>
        <w:ind w:firstLine="643" w:firstLineChars="200"/>
        <w:rPr>
          <w:rFonts w:hint="eastAsia" w:ascii="仿宋" w:hAnsi="仿宋" w:eastAsia="仿宋" w:cs="仿宋_GB2312"/>
          <w:b/>
          <w:sz w:val="32"/>
          <w:szCs w:val="32"/>
          <w:highlight w:val="none"/>
        </w:rPr>
      </w:pPr>
    </w:p>
    <w:p w14:paraId="4E2EF581">
      <w:pPr>
        <w:ind w:firstLine="643" w:firstLineChars="200"/>
        <w:rPr>
          <w:rFonts w:hint="eastAsia" w:ascii="仿宋" w:hAnsi="仿宋" w:eastAsia="仿宋" w:cs="仿宋_GB2312"/>
          <w:b/>
          <w:sz w:val="32"/>
          <w:szCs w:val="32"/>
          <w:highlight w:val="none"/>
        </w:rPr>
      </w:pPr>
    </w:p>
    <w:p w14:paraId="498888A9">
      <w:pPr>
        <w:ind w:firstLine="643" w:firstLineChars="200"/>
        <w:rPr>
          <w:rFonts w:hint="eastAsia" w:ascii="仿宋" w:hAnsi="仿宋" w:eastAsia="仿宋" w:cs="仿宋_GB2312"/>
          <w:b/>
          <w:sz w:val="32"/>
          <w:szCs w:val="32"/>
          <w:highlight w:val="none"/>
        </w:rPr>
      </w:pPr>
    </w:p>
    <w:p w14:paraId="3953B33B">
      <w:pPr>
        <w:rPr>
          <w:rFonts w:hint="eastAsia" w:ascii="仿宋" w:hAnsi="仿宋" w:eastAsia="仿宋" w:cs="仿宋_GB2312"/>
          <w:b/>
          <w:sz w:val="32"/>
          <w:szCs w:val="32"/>
          <w:highlight w:val="none"/>
          <w:lang w:val="en-US" w:eastAsia="zh-CN"/>
        </w:rPr>
      </w:pPr>
      <w:r>
        <w:rPr>
          <w:rFonts w:hint="eastAsia" w:ascii="仿宋" w:hAnsi="仿宋" w:eastAsia="仿宋" w:cs="仿宋_GB2312"/>
          <w:b/>
          <w:sz w:val="32"/>
          <w:szCs w:val="32"/>
          <w:highlight w:val="none"/>
          <w:lang w:val="en-US" w:eastAsia="zh-CN"/>
        </w:rPr>
        <w:t xml:space="preserve">                           </w:t>
      </w:r>
    </w:p>
    <w:p w14:paraId="0A8ABC6A">
      <w:pPr>
        <w:ind w:firstLine="4498" w:firstLineChars="1400"/>
        <w:rPr>
          <w:rFonts w:hint="default" w:ascii="仿宋" w:hAnsi="仿宋" w:eastAsia="仿宋" w:cs="仿宋_GB2312"/>
          <w:b/>
          <w:sz w:val="32"/>
          <w:szCs w:val="32"/>
          <w:highlight w:val="none"/>
          <w:lang w:val="en-US" w:eastAsia="zh-CN"/>
        </w:rPr>
      </w:pPr>
      <w:r>
        <w:rPr>
          <w:rFonts w:hint="eastAsia" w:ascii="仿宋" w:hAnsi="仿宋" w:eastAsia="仿宋"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lang w:val="en-US" w:eastAsia="zh-CN"/>
        </w:rPr>
        <w:t>2026年5月12日</w:t>
      </w:r>
    </w:p>
    <w:p w14:paraId="1FE90F1D">
      <w:pPr>
        <w:tabs>
          <w:tab w:val="left" w:pos="1453"/>
        </w:tabs>
        <w:bidi w:val="0"/>
        <w:jc w:val="left"/>
        <w:rPr>
          <w:rFonts w:hint="default"/>
          <w:sz w:val="32"/>
          <w:szCs w:val="32"/>
          <w:highlight w:val="none"/>
          <w:lang w:val="en-US" w:eastAsia="zh-CN"/>
        </w:rPr>
      </w:pPr>
    </w:p>
    <w:p w14:paraId="6F9A8D41">
      <w:pPr>
        <w:tabs>
          <w:tab w:val="left" w:pos="1453"/>
        </w:tabs>
        <w:bidi w:val="0"/>
        <w:jc w:val="left"/>
        <w:rPr>
          <w:rFonts w:hint="default"/>
          <w:sz w:val="32"/>
          <w:szCs w:val="32"/>
          <w:highlight w:val="none"/>
          <w:lang w:val="en-US" w:eastAsia="zh-CN"/>
        </w:rPr>
      </w:pPr>
    </w:p>
    <w:p w14:paraId="76BF832A">
      <w:pPr>
        <w:spacing w:line="500" w:lineRule="exact"/>
        <w:jc w:val="center"/>
        <w:rPr>
          <w:rFonts w:hint="eastAsia" w:ascii="宋体" w:hAnsi="宋体" w:cs="仿宋_GB2312"/>
          <w:sz w:val="36"/>
          <w:szCs w:val="36"/>
          <w:highlight w:val="none"/>
        </w:rPr>
      </w:pPr>
      <w:r>
        <w:rPr>
          <w:rFonts w:hint="eastAsia" w:ascii="宋体" w:hAnsi="宋体" w:cs="仿宋_GB2312"/>
          <w:b/>
          <w:bCs/>
          <w:sz w:val="36"/>
          <w:szCs w:val="36"/>
          <w:highlight w:val="none"/>
        </w:rPr>
        <w:t>曲江新区公厕考核内容及</w:t>
      </w:r>
      <w:r>
        <w:rPr>
          <w:rFonts w:hint="eastAsia" w:ascii="宋体" w:hAnsi="宋体" w:cs="仿宋_GB2312"/>
          <w:b/>
          <w:bCs/>
          <w:sz w:val="36"/>
          <w:szCs w:val="36"/>
          <w:highlight w:val="none"/>
          <w:lang w:eastAsia="zh-CN"/>
        </w:rPr>
        <w:t>打</w:t>
      </w:r>
      <w:r>
        <w:rPr>
          <w:rFonts w:hint="eastAsia" w:ascii="宋体" w:hAnsi="宋体" w:cs="仿宋_GB2312"/>
          <w:b/>
          <w:bCs/>
          <w:sz w:val="36"/>
          <w:szCs w:val="36"/>
          <w:highlight w:val="none"/>
        </w:rPr>
        <w:t>分标准</w:t>
      </w:r>
    </w:p>
    <w:tbl>
      <w:tblPr>
        <w:tblStyle w:val="6"/>
        <w:tblpPr w:leftFromText="180" w:rightFromText="180" w:vertAnchor="page" w:horzAnchor="page" w:tblpX="612" w:tblpY="2215"/>
        <w:tblW w:w="1088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5"/>
        <w:gridCol w:w="5362"/>
        <w:gridCol w:w="3794"/>
        <w:gridCol w:w="850"/>
      </w:tblGrid>
      <w:tr w14:paraId="6C1CF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75" w:type="dxa"/>
            <w:tcBorders>
              <w:top w:val="single" w:color="auto" w:sz="4" w:space="0"/>
              <w:left w:val="single" w:color="auto" w:sz="4" w:space="0"/>
              <w:bottom w:val="single" w:color="auto" w:sz="4" w:space="0"/>
              <w:right w:val="single" w:color="auto" w:sz="4" w:space="0"/>
            </w:tcBorders>
            <w:noWrap w:val="0"/>
            <w:vAlign w:val="center"/>
          </w:tcPr>
          <w:p w14:paraId="627AAAB3">
            <w:pPr>
              <w:spacing w:line="32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考评</w:t>
            </w:r>
          </w:p>
          <w:p w14:paraId="589DEB61">
            <w:pPr>
              <w:spacing w:line="32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项目</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19688F6F">
            <w:pPr>
              <w:spacing w:line="32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考 核 内 容</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4E29FF80">
            <w:pPr>
              <w:spacing w:line="320" w:lineRule="exact"/>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扣 分 标 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13824A5">
            <w:pPr>
              <w:tabs>
                <w:tab w:val="left" w:pos="634"/>
              </w:tabs>
              <w:ind w:left="-105" w:leftChars="-50" w:right="-105" w:rightChars="-50"/>
              <w:jc w:val="center"/>
              <w:rPr>
                <w:rFonts w:hint="eastAsia" w:ascii="仿宋_GB2312" w:hAnsi="仿宋_GB2312" w:eastAsia="仿宋_GB2312" w:cs="仿宋_GB2312"/>
                <w:b/>
                <w:szCs w:val="21"/>
                <w:highlight w:val="none"/>
              </w:rPr>
            </w:pPr>
            <w:r>
              <w:rPr>
                <w:rFonts w:hint="eastAsia" w:ascii="仿宋_GB2312" w:hAnsi="仿宋_GB2312" w:eastAsia="仿宋_GB2312" w:cs="仿宋_GB2312"/>
                <w:b/>
                <w:szCs w:val="21"/>
                <w:highlight w:val="none"/>
              </w:rPr>
              <w:t>实得分</w:t>
            </w:r>
          </w:p>
        </w:tc>
      </w:tr>
      <w:tr w14:paraId="351F7D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875" w:type="dxa"/>
            <w:vMerge w:val="restart"/>
            <w:tcBorders>
              <w:top w:val="single" w:color="auto" w:sz="4" w:space="0"/>
              <w:left w:val="single" w:color="auto" w:sz="4" w:space="0"/>
              <w:right w:val="single" w:color="auto" w:sz="4" w:space="0"/>
            </w:tcBorders>
            <w:noWrap w:val="0"/>
            <w:vAlign w:val="center"/>
          </w:tcPr>
          <w:p w14:paraId="51882B87">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管理</w:t>
            </w:r>
          </w:p>
          <w:p w14:paraId="6186514B">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方面</w:t>
            </w:r>
          </w:p>
          <w:p w14:paraId="5BE97854">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（20分）</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519E2DBE">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1、全天24小时免费开放。（2分）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180A75C8">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公厕未按要求正常开放扣2分。</w:t>
            </w:r>
          </w:p>
        </w:tc>
        <w:tc>
          <w:tcPr>
            <w:tcW w:w="850" w:type="dxa"/>
            <w:vMerge w:val="restart"/>
            <w:tcBorders>
              <w:top w:val="single" w:color="auto" w:sz="4" w:space="0"/>
              <w:left w:val="single" w:color="auto" w:sz="4" w:space="0"/>
              <w:right w:val="single" w:color="auto" w:sz="4" w:space="0"/>
            </w:tcBorders>
            <w:noWrap w:val="0"/>
            <w:vAlign w:val="top"/>
          </w:tcPr>
          <w:p w14:paraId="3213FA35">
            <w:pPr>
              <w:spacing w:line="320" w:lineRule="exact"/>
              <w:rPr>
                <w:rFonts w:hint="eastAsia" w:ascii="仿宋_GB2312" w:hAnsi="仿宋_GB2312" w:eastAsia="仿宋_GB2312" w:cs="仿宋_GB2312"/>
                <w:szCs w:val="21"/>
                <w:highlight w:val="none"/>
              </w:rPr>
            </w:pPr>
          </w:p>
          <w:p w14:paraId="0160773F">
            <w:pPr>
              <w:spacing w:line="320" w:lineRule="exact"/>
              <w:rPr>
                <w:rFonts w:hint="eastAsia" w:ascii="仿宋_GB2312" w:hAnsi="仿宋_GB2312" w:eastAsia="仿宋_GB2312" w:cs="仿宋_GB2312"/>
                <w:szCs w:val="21"/>
                <w:highlight w:val="none"/>
              </w:rPr>
            </w:pPr>
          </w:p>
        </w:tc>
      </w:tr>
      <w:tr w14:paraId="67C54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875" w:type="dxa"/>
            <w:vMerge w:val="continue"/>
            <w:tcBorders>
              <w:left w:val="single" w:color="auto" w:sz="4" w:space="0"/>
              <w:right w:val="single" w:color="auto" w:sz="4" w:space="0"/>
            </w:tcBorders>
            <w:noWrap w:val="0"/>
            <w:vAlign w:val="center"/>
          </w:tcPr>
          <w:p w14:paraId="09C580B3">
            <w:pPr>
              <w:spacing w:line="320" w:lineRule="exact"/>
              <w:jc w:val="center"/>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5F3F4CC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2、公厕设专人管理保洁，无擅自脱岗、离岗现象。（2分）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5AFB49A2">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发现一人扣1分，扣完为止。</w:t>
            </w:r>
          </w:p>
        </w:tc>
        <w:tc>
          <w:tcPr>
            <w:tcW w:w="850" w:type="dxa"/>
            <w:vMerge w:val="continue"/>
            <w:tcBorders>
              <w:left w:val="single" w:color="auto" w:sz="4" w:space="0"/>
              <w:right w:val="single" w:color="auto" w:sz="4" w:space="0"/>
            </w:tcBorders>
            <w:noWrap w:val="0"/>
            <w:vAlign w:val="top"/>
          </w:tcPr>
          <w:p w14:paraId="1F4DD3AE">
            <w:pPr>
              <w:spacing w:line="320" w:lineRule="exact"/>
              <w:rPr>
                <w:rFonts w:hint="eastAsia" w:ascii="仿宋_GB2312" w:hAnsi="仿宋_GB2312" w:eastAsia="仿宋_GB2312" w:cs="仿宋_GB2312"/>
                <w:szCs w:val="21"/>
                <w:highlight w:val="none"/>
              </w:rPr>
            </w:pPr>
          </w:p>
        </w:tc>
      </w:tr>
      <w:tr w14:paraId="7BA9CD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875" w:type="dxa"/>
            <w:vMerge w:val="continue"/>
            <w:tcBorders>
              <w:left w:val="single" w:color="auto" w:sz="4" w:space="0"/>
              <w:right w:val="single" w:color="auto" w:sz="4" w:space="0"/>
            </w:tcBorders>
            <w:noWrap w:val="0"/>
            <w:vAlign w:val="center"/>
          </w:tcPr>
          <w:p w14:paraId="63EEE9A5">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70A2F02A">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3、有所长公示（保持电话畅通）、监督电话、开放时间、管理制度、工作职责，并挂牌上墙，无脏污、破损。（4分）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4F7C6FEA">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不符合要求设置每项扣1分，扣完为止。</w:t>
            </w:r>
          </w:p>
        </w:tc>
        <w:tc>
          <w:tcPr>
            <w:tcW w:w="850" w:type="dxa"/>
            <w:vMerge w:val="continue"/>
            <w:tcBorders>
              <w:left w:val="single" w:color="auto" w:sz="4" w:space="0"/>
              <w:right w:val="single" w:color="auto" w:sz="4" w:space="0"/>
            </w:tcBorders>
            <w:noWrap w:val="0"/>
            <w:vAlign w:val="top"/>
          </w:tcPr>
          <w:p w14:paraId="79DF7193">
            <w:pPr>
              <w:spacing w:line="320" w:lineRule="exact"/>
              <w:rPr>
                <w:rFonts w:hint="eastAsia" w:ascii="仿宋_GB2312" w:hAnsi="仿宋_GB2312" w:eastAsia="仿宋_GB2312" w:cs="仿宋_GB2312"/>
                <w:szCs w:val="21"/>
                <w:highlight w:val="none"/>
              </w:rPr>
            </w:pPr>
          </w:p>
        </w:tc>
      </w:tr>
      <w:tr w14:paraId="0E5AF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1" w:hRule="atLeast"/>
        </w:trPr>
        <w:tc>
          <w:tcPr>
            <w:tcW w:w="875" w:type="dxa"/>
            <w:vMerge w:val="continue"/>
            <w:tcBorders>
              <w:left w:val="single" w:color="auto" w:sz="4" w:space="0"/>
              <w:right w:val="single" w:color="auto" w:sz="4" w:space="0"/>
            </w:tcBorders>
            <w:noWrap w:val="0"/>
            <w:vAlign w:val="center"/>
          </w:tcPr>
          <w:p w14:paraId="5D6C5E23">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09CB50CF">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4、统一工装；规范保洁，随脏随保；文明服务。（3分）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6D406D3C">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不符合要求设置每项扣1分，扣完为止。</w:t>
            </w:r>
          </w:p>
        </w:tc>
        <w:tc>
          <w:tcPr>
            <w:tcW w:w="850" w:type="dxa"/>
            <w:vMerge w:val="continue"/>
            <w:tcBorders>
              <w:left w:val="single" w:color="auto" w:sz="4" w:space="0"/>
              <w:right w:val="single" w:color="auto" w:sz="4" w:space="0"/>
            </w:tcBorders>
            <w:noWrap w:val="0"/>
            <w:vAlign w:val="top"/>
          </w:tcPr>
          <w:p w14:paraId="50BDCF03">
            <w:pPr>
              <w:spacing w:line="320" w:lineRule="exact"/>
              <w:rPr>
                <w:rFonts w:hint="eastAsia" w:ascii="仿宋_GB2312" w:hAnsi="仿宋_GB2312" w:eastAsia="仿宋_GB2312" w:cs="仿宋_GB2312"/>
                <w:szCs w:val="21"/>
                <w:highlight w:val="none"/>
              </w:rPr>
            </w:pPr>
          </w:p>
        </w:tc>
      </w:tr>
      <w:tr w14:paraId="692305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75" w:type="dxa"/>
            <w:vMerge w:val="continue"/>
            <w:tcBorders>
              <w:left w:val="single" w:color="auto" w:sz="4" w:space="0"/>
              <w:right w:val="single" w:color="auto" w:sz="4" w:space="0"/>
            </w:tcBorders>
            <w:noWrap w:val="0"/>
            <w:vAlign w:val="center"/>
          </w:tcPr>
          <w:p w14:paraId="6F207E16">
            <w:pPr>
              <w:jc w:val="center"/>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37064A39">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5、工作期间不允许有保洁员从事与保洁无关的事项。（4分）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4CEC62FE">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发现一次扣1分，扣完为止。</w:t>
            </w:r>
          </w:p>
        </w:tc>
        <w:tc>
          <w:tcPr>
            <w:tcW w:w="850" w:type="dxa"/>
            <w:vMerge w:val="continue"/>
            <w:tcBorders>
              <w:left w:val="single" w:color="auto" w:sz="4" w:space="0"/>
              <w:right w:val="single" w:color="auto" w:sz="4" w:space="0"/>
            </w:tcBorders>
            <w:noWrap w:val="0"/>
            <w:vAlign w:val="top"/>
          </w:tcPr>
          <w:p w14:paraId="76881BA5">
            <w:pPr>
              <w:rPr>
                <w:rFonts w:hint="eastAsia" w:ascii="仿宋_GB2312" w:hAnsi="仿宋_GB2312" w:eastAsia="仿宋_GB2312" w:cs="仿宋_GB2312"/>
                <w:szCs w:val="21"/>
                <w:highlight w:val="none"/>
              </w:rPr>
            </w:pPr>
          </w:p>
        </w:tc>
      </w:tr>
      <w:tr w14:paraId="0C8B8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trPr>
        <w:tc>
          <w:tcPr>
            <w:tcW w:w="875" w:type="dxa"/>
            <w:vMerge w:val="continue"/>
            <w:tcBorders>
              <w:left w:val="single" w:color="auto" w:sz="4" w:space="0"/>
              <w:bottom w:val="single" w:color="auto" w:sz="4" w:space="0"/>
              <w:right w:val="single" w:color="auto" w:sz="4" w:space="0"/>
            </w:tcBorders>
            <w:noWrap w:val="0"/>
            <w:vAlign w:val="center"/>
          </w:tcPr>
          <w:p w14:paraId="73663423">
            <w:pPr>
              <w:jc w:val="center"/>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6B0EEB83">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6、有临时停电、停水、漏水、维修等应急预案；第一时间采取应对措施。（5分）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2B919ADD">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未及时采取应急措施、未做好应急解释工作每项扣2.5分。</w:t>
            </w:r>
          </w:p>
        </w:tc>
        <w:tc>
          <w:tcPr>
            <w:tcW w:w="850" w:type="dxa"/>
            <w:vMerge w:val="continue"/>
            <w:tcBorders>
              <w:left w:val="single" w:color="auto" w:sz="4" w:space="0"/>
              <w:bottom w:val="single" w:color="auto" w:sz="4" w:space="0"/>
              <w:right w:val="single" w:color="auto" w:sz="4" w:space="0"/>
            </w:tcBorders>
            <w:noWrap w:val="0"/>
            <w:vAlign w:val="top"/>
          </w:tcPr>
          <w:p w14:paraId="19CB1FDF">
            <w:pPr>
              <w:rPr>
                <w:rFonts w:hint="eastAsia" w:ascii="仿宋_GB2312" w:hAnsi="仿宋_GB2312" w:eastAsia="仿宋_GB2312" w:cs="仿宋_GB2312"/>
                <w:szCs w:val="21"/>
                <w:highlight w:val="none"/>
              </w:rPr>
            </w:pPr>
          </w:p>
        </w:tc>
      </w:tr>
      <w:tr w14:paraId="1EE9C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75" w:type="dxa"/>
            <w:vMerge w:val="restart"/>
            <w:tcBorders>
              <w:top w:val="single" w:color="auto" w:sz="4" w:space="0"/>
              <w:left w:val="single" w:color="auto" w:sz="4" w:space="0"/>
              <w:right w:val="single" w:color="auto" w:sz="4" w:space="0"/>
            </w:tcBorders>
            <w:noWrap w:val="0"/>
            <w:vAlign w:val="center"/>
          </w:tcPr>
          <w:p w14:paraId="3BD8CFA7">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设施</w:t>
            </w:r>
          </w:p>
          <w:p w14:paraId="427C5CE9">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设备</w:t>
            </w:r>
          </w:p>
          <w:p w14:paraId="7C1C65DF">
            <w:pPr>
              <w:spacing w:line="320" w:lineRule="exac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lang w:eastAsia="zh-CN"/>
              </w:rPr>
              <w:t>（</w:t>
            </w:r>
            <w:r>
              <w:rPr>
                <w:rFonts w:hint="eastAsia" w:ascii="仿宋_GB2312" w:hAnsi="仿宋_GB2312" w:eastAsia="仿宋_GB2312" w:cs="仿宋_GB2312"/>
                <w:szCs w:val="21"/>
                <w:highlight w:val="none"/>
              </w:rPr>
              <w:t>35分</w:t>
            </w:r>
            <w:r>
              <w:rPr>
                <w:rFonts w:hint="eastAsia" w:ascii="仿宋_GB2312" w:hAnsi="仿宋_GB2312" w:eastAsia="仿宋_GB2312" w:cs="仿宋_GB2312"/>
                <w:szCs w:val="21"/>
                <w:highlight w:val="none"/>
                <w:lang w:eastAsia="zh-CN"/>
              </w:rPr>
              <w:t>）</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523C30AA">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1、公共厕所男、女、残疾人、第三卫生间等标志牌按标准安装，明显、规范、整洁、完好。（4分）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69BBADFF">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不符合要求设置每项扣1分，扣完为止。</w:t>
            </w:r>
          </w:p>
        </w:tc>
        <w:tc>
          <w:tcPr>
            <w:tcW w:w="850" w:type="dxa"/>
            <w:vMerge w:val="restart"/>
            <w:tcBorders>
              <w:top w:val="single" w:color="auto" w:sz="4" w:space="0"/>
              <w:left w:val="single" w:color="auto" w:sz="4" w:space="0"/>
              <w:right w:val="single" w:color="auto" w:sz="4" w:space="0"/>
            </w:tcBorders>
            <w:noWrap w:val="0"/>
            <w:vAlign w:val="top"/>
          </w:tcPr>
          <w:p w14:paraId="44D7EFEA">
            <w:pPr>
              <w:rPr>
                <w:rFonts w:hint="eastAsia" w:ascii="仿宋_GB2312" w:hAnsi="仿宋_GB2312" w:eastAsia="仿宋_GB2312" w:cs="仿宋_GB2312"/>
                <w:szCs w:val="21"/>
                <w:highlight w:val="none"/>
              </w:rPr>
            </w:pPr>
          </w:p>
        </w:tc>
      </w:tr>
      <w:tr w14:paraId="0C0B17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3" w:hRule="atLeast"/>
        </w:trPr>
        <w:tc>
          <w:tcPr>
            <w:tcW w:w="875" w:type="dxa"/>
            <w:vMerge w:val="continue"/>
            <w:tcBorders>
              <w:left w:val="single" w:color="auto" w:sz="4" w:space="0"/>
              <w:right w:val="single" w:color="auto" w:sz="4" w:space="0"/>
            </w:tcBorders>
            <w:noWrap w:val="0"/>
            <w:vAlign w:val="center"/>
          </w:tcPr>
          <w:p w14:paraId="725411EF">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6F024EAE">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2、公厕墙壁、屋顶、门窗、地面蹲台、便器、小便池、隔断板门、管理间、无障碍设施、水龙头、洗手（盆）池、墩布池、烘手器、挂衣钩、灯具、防蝇措施（灭蝇灯、纱窗、防蝇帘）、室内绿植、软装等各种设施、设备齐全完好、统一、有效、整洁。（20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6AA55606">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设施设备不合要求每项扣2分，扣完为止。</w:t>
            </w:r>
          </w:p>
        </w:tc>
        <w:tc>
          <w:tcPr>
            <w:tcW w:w="850" w:type="dxa"/>
            <w:vMerge w:val="continue"/>
            <w:tcBorders>
              <w:left w:val="single" w:color="auto" w:sz="4" w:space="0"/>
              <w:right w:val="single" w:color="auto" w:sz="4" w:space="0"/>
            </w:tcBorders>
            <w:noWrap w:val="0"/>
            <w:vAlign w:val="top"/>
          </w:tcPr>
          <w:p w14:paraId="38E55B06">
            <w:pPr>
              <w:rPr>
                <w:rFonts w:hint="eastAsia" w:ascii="仿宋_GB2312" w:hAnsi="仿宋_GB2312" w:eastAsia="仿宋_GB2312" w:cs="仿宋_GB2312"/>
                <w:szCs w:val="21"/>
                <w:highlight w:val="none"/>
              </w:rPr>
            </w:pPr>
          </w:p>
        </w:tc>
      </w:tr>
      <w:tr w14:paraId="53601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875" w:type="dxa"/>
            <w:vMerge w:val="continue"/>
            <w:tcBorders>
              <w:left w:val="single" w:color="auto" w:sz="4" w:space="0"/>
              <w:right w:val="single" w:color="auto" w:sz="4" w:space="0"/>
            </w:tcBorders>
            <w:noWrap w:val="0"/>
            <w:vAlign w:val="center"/>
          </w:tcPr>
          <w:p w14:paraId="666FDE09">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4B79A9E9">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3、地面潮湿时，应铺设防滑垫，设置防滑标志；保洁、维修设施时，应有明显、统一标识提示如厕人员。（6分）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44D4E020">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不按规范要求设置每项扣2分，扣完为止。</w:t>
            </w:r>
          </w:p>
        </w:tc>
        <w:tc>
          <w:tcPr>
            <w:tcW w:w="850" w:type="dxa"/>
            <w:vMerge w:val="continue"/>
            <w:tcBorders>
              <w:left w:val="single" w:color="auto" w:sz="4" w:space="0"/>
              <w:bottom w:val="single" w:color="auto" w:sz="4" w:space="0"/>
              <w:right w:val="single" w:color="auto" w:sz="4" w:space="0"/>
            </w:tcBorders>
            <w:noWrap w:val="0"/>
            <w:vAlign w:val="top"/>
          </w:tcPr>
          <w:p w14:paraId="26D33BBD">
            <w:pPr>
              <w:rPr>
                <w:rFonts w:hint="eastAsia" w:ascii="仿宋_GB2312" w:hAnsi="仿宋_GB2312" w:eastAsia="仿宋_GB2312" w:cs="仿宋_GB2312"/>
                <w:szCs w:val="21"/>
                <w:highlight w:val="none"/>
              </w:rPr>
            </w:pPr>
          </w:p>
        </w:tc>
      </w:tr>
      <w:tr w14:paraId="4F42FD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875" w:type="dxa"/>
            <w:vMerge w:val="continue"/>
            <w:tcBorders>
              <w:left w:val="single" w:color="auto" w:sz="4" w:space="0"/>
              <w:bottom w:val="single" w:color="auto" w:sz="4" w:space="0"/>
              <w:right w:val="single" w:color="auto" w:sz="4" w:space="0"/>
            </w:tcBorders>
            <w:noWrap w:val="0"/>
            <w:vAlign w:val="center"/>
          </w:tcPr>
          <w:p w14:paraId="03710D1A">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196E9879">
            <w:pPr>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4、第三卫生间及残疾人卫生间设施设备齐全完好、干净整洁，无障碍通道畅通。（5分）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4B78F4EA">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不按规范要求设置每项扣1.5分，扣完为止。</w:t>
            </w:r>
          </w:p>
        </w:tc>
        <w:tc>
          <w:tcPr>
            <w:tcW w:w="850" w:type="dxa"/>
            <w:tcBorders>
              <w:left w:val="single" w:color="auto" w:sz="4" w:space="0"/>
              <w:bottom w:val="single" w:color="auto" w:sz="4" w:space="0"/>
              <w:right w:val="single" w:color="auto" w:sz="4" w:space="0"/>
            </w:tcBorders>
            <w:noWrap w:val="0"/>
            <w:vAlign w:val="top"/>
          </w:tcPr>
          <w:p w14:paraId="088E1859">
            <w:pPr>
              <w:rPr>
                <w:rFonts w:hint="eastAsia" w:ascii="仿宋_GB2312" w:hAnsi="仿宋_GB2312" w:eastAsia="仿宋_GB2312" w:cs="仿宋_GB2312"/>
                <w:szCs w:val="21"/>
                <w:highlight w:val="none"/>
              </w:rPr>
            </w:pPr>
          </w:p>
        </w:tc>
      </w:tr>
      <w:tr w14:paraId="5CC4B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875" w:type="dxa"/>
            <w:vMerge w:val="restart"/>
            <w:tcBorders>
              <w:top w:val="single" w:color="auto" w:sz="4" w:space="0"/>
              <w:left w:val="single" w:color="auto" w:sz="4" w:space="0"/>
              <w:bottom w:val="single" w:color="auto" w:sz="4" w:space="0"/>
              <w:right w:val="single" w:color="auto" w:sz="4" w:space="0"/>
            </w:tcBorders>
            <w:noWrap w:val="0"/>
            <w:vAlign w:val="center"/>
          </w:tcPr>
          <w:p w14:paraId="18AEEBBF">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公厕保洁质量（35分）</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2D02BA89">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1、屋顶墙壁、门窗纱、地面蹲台、便器、隔断板门、管理间、洗手（盆）池、墩布池、挂衣钩、垃圾桶、标识标牌、等设施设备清洁卫生。（15分）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63B66E27">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地面有烟头、痰涕、纸屑、污泥、积水、墙壁、房顶有蛛网，每项扣1分，每个烟头扣1分；便池、池斗有严重便迹、尿渍，蹲位挡墙（板）脏，每项扣2分。</w:t>
            </w:r>
          </w:p>
        </w:tc>
        <w:tc>
          <w:tcPr>
            <w:tcW w:w="850" w:type="dxa"/>
            <w:vMerge w:val="restart"/>
            <w:tcBorders>
              <w:top w:val="single" w:color="auto" w:sz="4" w:space="0"/>
              <w:left w:val="single" w:color="auto" w:sz="4" w:space="0"/>
              <w:bottom w:val="single" w:color="auto" w:sz="4" w:space="0"/>
              <w:right w:val="single" w:color="auto" w:sz="4" w:space="0"/>
            </w:tcBorders>
            <w:noWrap w:val="0"/>
            <w:vAlign w:val="top"/>
          </w:tcPr>
          <w:p w14:paraId="2BC92C5D">
            <w:pPr>
              <w:spacing w:line="320" w:lineRule="exact"/>
              <w:rPr>
                <w:rFonts w:hint="eastAsia" w:ascii="仿宋_GB2312" w:hAnsi="仿宋_GB2312" w:eastAsia="仿宋_GB2312" w:cs="仿宋_GB2312"/>
                <w:szCs w:val="21"/>
                <w:highlight w:val="none"/>
              </w:rPr>
            </w:pPr>
          </w:p>
        </w:tc>
      </w:tr>
      <w:tr w14:paraId="7EF429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14:paraId="3F34F1B8">
            <w:pPr>
              <w:spacing w:line="320" w:lineRule="exact"/>
              <w:jc w:val="center"/>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00323C72">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2、工具箱内公厕摆放有序，工具齐全，做到干湿分离。（5分）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0033189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不按规范要求设置每项扣2分，扣完为止。</w:t>
            </w:r>
          </w:p>
        </w:tc>
        <w:tc>
          <w:tcPr>
            <w:tcW w:w="850" w:type="dxa"/>
            <w:vMerge w:val="continue"/>
            <w:tcBorders>
              <w:top w:val="single" w:color="auto" w:sz="4" w:space="0"/>
              <w:left w:val="single" w:color="auto" w:sz="4" w:space="0"/>
              <w:bottom w:val="single" w:color="auto" w:sz="4" w:space="0"/>
              <w:right w:val="single" w:color="auto" w:sz="4" w:space="0"/>
            </w:tcBorders>
            <w:noWrap w:val="0"/>
            <w:vAlign w:val="top"/>
          </w:tcPr>
          <w:p w14:paraId="1E52C0F0">
            <w:pPr>
              <w:spacing w:line="320" w:lineRule="exact"/>
              <w:rPr>
                <w:rFonts w:hint="eastAsia" w:ascii="仿宋_GB2312" w:hAnsi="仿宋_GB2312" w:eastAsia="仿宋_GB2312" w:cs="仿宋_GB2312"/>
                <w:szCs w:val="21"/>
                <w:highlight w:val="none"/>
              </w:rPr>
            </w:pPr>
          </w:p>
        </w:tc>
      </w:tr>
      <w:tr w14:paraId="289D56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14:paraId="1351D417">
            <w:pPr>
              <w:spacing w:line="320" w:lineRule="exact"/>
              <w:jc w:val="center"/>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6EA4066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2、公厕整洁有序，无臭味、无蚊蝇、无乱写乱画、无尿碱污物、无乱堆物品、无积水；垃圾桶内无爆满现象。（8分）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7E220C00">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厕内乱堆放杂物，有乱涂画、张贴、蚊蝇，每项扣1分；</w:t>
            </w:r>
          </w:p>
          <w:p w14:paraId="36DEF91C">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垃圾桶爆满，每项扣2分；</w:t>
            </w:r>
          </w:p>
          <w:p w14:paraId="68647C5E">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有明显臭味扣3分；扣完为止。</w:t>
            </w:r>
          </w:p>
        </w:tc>
        <w:tc>
          <w:tcPr>
            <w:tcW w:w="850" w:type="dxa"/>
            <w:vMerge w:val="continue"/>
            <w:tcBorders>
              <w:top w:val="single" w:color="auto" w:sz="4" w:space="0"/>
              <w:left w:val="single" w:color="auto" w:sz="4" w:space="0"/>
              <w:bottom w:val="single" w:color="auto" w:sz="4" w:space="0"/>
              <w:right w:val="single" w:color="auto" w:sz="4" w:space="0"/>
            </w:tcBorders>
            <w:noWrap w:val="0"/>
            <w:vAlign w:val="top"/>
          </w:tcPr>
          <w:p w14:paraId="22D27F70">
            <w:pPr>
              <w:spacing w:line="320" w:lineRule="exact"/>
              <w:rPr>
                <w:rFonts w:hint="eastAsia" w:ascii="仿宋_GB2312" w:hAnsi="仿宋_GB2312" w:eastAsia="仿宋_GB2312" w:cs="仿宋_GB2312"/>
                <w:szCs w:val="21"/>
                <w:highlight w:val="none"/>
              </w:rPr>
            </w:pPr>
          </w:p>
        </w:tc>
      </w:tr>
      <w:tr w14:paraId="4A998D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14:paraId="21BA3855">
            <w:pPr>
              <w:tabs>
                <w:tab w:val="left" w:pos="360"/>
              </w:tabs>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5EE69B5F">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2、厕所周边卫生责任区环境干净整洁，无污水横流，乱放杂物、乱搭建现象。（4分）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3283CE0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不符合要求设置每项扣1分，扣完为止。</w:t>
            </w:r>
          </w:p>
        </w:tc>
        <w:tc>
          <w:tcPr>
            <w:tcW w:w="850" w:type="dxa"/>
            <w:vMerge w:val="continue"/>
            <w:tcBorders>
              <w:top w:val="single" w:color="auto" w:sz="4" w:space="0"/>
              <w:left w:val="single" w:color="auto" w:sz="4" w:space="0"/>
              <w:bottom w:val="single" w:color="auto" w:sz="4" w:space="0"/>
              <w:right w:val="single" w:color="auto" w:sz="4" w:space="0"/>
            </w:tcBorders>
            <w:noWrap w:val="0"/>
            <w:vAlign w:val="top"/>
          </w:tcPr>
          <w:p w14:paraId="683C42D7">
            <w:pPr>
              <w:spacing w:line="320" w:lineRule="exact"/>
              <w:rPr>
                <w:rFonts w:hint="eastAsia" w:ascii="仿宋_GB2312" w:hAnsi="仿宋_GB2312" w:eastAsia="仿宋_GB2312" w:cs="仿宋_GB2312"/>
                <w:szCs w:val="21"/>
                <w:highlight w:val="none"/>
              </w:rPr>
            </w:pPr>
          </w:p>
        </w:tc>
      </w:tr>
      <w:tr w14:paraId="2BE775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875" w:type="dxa"/>
            <w:vMerge w:val="continue"/>
            <w:tcBorders>
              <w:top w:val="single" w:color="auto" w:sz="4" w:space="0"/>
              <w:left w:val="single" w:color="auto" w:sz="4" w:space="0"/>
              <w:bottom w:val="single" w:color="auto" w:sz="4" w:space="0"/>
              <w:right w:val="single" w:color="auto" w:sz="4" w:space="0"/>
            </w:tcBorders>
            <w:noWrap w:val="0"/>
            <w:vAlign w:val="center"/>
          </w:tcPr>
          <w:p w14:paraId="3DE49170">
            <w:pPr>
              <w:spacing w:line="320" w:lineRule="exact"/>
              <w:rPr>
                <w:rFonts w:hint="eastAsia" w:ascii="仿宋_GB2312" w:hAnsi="仿宋_GB2312" w:eastAsia="仿宋_GB2312" w:cs="仿宋_GB2312"/>
                <w:szCs w:val="21"/>
                <w:highlight w:val="none"/>
              </w:rPr>
            </w:pPr>
          </w:p>
        </w:tc>
        <w:tc>
          <w:tcPr>
            <w:tcW w:w="5362" w:type="dxa"/>
            <w:tcBorders>
              <w:top w:val="single" w:color="auto" w:sz="4" w:space="0"/>
              <w:left w:val="single" w:color="auto" w:sz="4" w:space="0"/>
              <w:bottom w:val="single" w:color="auto" w:sz="4" w:space="0"/>
              <w:right w:val="single" w:color="auto" w:sz="4" w:space="0"/>
            </w:tcBorders>
            <w:noWrap w:val="0"/>
            <w:vAlign w:val="center"/>
          </w:tcPr>
          <w:p w14:paraId="6FE1D552">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3、蚊蝇孳生季节应定时喷洒灭蚊蝇药物，有防蝇、防蚊和防臭措施及记录；特殊时期要定时消毒。（3分）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7C95027A">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无消杀措施及记录扣3分，消杀不到位扣1.5分。</w:t>
            </w:r>
          </w:p>
        </w:tc>
        <w:tc>
          <w:tcPr>
            <w:tcW w:w="850" w:type="dxa"/>
            <w:vMerge w:val="continue"/>
            <w:tcBorders>
              <w:top w:val="single" w:color="auto" w:sz="4" w:space="0"/>
              <w:left w:val="single" w:color="auto" w:sz="4" w:space="0"/>
              <w:bottom w:val="single" w:color="auto" w:sz="4" w:space="0"/>
              <w:right w:val="single" w:color="auto" w:sz="4" w:space="0"/>
            </w:tcBorders>
            <w:noWrap w:val="0"/>
            <w:vAlign w:val="top"/>
          </w:tcPr>
          <w:p w14:paraId="54C8DCFB">
            <w:pPr>
              <w:spacing w:line="320" w:lineRule="exact"/>
              <w:rPr>
                <w:rFonts w:hint="eastAsia" w:ascii="仿宋_GB2312" w:hAnsi="仿宋_GB2312" w:eastAsia="仿宋_GB2312" w:cs="仿宋_GB2312"/>
                <w:szCs w:val="21"/>
                <w:highlight w:val="none"/>
              </w:rPr>
            </w:pPr>
          </w:p>
        </w:tc>
      </w:tr>
      <w:tr w14:paraId="29417E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7" w:hRule="atLeast"/>
        </w:trPr>
        <w:tc>
          <w:tcPr>
            <w:tcW w:w="875" w:type="dxa"/>
            <w:tcBorders>
              <w:top w:val="single" w:color="auto" w:sz="4" w:space="0"/>
              <w:left w:val="single" w:color="auto" w:sz="4" w:space="0"/>
              <w:bottom w:val="single" w:color="auto" w:sz="4" w:space="0"/>
              <w:right w:val="single" w:color="auto" w:sz="4" w:space="0"/>
            </w:tcBorders>
            <w:noWrap w:val="0"/>
            <w:vAlign w:val="center"/>
          </w:tcPr>
          <w:p w14:paraId="487CAE75">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管理间环境</w:t>
            </w:r>
          </w:p>
          <w:p w14:paraId="349A5B94">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卫生</w:t>
            </w:r>
          </w:p>
          <w:p w14:paraId="4FBF4CE9">
            <w:pPr>
              <w:spacing w:line="320" w:lineRule="exact"/>
              <w:jc w:val="center"/>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（5分）</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4E47BA7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管理间整洁有序，保洁工具摆放整齐。（5分）</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7C1FEA3C">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rPr>
              <w:t>不符合要求设置扣5分。</w:t>
            </w:r>
          </w:p>
        </w:tc>
        <w:tc>
          <w:tcPr>
            <w:tcW w:w="850" w:type="dxa"/>
            <w:vMerge w:val="continue"/>
            <w:tcBorders>
              <w:top w:val="single" w:color="auto" w:sz="4" w:space="0"/>
              <w:left w:val="single" w:color="auto" w:sz="4" w:space="0"/>
              <w:bottom w:val="single" w:color="auto" w:sz="4" w:space="0"/>
              <w:right w:val="single" w:color="auto" w:sz="4" w:space="0"/>
            </w:tcBorders>
            <w:noWrap w:val="0"/>
            <w:vAlign w:val="top"/>
          </w:tcPr>
          <w:p w14:paraId="1EEE5AA8">
            <w:pPr>
              <w:spacing w:line="320" w:lineRule="exact"/>
              <w:rPr>
                <w:rFonts w:hint="eastAsia" w:ascii="仿宋_GB2312" w:hAnsi="仿宋_GB2312" w:eastAsia="仿宋_GB2312" w:cs="仿宋_GB2312"/>
                <w:szCs w:val="21"/>
                <w:highlight w:val="none"/>
              </w:rPr>
            </w:pPr>
          </w:p>
        </w:tc>
      </w:tr>
      <w:tr w14:paraId="7C56C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75" w:type="dxa"/>
            <w:tcBorders>
              <w:top w:val="single" w:color="auto" w:sz="4" w:space="0"/>
              <w:left w:val="single" w:color="auto" w:sz="4" w:space="0"/>
              <w:bottom w:val="single" w:color="auto" w:sz="4" w:space="0"/>
              <w:right w:val="single" w:color="auto" w:sz="4" w:space="0"/>
            </w:tcBorders>
            <w:noWrap w:val="0"/>
            <w:vAlign w:val="center"/>
          </w:tcPr>
          <w:p w14:paraId="30C4EBF0">
            <w:pPr>
              <w:spacing w:line="320" w:lineRule="exact"/>
              <w:ind w:firstLine="210" w:firstLineChars="100"/>
              <w:rPr>
                <w:rFonts w:hint="eastAsia" w:ascii="仿宋_GB2312" w:hAnsi="仿宋_GB2312" w:eastAsia="仿宋_GB2312" w:cs="仿宋_GB2312"/>
                <w:szCs w:val="21"/>
                <w:highlight w:val="none"/>
                <w:u w:val="single"/>
                <w:lang w:eastAsia="zh-CN"/>
              </w:rPr>
            </w:pPr>
            <w:r>
              <w:rPr>
                <w:rFonts w:hint="eastAsia" w:ascii="仿宋_GB2312" w:hAnsi="仿宋_GB2312" w:eastAsia="仿宋_GB2312" w:cs="仿宋_GB2312"/>
                <w:szCs w:val="21"/>
                <w:highlight w:val="none"/>
                <w:lang w:eastAsia="zh-CN"/>
              </w:rPr>
              <w:t>其他（</w:t>
            </w:r>
            <w:r>
              <w:rPr>
                <w:rFonts w:hint="eastAsia" w:ascii="仿宋_GB2312" w:hAnsi="仿宋_GB2312" w:eastAsia="仿宋_GB2312" w:cs="仿宋_GB2312"/>
                <w:szCs w:val="21"/>
                <w:highlight w:val="none"/>
                <w:lang w:val="en-US" w:eastAsia="zh-CN"/>
              </w:rPr>
              <w:t>5分</w:t>
            </w:r>
            <w:r>
              <w:rPr>
                <w:rFonts w:hint="eastAsia" w:ascii="仿宋_GB2312" w:hAnsi="仿宋_GB2312" w:eastAsia="仿宋_GB2312" w:cs="仿宋_GB2312"/>
                <w:szCs w:val="21"/>
                <w:highlight w:val="none"/>
                <w:lang w:eastAsia="zh-CN"/>
              </w:rPr>
              <w:t>）</w:t>
            </w:r>
          </w:p>
        </w:tc>
        <w:tc>
          <w:tcPr>
            <w:tcW w:w="5362" w:type="dxa"/>
            <w:tcBorders>
              <w:top w:val="single" w:color="auto" w:sz="4" w:space="0"/>
              <w:left w:val="single" w:color="auto" w:sz="4" w:space="0"/>
              <w:bottom w:val="single" w:color="auto" w:sz="4" w:space="0"/>
              <w:right w:val="single" w:color="auto" w:sz="4" w:space="0"/>
            </w:tcBorders>
            <w:noWrap w:val="0"/>
            <w:vAlign w:val="center"/>
          </w:tcPr>
          <w:p w14:paraId="3EF17DDF">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lang w:eastAsia="zh-CN"/>
              </w:rPr>
              <w:t>无</w:t>
            </w:r>
            <w:r>
              <w:rPr>
                <w:rFonts w:hint="eastAsia" w:ascii="仿宋_GB2312" w:hAnsi="仿宋_GB2312" w:eastAsia="仿宋_GB2312" w:cs="仿宋_GB2312"/>
                <w:sz w:val="18"/>
                <w:szCs w:val="18"/>
                <w:highlight w:val="none"/>
              </w:rPr>
              <w:t>市民有效投诉；</w:t>
            </w:r>
            <w:r>
              <w:rPr>
                <w:rFonts w:hint="eastAsia" w:ascii="仿宋_GB2312" w:hAnsi="仿宋_GB2312" w:eastAsia="仿宋_GB2312" w:cs="仿宋_GB2312"/>
                <w:sz w:val="18"/>
                <w:szCs w:val="18"/>
                <w:highlight w:val="none"/>
                <w:lang w:eastAsia="zh-CN"/>
              </w:rPr>
              <w:t>无</w:t>
            </w:r>
            <w:r>
              <w:rPr>
                <w:rFonts w:hint="eastAsia" w:ascii="仿宋_GB2312" w:hAnsi="仿宋_GB2312" w:eastAsia="仿宋_GB2312" w:cs="仿宋_GB2312"/>
                <w:sz w:val="18"/>
                <w:szCs w:val="18"/>
                <w:highlight w:val="none"/>
              </w:rPr>
              <w:t>上级业务主管单位提出口头或书面通报；</w:t>
            </w:r>
            <w:r>
              <w:rPr>
                <w:rFonts w:hint="eastAsia" w:ascii="仿宋_GB2312" w:hAnsi="仿宋_GB2312" w:eastAsia="仿宋_GB2312" w:cs="仿宋_GB2312"/>
                <w:sz w:val="18"/>
                <w:szCs w:val="18"/>
                <w:highlight w:val="none"/>
                <w:lang w:eastAsia="zh-CN"/>
              </w:rPr>
              <w:t>无</w:t>
            </w:r>
            <w:r>
              <w:rPr>
                <w:rFonts w:hint="eastAsia" w:ascii="仿宋_GB2312" w:hAnsi="仿宋_GB2312" w:eastAsia="仿宋_GB2312" w:cs="仿宋_GB2312"/>
                <w:sz w:val="18"/>
                <w:szCs w:val="18"/>
                <w:highlight w:val="none"/>
              </w:rPr>
              <w:t>新闻媒体曝光；公厕硬件设施能按规定时限整改到位。</w:t>
            </w:r>
          </w:p>
        </w:tc>
        <w:tc>
          <w:tcPr>
            <w:tcW w:w="3794" w:type="dxa"/>
            <w:tcBorders>
              <w:top w:val="single" w:color="auto" w:sz="4" w:space="0"/>
              <w:left w:val="single" w:color="auto" w:sz="4" w:space="0"/>
              <w:bottom w:val="single" w:color="auto" w:sz="4" w:space="0"/>
              <w:right w:val="single" w:color="auto" w:sz="4" w:space="0"/>
            </w:tcBorders>
            <w:noWrap w:val="0"/>
            <w:vAlign w:val="center"/>
          </w:tcPr>
          <w:p w14:paraId="58846633">
            <w:pPr>
              <w:spacing w:line="300" w:lineRule="exact"/>
              <w:rPr>
                <w:rFonts w:hint="eastAsia" w:ascii="仿宋_GB2312" w:hAnsi="仿宋_GB2312" w:eastAsia="仿宋_GB2312" w:cs="仿宋_GB2312"/>
                <w:sz w:val="18"/>
                <w:szCs w:val="18"/>
                <w:highlight w:val="none"/>
              </w:rPr>
            </w:pPr>
            <w:r>
              <w:rPr>
                <w:rFonts w:hint="eastAsia" w:ascii="仿宋_GB2312" w:hAnsi="仿宋_GB2312" w:eastAsia="仿宋_GB2312" w:cs="仿宋_GB2312"/>
                <w:sz w:val="18"/>
                <w:szCs w:val="18"/>
                <w:highlight w:val="none"/>
                <w:lang w:eastAsia="zh-CN"/>
              </w:rPr>
              <w:t>出现上述之一的扣</w:t>
            </w:r>
            <w:r>
              <w:rPr>
                <w:rFonts w:hint="eastAsia" w:ascii="仿宋_GB2312" w:hAnsi="仿宋_GB2312" w:eastAsia="仿宋_GB2312" w:cs="仿宋_GB2312"/>
                <w:sz w:val="18"/>
                <w:szCs w:val="18"/>
                <w:highlight w:val="none"/>
                <w:lang w:val="en-US" w:eastAsia="zh-CN"/>
              </w:rPr>
              <w:t>5分。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68AA769F">
            <w:pPr>
              <w:rPr>
                <w:rFonts w:hint="eastAsia" w:ascii="仿宋_GB2312" w:hAnsi="仿宋_GB2312" w:eastAsia="仿宋_GB2312" w:cs="仿宋_GB2312"/>
                <w:szCs w:val="21"/>
                <w:highlight w:val="none"/>
              </w:rPr>
            </w:pPr>
          </w:p>
        </w:tc>
      </w:tr>
    </w:tbl>
    <w:p w14:paraId="69CFDFBD">
      <w:pPr>
        <w:snapToGrid w:val="0"/>
        <w:spacing w:line="560" w:lineRule="exact"/>
        <w:ind w:left="-105" w:leftChars="-50" w:right="-105" w:rightChars="-50"/>
        <w:jc w:val="both"/>
        <w:rPr>
          <w:rFonts w:hint="eastAsia" w:ascii="仿宋" w:hAnsi="仿宋" w:eastAsia="仿宋" w:cs="Times New Roman"/>
          <w:color w:val="auto"/>
          <w:kern w:val="0"/>
          <w:sz w:val="28"/>
          <w:szCs w:val="28"/>
          <w:highlight w:val="none"/>
          <w:shd w:val="clear" w:color="auto" w:fill="auto"/>
          <w:lang w:val="en-US" w:eastAsia="zh-CN"/>
        </w:rPr>
      </w:pPr>
      <w:r>
        <w:rPr>
          <w:rFonts w:hint="eastAsia" w:ascii="仿宋" w:hAnsi="仿宋" w:eastAsia="仿宋"/>
          <w:color w:val="auto"/>
          <w:kern w:val="0"/>
          <w:sz w:val="28"/>
          <w:szCs w:val="28"/>
          <w:highlight w:val="none"/>
          <w:shd w:val="clear" w:color="auto" w:fill="auto"/>
          <w:lang w:val="en-US" w:eastAsia="zh-CN"/>
        </w:rPr>
        <w:t>附件4：</w:t>
      </w:r>
      <w:r>
        <w:rPr>
          <w:rFonts w:hint="eastAsia" w:ascii="仿宋" w:hAnsi="仿宋" w:eastAsia="仿宋" w:cs="Times New Roman"/>
          <w:color w:val="auto"/>
          <w:kern w:val="0"/>
          <w:sz w:val="28"/>
          <w:szCs w:val="28"/>
          <w:highlight w:val="none"/>
          <w:shd w:val="clear" w:color="auto" w:fill="auto"/>
          <w:lang w:val="en-US" w:eastAsia="zh-CN"/>
        </w:rPr>
        <w:t>《西安曲江新区城市道路清扫保洁工作考核办法（修订）》</w:t>
      </w:r>
    </w:p>
    <w:p w14:paraId="642ABD0C">
      <w:pPr>
        <w:snapToGrid w:val="0"/>
        <w:spacing w:line="240" w:lineRule="auto"/>
        <w:ind w:left="-105" w:leftChars="-50" w:right="-105" w:rightChars="-50"/>
        <w:jc w:val="both"/>
        <w:rPr>
          <w:rFonts w:hint="eastAsia" w:ascii="仿宋" w:hAnsi="仿宋" w:eastAsia="仿宋" w:cs="Times New Roman"/>
          <w:color w:val="auto"/>
          <w:kern w:val="0"/>
          <w:sz w:val="28"/>
          <w:szCs w:val="28"/>
          <w:highlight w:val="none"/>
          <w:shd w:val="clear" w:color="auto" w:fill="auto"/>
          <w:lang w:val="en-US" w:eastAsia="zh-CN"/>
        </w:rPr>
      </w:pPr>
      <w:r>
        <w:rPr>
          <w:rFonts w:ascii="Times New Roman" w:hAnsi="Times New Roman" w:eastAsia="宋体"/>
          <w:color w:val="auto"/>
          <w:spacing w:val="-23"/>
          <w:highlight w:val="none"/>
        </w:rPr>
        <w:drawing>
          <wp:inline distT="0" distB="0" distL="114300" distR="114300">
            <wp:extent cx="5746115" cy="8127365"/>
            <wp:effectExtent l="0" t="0" r="6985" b="6985"/>
            <wp:docPr id="5" name="图片 1" descr="附件3：考核办法（2022年修订）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附件3：考核办法（2022年修订）_01"/>
                    <pic:cNvPicPr>
                      <a:picLocks noChangeAspect="1"/>
                    </pic:cNvPicPr>
                  </pic:nvPicPr>
                  <pic:blipFill>
                    <a:blip r:embed="rId5"/>
                    <a:stretch>
                      <a:fillRect/>
                    </a:stretch>
                  </pic:blipFill>
                  <pic:spPr>
                    <a:xfrm>
                      <a:off x="0" y="0"/>
                      <a:ext cx="5746115" cy="8127365"/>
                    </a:xfrm>
                    <a:prstGeom prst="rect">
                      <a:avLst/>
                    </a:prstGeom>
                    <a:noFill/>
                    <a:ln>
                      <a:noFill/>
                    </a:ln>
                  </pic:spPr>
                </pic:pic>
              </a:graphicData>
            </a:graphic>
          </wp:inline>
        </w:drawing>
      </w:r>
      <w:r>
        <w:rPr>
          <w:rFonts w:ascii="Times New Roman" w:hAnsi="Times New Roman" w:eastAsia="宋体"/>
          <w:color w:val="auto"/>
          <w:spacing w:val="-23"/>
          <w:highlight w:val="none"/>
        </w:rPr>
        <w:drawing>
          <wp:inline distT="0" distB="0" distL="114300" distR="114300">
            <wp:extent cx="5746115" cy="8127365"/>
            <wp:effectExtent l="0" t="0" r="6985" b="6985"/>
            <wp:docPr id="6" name="图片 2" descr="附件3：考核办法（2022年修订）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附件3：考核办法（2022年修订）_02"/>
                    <pic:cNvPicPr>
                      <a:picLocks noChangeAspect="1"/>
                    </pic:cNvPicPr>
                  </pic:nvPicPr>
                  <pic:blipFill>
                    <a:blip r:embed="rId6"/>
                    <a:stretch>
                      <a:fillRect/>
                    </a:stretch>
                  </pic:blipFill>
                  <pic:spPr>
                    <a:xfrm>
                      <a:off x="0" y="0"/>
                      <a:ext cx="5746115" cy="8127365"/>
                    </a:xfrm>
                    <a:prstGeom prst="rect">
                      <a:avLst/>
                    </a:prstGeom>
                    <a:noFill/>
                    <a:ln>
                      <a:noFill/>
                    </a:ln>
                  </pic:spPr>
                </pic:pic>
              </a:graphicData>
            </a:graphic>
          </wp:inline>
        </w:drawing>
      </w:r>
      <w:r>
        <w:rPr>
          <w:rFonts w:ascii="Times New Roman" w:hAnsi="Times New Roman" w:eastAsia="宋体"/>
          <w:color w:val="auto"/>
          <w:spacing w:val="-23"/>
          <w:highlight w:val="none"/>
        </w:rPr>
        <w:drawing>
          <wp:inline distT="0" distB="0" distL="114300" distR="114300">
            <wp:extent cx="5746115" cy="8127365"/>
            <wp:effectExtent l="0" t="0" r="6985" b="6985"/>
            <wp:docPr id="4" name="图片 3" descr="附件3：考核办法（2022年修订）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附件3：考核办法（2022年修订）_03"/>
                    <pic:cNvPicPr>
                      <a:picLocks noChangeAspect="1"/>
                    </pic:cNvPicPr>
                  </pic:nvPicPr>
                  <pic:blipFill>
                    <a:blip r:embed="rId7"/>
                    <a:stretch>
                      <a:fillRect/>
                    </a:stretch>
                  </pic:blipFill>
                  <pic:spPr>
                    <a:xfrm>
                      <a:off x="0" y="0"/>
                      <a:ext cx="5746115" cy="8127365"/>
                    </a:xfrm>
                    <a:prstGeom prst="rect">
                      <a:avLst/>
                    </a:prstGeom>
                    <a:noFill/>
                    <a:ln>
                      <a:noFill/>
                    </a:ln>
                  </pic:spPr>
                </pic:pic>
              </a:graphicData>
            </a:graphic>
          </wp:inline>
        </w:drawing>
      </w:r>
      <w:r>
        <w:rPr>
          <w:rFonts w:ascii="Times New Roman" w:hAnsi="Times New Roman" w:eastAsia="宋体"/>
          <w:color w:val="auto"/>
          <w:spacing w:val="-23"/>
          <w:highlight w:val="none"/>
        </w:rPr>
        <w:drawing>
          <wp:inline distT="0" distB="0" distL="114300" distR="114300">
            <wp:extent cx="5746115" cy="8127365"/>
            <wp:effectExtent l="0" t="0" r="6985" b="6985"/>
            <wp:docPr id="2" name="图片 4" descr="附件3：考核办法（2022年修订）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附件3：考核办法（2022年修订）_04"/>
                    <pic:cNvPicPr>
                      <a:picLocks noChangeAspect="1"/>
                    </pic:cNvPicPr>
                  </pic:nvPicPr>
                  <pic:blipFill>
                    <a:blip r:embed="rId8"/>
                    <a:stretch>
                      <a:fillRect/>
                    </a:stretch>
                  </pic:blipFill>
                  <pic:spPr>
                    <a:xfrm>
                      <a:off x="0" y="0"/>
                      <a:ext cx="5746115" cy="8127365"/>
                    </a:xfrm>
                    <a:prstGeom prst="rect">
                      <a:avLst/>
                    </a:prstGeom>
                    <a:noFill/>
                    <a:ln>
                      <a:noFill/>
                    </a:ln>
                  </pic:spPr>
                </pic:pic>
              </a:graphicData>
            </a:graphic>
          </wp:inline>
        </w:drawing>
      </w:r>
      <w:r>
        <w:rPr>
          <w:rFonts w:ascii="Times New Roman" w:hAnsi="Times New Roman" w:eastAsia="宋体"/>
          <w:color w:val="auto"/>
          <w:spacing w:val="-23"/>
          <w:highlight w:val="none"/>
        </w:rPr>
        <w:br w:type="page"/>
      </w:r>
      <w:r>
        <w:rPr>
          <w:rFonts w:hint="eastAsia" w:ascii="仿宋" w:hAnsi="仿宋" w:eastAsia="仿宋" w:cs="Times New Roman"/>
          <w:color w:val="auto"/>
          <w:kern w:val="0"/>
          <w:sz w:val="28"/>
          <w:szCs w:val="28"/>
          <w:highlight w:val="none"/>
          <w:shd w:val="clear" w:color="auto" w:fill="auto"/>
          <w:lang w:val="en-US" w:eastAsia="zh-CN"/>
        </w:rPr>
        <w:t>附件5：西安曲江新区城市道路清扫保洁工作考核内容及打分标准</w:t>
      </w:r>
    </w:p>
    <w:p w14:paraId="02C80766">
      <w:pPr>
        <w:spacing w:line="520" w:lineRule="exact"/>
        <w:jc w:val="center"/>
        <w:rPr>
          <w:rFonts w:hint="eastAsia" w:ascii="方正小标宋简体" w:hAnsi="方正小标宋简体" w:eastAsia="方正小标宋简体" w:cs="方正小标宋简体"/>
          <w:sz w:val="40"/>
          <w:szCs w:val="40"/>
          <w:highlight w:val="none"/>
          <w:lang w:eastAsia="zh-CN"/>
        </w:rPr>
      </w:pPr>
      <w:r>
        <w:rPr>
          <w:rFonts w:hint="eastAsia" w:ascii="方正小标宋简体" w:hAnsi="方正小标宋简体" w:eastAsia="方正小标宋简体" w:cs="方正小标宋简体"/>
          <w:sz w:val="40"/>
          <w:szCs w:val="40"/>
          <w:highlight w:val="none"/>
          <w:lang w:eastAsia="zh-CN"/>
        </w:rPr>
        <w:t>西安曲江新区城市道路清扫保洁工作</w:t>
      </w:r>
    </w:p>
    <w:p w14:paraId="4143B8DB">
      <w:pPr>
        <w:spacing w:line="520" w:lineRule="exact"/>
        <w:jc w:val="center"/>
        <w:rPr>
          <w:rFonts w:hint="eastAsia" w:ascii="方正小标宋简体" w:hAnsi="方正小标宋简体" w:eastAsia="方正小标宋简体" w:cs="方正小标宋简体"/>
          <w:sz w:val="40"/>
          <w:szCs w:val="40"/>
          <w:highlight w:val="none"/>
          <w:lang w:eastAsia="zh-CN"/>
        </w:rPr>
      </w:pPr>
      <w:r>
        <w:rPr>
          <w:rFonts w:hint="eastAsia" w:ascii="方正小标宋简体" w:hAnsi="方正小标宋简体" w:eastAsia="方正小标宋简体" w:cs="方正小标宋简体"/>
          <w:sz w:val="40"/>
          <w:szCs w:val="40"/>
          <w:highlight w:val="none"/>
          <w:lang w:eastAsia="zh-CN"/>
        </w:rPr>
        <w:t>考核内容及打分标准</w:t>
      </w:r>
    </w:p>
    <w:p w14:paraId="1EB1A925">
      <w:pPr>
        <w:spacing w:line="520" w:lineRule="exact"/>
        <w:jc w:val="center"/>
        <w:rPr>
          <w:rFonts w:hint="eastAsia" w:ascii="方正小标宋简体" w:hAnsi="方正小标宋简体" w:eastAsia="方正小标宋简体" w:cs="方正小标宋简体"/>
          <w:sz w:val="40"/>
          <w:szCs w:val="40"/>
          <w:highlight w:val="none"/>
          <w:lang w:eastAsia="zh-CN"/>
        </w:rPr>
      </w:pPr>
    </w:p>
    <w:p w14:paraId="7C62E812">
      <w:pPr>
        <w:numPr>
          <w:ilvl w:val="0"/>
          <w:numId w:val="2"/>
        </w:numPr>
        <w:spacing w:line="520" w:lineRule="exact"/>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路面清扫、保洁状况（</w:t>
      </w:r>
      <w:r>
        <w:rPr>
          <w:rFonts w:hint="eastAsia" w:ascii="仿宋_GB2312" w:hAnsi="仿宋_GB2312" w:eastAsia="仿宋_GB2312" w:cs="仿宋_GB2312"/>
          <w:b/>
          <w:sz w:val="24"/>
          <w:szCs w:val="24"/>
          <w:highlight w:val="none"/>
          <w:lang w:val="en-US" w:eastAsia="zh-CN"/>
        </w:rPr>
        <w:t>60</w:t>
      </w:r>
      <w:r>
        <w:rPr>
          <w:rFonts w:hint="eastAsia" w:ascii="仿宋_GB2312" w:hAnsi="仿宋_GB2312" w:eastAsia="仿宋_GB2312" w:cs="仿宋_GB2312"/>
          <w:b/>
          <w:sz w:val="24"/>
          <w:szCs w:val="24"/>
          <w:highlight w:val="none"/>
        </w:rPr>
        <w:t>分）</w:t>
      </w:r>
    </w:p>
    <w:p w14:paraId="627B7258">
      <w:pPr>
        <w:spacing w:line="520" w:lineRule="exact"/>
        <w:ind w:left="567"/>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w:t>
      </w:r>
      <w:r>
        <w:rPr>
          <w:rFonts w:hint="eastAsia" w:ascii="仿宋_GB2312" w:hAnsi="仿宋_GB2312" w:eastAsia="仿宋_GB2312" w:cs="仿宋_GB2312"/>
          <w:sz w:val="24"/>
          <w:szCs w:val="24"/>
          <w:highlight w:val="none"/>
          <w:lang w:eastAsia="zh-CN"/>
        </w:rPr>
        <w:t>积尘</w:t>
      </w:r>
      <w:r>
        <w:rPr>
          <w:rFonts w:hint="eastAsia" w:ascii="仿宋_GB2312" w:hAnsi="仿宋_GB2312" w:eastAsia="仿宋_GB2312" w:cs="仿宋_GB2312"/>
          <w:sz w:val="24"/>
          <w:szCs w:val="24"/>
          <w:highlight w:val="none"/>
        </w:rPr>
        <w:t>考核指标（</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rPr>
        <w:t>分）</w:t>
      </w:r>
    </w:p>
    <w:p w14:paraId="29C8A350">
      <w:pPr>
        <w:spacing w:line="520" w:lineRule="exact"/>
        <w:ind w:firstLine="480" w:firstLineChars="20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1、车行道、主干道喇叭口、</w:t>
      </w:r>
      <w:r>
        <w:rPr>
          <w:rFonts w:hint="eastAsia" w:ascii="仿宋_GB2312" w:hAnsi="仿宋_GB2312" w:eastAsia="仿宋_GB2312" w:cs="仿宋_GB2312"/>
          <w:sz w:val="24"/>
          <w:szCs w:val="24"/>
          <w:highlight w:val="none"/>
          <w:lang w:eastAsia="zh-CN"/>
        </w:rPr>
        <w:t>人行道沿下、</w:t>
      </w:r>
      <w:r>
        <w:rPr>
          <w:rFonts w:hint="eastAsia" w:ascii="仿宋_GB2312" w:hAnsi="仿宋_GB2312" w:eastAsia="仿宋_GB2312" w:cs="仿宋_GB2312"/>
          <w:sz w:val="24"/>
          <w:szCs w:val="24"/>
          <w:highlight w:val="none"/>
        </w:rPr>
        <w:t>人行道、人行天桥</w:t>
      </w:r>
      <w:r>
        <w:rPr>
          <w:rFonts w:hint="eastAsia" w:ascii="仿宋_GB2312" w:hAnsi="仿宋_GB2312" w:eastAsia="仿宋_GB2312" w:cs="仿宋_GB2312"/>
          <w:sz w:val="24"/>
          <w:szCs w:val="24"/>
          <w:highlight w:val="none"/>
          <w:lang w:eastAsia="zh-CN"/>
        </w:rPr>
        <w:t>（包括地下通道）</w:t>
      </w:r>
      <w:r>
        <w:rPr>
          <w:rFonts w:hint="eastAsia" w:ascii="仿宋_GB2312" w:hAnsi="仿宋_GB2312" w:eastAsia="仿宋_GB2312" w:cs="仿宋_GB2312"/>
          <w:sz w:val="24"/>
          <w:szCs w:val="24"/>
          <w:highlight w:val="none"/>
        </w:rPr>
        <w:t>、公共广场等道路</w:t>
      </w:r>
      <w:r>
        <w:rPr>
          <w:rFonts w:hint="eastAsia" w:ascii="仿宋_GB2312" w:hAnsi="仿宋_GB2312" w:eastAsia="仿宋_GB2312" w:cs="仿宋_GB2312"/>
          <w:sz w:val="24"/>
          <w:szCs w:val="24"/>
          <w:highlight w:val="none"/>
          <w:lang w:eastAsia="zh-CN"/>
        </w:rPr>
        <w:t>尘</w:t>
      </w:r>
      <w:r>
        <w:rPr>
          <w:rFonts w:hint="eastAsia" w:ascii="仿宋_GB2312" w:hAnsi="仿宋_GB2312" w:eastAsia="仿宋_GB2312" w:cs="仿宋_GB2312"/>
          <w:sz w:val="24"/>
          <w:szCs w:val="24"/>
          <w:highlight w:val="none"/>
        </w:rPr>
        <w:t>土按道路不同等级确定的标准，</w:t>
      </w:r>
      <w:r>
        <w:rPr>
          <w:rFonts w:hint="eastAsia" w:ascii="仿宋_GB2312" w:hAnsi="仿宋_GB2312" w:eastAsia="仿宋_GB2312" w:cs="仿宋_GB2312"/>
          <w:color w:val="000000"/>
          <w:sz w:val="24"/>
          <w:szCs w:val="24"/>
          <w:highlight w:val="none"/>
          <w:lang w:eastAsia="zh-CN"/>
        </w:rPr>
        <w:t>目测</w:t>
      </w:r>
      <w:r>
        <w:rPr>
          <w:rFonts w:hint="eastAsia" w:ascii="仿宋_GB2312" w:hAnsi="仿宋_GB2312" w:eastAsia="仿宋_GB2312" w:cs="仿宋_GB2312"/>
          <w:color w:val="000000"/>
          <w:sz w:val="24"/>
          <w:szCs w:val="24"/>
          <w:highlight w:val="none"/>
        </w:rPr>
        <w:t>1平方米</w:t>
      </w:r>
      <w:r>
        <w:rPr>
          <w:rFonts w:hint="eastAsia" w:ascii="仿宋_GB2312" w:hAnsi="仿宋_GB2312" w:eastAsia="仿宋_GB2312" w:cs="仿宋_GB2312"/>
          <w:color w:val="000000"/>
          <w:sz w:val="24"/>
          <w:szCs w:val="24"/>
          <w:highlight w:val="none"/>
          <w:lang w:eastAsia="zh-CN"/>
        </w:rPr>
        <w:t>范围内尘土明显超标或道路灰带、积尘长度超过</w:t>
      </w:r>
      <w:r>
        <w:rPr>
          <w:rFonts w:hint="eastAsia" w:ascii="仿宋_GB2312" w:hAnsi="仿宋_GB2312" w:eastAsia="仿宋_GB2312" w:cs="仿宋_GB2312"/>
          <w:color w:val="000000"/>
          <w:sz w:val="24"/>
          <w:szCs w:val="24"/>
          <w:highlight w:val="none"/>
          <w:lang w:val="en-US" w:eastAsia="zh-CN"/>
        </w:rPr>
        <w:t>10米以上的，每处</w:t>
      </w:r>
      <w:r>
        <w:rPr>
          <w:rFonts w:hint="eastAsia" w:ascii="仿宋_GB2312" w:hAnsi="仿宋_GB2312" w:eastAsia="仿宋_GB2312" w:cs="仿宋_GB2312"/>
          <w:color w:val="000000"/>
          <w:sz w:val="24"/>
          <w:szCs w:val="24"/>
          <w:highlight w:val="none"/>
        </w:rPr>
        <w:t>扣0.5分。</w:t>
      </w:r>
    </w:p>
    <w:p w14:paraId="7462EDC3">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2、未按规定时间完成清扫任务的，每100米扣0.5分。道路未清扫的，每条道路扣1.5分。</w:t>
      </w:r>
    </w:p>
    <w:p w14:paraId="480F7886">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3、道路清扫保洁后垃圾堆未清理的，每堆扣0.5分；道沿下、喇叭口</w:t>
      </w:r>
      <w:r>
        <w:rPr>
          <w:rFonts w:hint="eastAsia" w:ascii="仿宋_GB2312" w:hAnsi="仿宋_GB2312" w:eastAsia="仿宋_GB2312" w:cs="仿宋_GB2312"/>
          <w:sz w:val="24"/>
          <w:szCs w:val="24"/>
          <w:highlight w:val="none"/>
          <w:lang w:eastAsia="zh-CN"/>
        </w:rPr>
        <w:t>清扫、</w:t>
      </w:r>
      <w:r>
        <w:rPr>
          <w:rFonts w:hint="eastAsia" w:ascii="仿宋_GB2312" w:hAnsi="仿宋_GB2312" w:eastAsia="仿宋_GB2312" w:cs="仿宋_GB2312"/>
          <w:sz w:val="24"/>
          <w:szCs w:val="24"/>
          <w:highlight w:val="none"/>
        </w:rPr>
        <w:t>冲洗不彻底，有遗留灰、渣的，每</w:t>
      </w:r>
      <w:r>
        <w:rPr>
          <w:rFonts w:hint="eastAsia" w:ascii="仿宋_GB2312" w:hAnsi="仿宋_GB2312" w:eastAsia="仿宋_GB2312" w:cs="仿宋_GB2312"/>
          <w:sz w:val="24"/>
          <w:szCs w:val="24"/>
          <w:highlight w:val="none"/>
          <w:lang w:eastAsia="zh-CN"/>
        </w:rPr>
        <w:t>处</w:t>
      </w:r>
      <w:r>
        <w:rPr>
          <w:rFonts w:hint="eastAsia" w:ascii="仿宋_GB2312" w:hAnsi="仿宋_GB2312" w:eastAsia="仿宋_GB2312" w:cs="仿宋_GB2312"/>
          <w:sz w:val="24"/>
          <w:szCs w:val="24"/>
          <w:highlight w:val="none"/>
        </w:rPr>
        <w:t>扣0.2分。</w:t>
      </w:r>
    </w:p>
    <w:p w14:paraId="1804BDDD">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4、树坑、隔离墩（栏）等清扫不彻底，存在果皮纸屑、包装袋等废弃物，每处扣0.2分。</w:t>
      </w:r>
    </w:p>
    <w:p w14:paraId="3AC60960">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5、雨雪天气后，车行道</w:t>
      </w:r>
      <w:r>
        <w:rPr>
          <w:rFonts w:hint="eastAsia" w:ascii="仿宋_GB2312" w:hAnsi="仿宋_GB2312" w:eastAsia="仿宋_GB2312" w:cs="仿宋_GB2312"/>
          <w:sz w:val="24"/>
          <w:szCs w:val="24"/>
          <w:highlight w:val="none"/>
          <w:lang w:eastAsia="zh-CN"/>
        </w:rPr>
        <w:t>及</w:t>
      </w:r>
      <w:r>
        <w:rPr>
          <w:rFonts w:hint="eastAsia" w:ascii="仿宋_GB2312" w:hAnsi="仿宋_GB2312" w:eastAsia="仿宋_GB2312" w:cs="仿宋_GB2312"/>
          <w:sz w:val="24"/>
          <w:szCs w:val="24"/>
          <w:highlight w:val="none"/>
        </w:rPr>
        <w:t>人行道</w:t>
      </w:r>
      <w:r>
        <w:rPr>
          <w:rFonts w:hint="eastAsia" w:ascii="仿宋_GB2312" w:hAnsi="仿宋_GB2312" w:eastAsia="仿宋_GB2312" w:cs="仿宋_GB2312"/>
          <w:sz w:val="24"/>
          <w:szCs w:val="24"/>
          <w:highlight w:val="none"/>
          <w:lang w:eastAsia="zh-CN"/>
        </w:rPr>
        <w:t>的</w:t>
      </w:r>
      <w:r>
        <w:rPr>
          <w:rFonts w:hint="eastAsia" w:ascii="仿宋_GB2312" w:hAnsi="仿宋_GB2312" w:eastAsia="仿宋_GB2312" w:cs="仿宋_GB2312"/>
          <w:sz w:val="24"/>
          <w:szCs w:val="24"/>
          <w:highlight w:val="none"/>
        </w:rPr>
        <w:t>道沿下淤泥、泥沙、积雪未按规定</w:t>
      </w:r>
      <w:r>
        <w:rPr>
          <w:rFonts w:hint="eastAsia" w:ascii="仿宋_GB2312" w:hAnsi="仿宋_GB2312" w:eastAsia="仿宋_GB2312" w:cs="仿宋_GB2312"/>
          <w:sz w:val="24"/>
          <w:szCs w:val="24"/>
          <w:highlight w:val="none"/>
          <w:lang w:eastAsia="zh-CN"/>
        </w:rPr>
        <w:t>时间</w:t>
      </w:r>
      <w:r>
        <w:rPr>
          <w:rFonts w:hint="eastAsia" w:ascii="仿宋_GB2312" w:hAnsi="仿宋_GB2312" w:eastAsia="仿宋_GB2312" w:cs="仿宋_GB2312"/>
          <w:sz w:val="24"/>
          <w:szCs w:val="24"/>
          <w:highlight w:val="none"/>
        </w:rPr>
        <w:t>及时清理的，每处扣0.3分。</w:t>
      </w:r>
    </w:p>
    <w:p w14:paraId="11687EEB">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6、道路大面积积尘并引起扬尘现象的，每条道路扣3分。</w:t>
      </w:r>
    </w:p>
    <w:p w14:paraId="3987385C">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（二）滞留零星垃圾考核指标（</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rPr>
        <w:t>分）</w:t>
      </w:r>
    </w:p>
    <w:p w14:paraId="75ED2045">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1、人行道、</w:t>
      </w:r>
      <w:r>
        <w:rPr>
          <w:rFonts w:hint="eastAsia" w:ascii="仿宋_GB2312" w:hAnsi="仿宋_GB2312" w:eastAsia="仿宋_GB2312" w:cs="仿宋_GB2312"/>
          <w:sz w:val="24"/>
          <w:szCs w:val="24"/>
          <w:highlight w:val="none"/>
          <w:lang w:eastAsia="zh-CN"/>
        </w:rPr>
        <w:t>过街</w:t>
      </w:r>
      <w:r>
        <w:rPr>
          <w:rFonts w:hint="eastAsia" w:ascii="仿宋_GB2312" w:hAnsi="仿宋_GB2312" w:eastAsia="仿宋_GB2312" w:cs="仿宋_GB2312"/>
          <w:sz w:val="24"/>
          <w:szCs w:val="24"/>
          <w:highlight w:val="none"/>
        </w:rPr>
        <w:t>天桥、公共广场</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绿化带、树坑等零星垃圾（不含落叶）按道路不同等级确定的标准，未</w:t>
      </w:r>
      <w:r>
        <w:rPr>
          <w:rFonts w:hint="eastAsia" w:ascii="仿宋_GB2312" w:hAnsi="仿宋_GB2312" w:eastAsia="仿宋_GB2312" w:cs="仿宋_GB2312"/>
          <w:sz w:val="24"/>
          <w:szCs w:val="24"/>
          <w:highlight w:val="none"/>
          <w:lang w:eastAsia="zh-CN"/>
        </w:rPr>
        <w:t>及时</w:t>
      </w:r>
      <w:r>
        <w:rPr>
          <w:rFonts w:hint="eastAsia" w:ascii="仿宋_GB2312" w:hAnsi="仿宋_GB2312" w:eastAsia="仿宋_GB2312" w:cs="仿宋_GB2312"/>
          <w:sz w:val="24"/>
          <w:szCs w:val="24"/>
          <w:highlight w:val="none"/>
        </w:rPr>
        <w:t>清理的，每</w:t>
      </w:r>
      <w:r>
        <w:rPr>
          <w:rFonts w:hint="eastAsia" w:ascii="仿宋_GB2312" w:hAnsi="仿宋_GB2312" w:eastAsia="仿宋_GB2312" w:cs="仿宋_GB2312"/>
          <w:sz w:val="24"/>
          <w:szCs w:val="24"/>
          <w:highlight w:val="none"/>
          <w:lang w:eastAsia="zh-CN"/>
        </w:rPr>
        <w:t>个垃圾杂物</w:t>
      </w:r>
      <w:r>
        <w:rPr>
          <w:rFonts w:hint="eastAsia" w:ascii="仿宋_GB2312" w:hAnsi="仿宋_GB2312" w:eastAsia="仿宋_GB2312" w:cs="仿宋_GB2312"/>
          <w:sz w:val="24"/>
          <w:szCs w:val="24"/>
          <w:highlight w:val="none"/>
        </w:rPr>
        <w:t>扣0.2分</w:t>
      </w:r>
      <w:r>
        <w:rPr>
          <w:rFonts w:hint="eastAsia" w:ascii="仿宋_GB2312" w:hAnsi="仿宋_GB2312" w:eastAsia="仿宋_GB2312" w:cs="仿宋_GB2312"/>
          <w:sz w:val="24"/>
          <w:szCs w:val="24"/>
          <w:highlight w:val="none"/>
          <w:lang w:eastAsia="zh-CN"/>
        </w:rPr>
        <w:t>；车行道上的大片垃圾在确保交通安全情况下，及时予以清理</w:t>
      </w:r>
      <w:r>
        <w:rPr>
          <w:rFonts w:hint="eastAsia" w:ascii="仿宋_GB2312" w:hAnsi="仿宋_GB2312" w:eastAsia="仿宋_GB2312" w:cs="仿宋_GB2312"/>
          <w:sz w:val="24"/>
          <w:szCs w:val="24"/>
          <w:highlight w:val="none"/>
        </w:rPr>
        <w:t>。</w:t>
      </w:r>
    </w:p>
    <w:p w14:paraId="3765EBE5">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2、落叶季节，道路大面积有积落</w:t>
      </w:r>
      <w:r>
        <w:rPr>
          <w:rFonts w:hint="eastAsia" w:ascii="仿宋_GB2312" w:hAnsi="仿宋_GB2312" w:eastAsia="仿宋_GB2312" w:cs="仿宋_GB2312"/>
          <w:sz w:val="24"/>
          <w:szCs w:val="24"/>
          <w:highlight w:val="none"/>
          <w:lang w:eastAsia="zh-CN"/>
        </w:rPr>
        <w:t>树</w:t>
      </w:r>
      <w:r>
        <w:rPr>
          <w:rFonts w:hint="eastAsia" w:ascii="仿宋_GB2312" w:hAnsi="仿宋_GB2312" w:eastAsia="仿宋_GB2312" w:cs="仿宋_GB2312"/>
          <w:sz w:val="24"/>
          <w:szCs w:val="24"/>
          <w:highlight w:val="none"/>
        </w:rPr>
        <w:t>叶未清扫的，每500米</w:t>
      </w:r>
      <w:r>
        <w:rPr>
          <w:rFonts w:hint="eastAsia" w:ascii="仿宋_GB2312" w:hAnsi="仿宋_GB2312" w:eastAsia="仿宋_GB2312" w:cs="仿宋_GB2312"/>
          <w:sz w:val="24"/>
          <w:szCs w:val="24"/>
          <w:highlight w:val="none"/>
          <w:lang w:eastAsia="zh-CN"/>
        </w:rPr>
        <w:t>长度</w:t>
      </w:r>
      <w:r>
        <w:rPr>
          <w:rFonts w:hint="eastAsia" w:ascii="仿宋_GB2312" w:hAnsi="仿宋_GB2312" w:eastAsia="仿宋_GB2312" w:cs="仿宋_GB2312"/>
          <w:sz w:val="24"/>
          <w:szCs w:val="24"/>
          <w:highlight w:val="none"/>
        </w:rPr>
        <w:t>扣0.2分。</w:t>
      </w:r>
    </w:p>
    <w:p w14:paraId="280B6A68">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3、绿化带、树坑内有垃圾杂物或其它污染物时，发现一处扣0.2分。</w:t>
      </w:r>
    </w:p>
    <w:p w14:paraId="174009EC">
      <w:pPr>
        <w:spacing w:line="52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二、果皮箱、市政设施管护状况（1</w:t>
      </w:r>
      <w:r>
        <w:rPr>
          <w:rFonts w:hint="eastAsia" w:ascii="仿宋_GB2312" w:hAnsi="仿宋_GB2312" w:eastAsia="仿宋_GB2312" w:cs="仿宋_GB2312"/>
          <w:b/>
          <w:sz w:val="24"/>
          <w:szCs w:val="24"/>
          <w:highlight w:val="none"/>
          <w:lang w:val="en-US" w:eastAsia="zh-CN"/>
        </w:rPr>
        <w:t>5</w:t>
      </w:r>
      <w:r>
        <w:rPr>
          <w:rFonts w:hint="eastAsia" w:ascii="仿宋_GB2312" w:hAnsi="仿宋_GB2312" w:eastAsia="仿宋_GB2312" w:cs="仿宋_GB2312"/>
          <w:b/>
          <w:sz w:val="24"/>
          <w:szCs w:val="24"/>
          <w:highlight w:val="none"/>
        </w:rPr>
        <w:t>分）</w:t>
      </w:r>
    </w:p>
    <w:p w14:paraId="15831A65">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（一）果皮箱清掏、擦洗保洁考核指标（</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分）</w:t>
      </w:r>
    </w:p>
    <w:p w14:paraId="4FC21923">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1、果皮箱清掏不及时，垃圾落地，每个箱体扣1分。</w:t>
      </w:r>
    </w:p>
    <w:p w14:paraId="61A43561">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2、果皮箱箱体不洁，或有乱塞乱挂的，每个箱体扣0.5分。</w:t>
      </w:r>
    </w:p>
    <w:p w14:paraId="6ECFB7A4">
      <w:pPr>
        <w:spacing w:line="54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3、果皮箱门</w:t>
      </w:r>
      <w:r>
        <w:rPr>
          <w:rFonts w:hint="eastAsia" w:ascii="仿宋_GB2312" w:hAnsi="仿宋_GB2312" w:eastAsia="仿宋_GB2312" w:cs="仿宋_GB2312"/>
          <w:sz w:val="24"/>
          <w:szCs w:val="24"/>
          <w:highlight w:val="none"/>
          <w:lang w:eastAsia="zh-CN"/>
        </w:rPr>
        <w:t>大开有碍观瞻</w:t>
      </w:r>
      <w:r>
        <w:rPr>
          <w:rFonts w:hint="eastAsia" w:ascii="仿宋_GB2312" w:hAnsi="仿宋_GB2312" w:eastAsia="仿宋_GB2312" w:cs="仿宋_GB2312"/>
          <w:sz w:val="24"/>
          <w:szCs w:val="24"/>
          <w:highlight w:val="none"/>
        </w:rPr>
        <w:t>或未关严的，发现一处扣0.</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分。</w:t>
      </w:r>
    </w:p>
    <w:p w14:paraId="2B4C19C6">
      <w:pPr>
        <w:spacing w:line="54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4、果皮箱未</w:t>
      </w:r>
      <w:r>
        <w:rPr>
          <w:rFonts w:hint="eastAsia" w:ascii="仿宋_GB2312" w:hAnsi="仿宋_GB2312" w:eastAsia="仿宋_GB2312" w:cs="仿宋_GB2312"/>
          <w:sz w:val="24"/>
          <w:szCs w:val="24"/>
          <w:highlight w:val="none"/>
          <w:lang w:eastAsia="zh-CN"/>
        </w:rPr>
        <w:t>分类套</w:t>
      </w:r>
      <w:r>
        <w:rPr>
          <w:rFonts w:hint="eastAsia" w:ascii="仿宋_GB2312" w:hAnsi="仿宋_GB2312" w:eastAsia="仿宋_GB2312" w:cs="仿宋_GB2312"/>
          <w:sz w:val="24"/>
          <w:szCs w:val="24"/>
          <w:highlight w:val="none"/>
        </w:rPr>
        <w:t>袋的，发现一处扣0.</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分。</w:t>
      </w:r>
    </w:p>
    <w:p w14:paraId="48F65673">
      <w:pPr>
        <w:spacing w:line="54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5、果皮箱垃圾混投不及时分类分拣或收运车辆混装混运的，以指导培训为主；一周内出现收运车混装混运问题，每发现2次扣0.5分。</w:t>
      </w:r>
    </w:p>
    <w:p w14:paraId="37921809">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（二）城市家具、市政设施擦洗保洁考核指标（</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分）</w:t>
      </w:r>
    </w:p>
    <w:p w14:paraId="07829792">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1、城市家具、景观设施、市政设施外观不洁</w:t>
      </w:r>
      <w:r>
        <w:rPr>
          <w:rFonts w:hint="eastAsia" w:ascii="仿宋_GB2312" w:hAnsi="仿宋_GB2312" w:eastAsia="仿宋_GB2312" w:cs="仿宋_GB2312"/>
          <w:sz w:val="24"/>
          <w:szCs w:val="24"/>
          <w:highlight w:val="none"/>
          <w:lang w:eastAsia="zh-CN"/>
        </w:rPr>
        <w:t>或乱贴划或有积灰</w:t>
      </w:r>
      <w:r>
        <w:rPr>
          <w:rFonts w:hint="eastAsia" w:ascii="仿宋_GB2312" w:hAnsi="仿宋_GB2312" w:eastAsia="仿宋_GB2312" w:cs="仿宋_GB2312"/>
          <w:sz w:val="24"/>
          <w:szCs w:val="24"/>
          <w:highlight w:val="none"/>
        </w:rPr>
        <w:t>的，每处扣0.5分。</w:t>
      </w:r>
    </w:p>
    <w:p w14:paraId="360A7D27">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2、城市家具、景观设施、市政设施上有乱挂、飘浮物的，每处扣0.1分。</w:t>
      </w:r>
    </w:p>
    <w:p w14:paraId="2B0736E9">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（三）果皮箱设置管护考核指标（</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分）</w:t>
      </w:r>
    </w:p>
    <w:p w14:paraId="6571AA92">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1、果皮箱歪斜、残缺，未有书面反映市政管理部门的，每个箱体扣0.5分。</w:t>
      </w:r>
    </w:p>
    <w:p w14:paraId="07D4695D">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2、道路果皮箱设置数量不足或未设置，未有书面反映市政管理部门的，每条道路扣</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分。</w:t>
      </w:r>
    </w:p>
    <w:p w14:paraId="5FE87E1A">
      <w:pPr>
        <w:spacing w:line="52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三、野广告清理（</w:t>
      </w:r>
      <w:r>
        <w:rPr>
          <w:rFonts w:hint="eastAsia" w:ascii="仿宋_GB2312" w:hAnsi="仿宋_GB2312" w:eastAsia="仿宋_GB2312" w:cs="仿宋_GB2312"/>
          <w:b/>
          <w:sz w:val="24"/>
          <w:szCs w:val="24"/>
          <w:highlight w:val="none"/>
          <w:lang w:val="en-US" w:eastAsia="zh-CN"/>
        </w:rPr>
        <w:t>5</w:t>
      </w:r>
      <w:r>
        <w:rPr>
          <w:rFonts w:hint="eastAsia" w:ascii="仿宋_GB2312" w:hAnsi="仿宋_GB2312" w:eastAsia="仿宋_GB2312" w:cs="仿宋_GB2312"/>
          <w:b/>
          <w:sz w:val="24"/>
          <w:szCs w:val="24"/>
          <w:highlight w:val="none"/>
        </w:rPr>
        <w:t>分）</w:t>
      </w:r>
    </w:p>
    <w:p w14:paraId="3246AAB6">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rPr>
        <w:t>墙体、灯杆等设施有乱涂、乱贴、乱画的，发现一处扣0.5分。</w:t>
      </w:r>
    </w:p>
    <w:p w14:paraId="257948A5">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（二）对喷印野广告不清理或清理不及时，</w:t>
      </w:r>
      <w:r>
        <w:rPr>
          <w:rFonts w:hint="eastAsia" w:ascii="仿宋_GB2312" w:hAnsi="仿宋_GB2312" w:eastAsia="仿宋_GB2312" w:cs="仿宋_GB2312"/>
          <w:sz w:val="24"/>
          <w:szCs w:val="24"/>
          <w:highlight w:val="none"/>
          <w:lang w:eastAsia="zh-CN"/>
        </w:rPr>
        <w:t>或</w:t>
      </w:r>
      <w:r>
        <w:rPr>
          <w:rFonts w:hint="eastAsia" w:ascii="仿宋_GB2312" w:hAnsi="仿宋_GB2312" w:eastAsia="仿宋_GB2312" w:cs="仿宋_GB2312"/>
          <w:sz w:val="24"/>
          <w:szCs w:val="24"/>
          <w:highlight w:val="none"/>
        </w:rPr>
        <w:t>使用涂料直接覆盖，形成二次污染的，每处扣1分。</w:t>
      </w:r>
    </w:p>
    <w:p w14:paraId="575B730D">
      <w:pPr>
        <w:spacing w:line="52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rPr>
        <w:t>四、</w:t>
      </w:r>
      <w:r>
        <w:rPr>
          <w:rFonts w:hint="eastAsia" w:ascii="仿宋_GB2312" w:hAnsi="仿宋_GB2312" w:eastAsia="仿宋_GB2312" w:cs="仿宋_GB2312"/>
          <w:b/>
          <w:bCs/>
          <w:sz w:val="24"/>
          <w:szCs w:val="24"/>
          <w:highlight w:val="none"/>
        </w:rPr>
        <w:t>队伍管理（</w:t>
      </w:r>
      <w:r>
        <w:rPr>
          <w:rFonts w:hint="eastAsia" w:ascii="仿宋_GB2312" w:hAnsi="仿宋_GB2312" w:eastAsia="仿宋_GB2312" w:cs="仿宋_GB2312"/>
          <w:b/>
          <w:bCs/>
          <w:sz w:val="24"/>
          <w:szCs w:val="24"/>
          <w:highlight w:val="none"/>
          <w:lang w:val="en-US" w:eastAsia="zh-CN"/>
        </w:rPr>
        <w:t>10</w:t>
      </w:r>
      <w:r>
        <w:rPr>
          <w:rFonts w:hint="eastAsia" w:ascii="仿宋_GB2312" w:hAnsi="仿宋_GB2312" w:eastAsia="仿宋_GB2312" w:cs="仿宋_GB2312"/>
          <w:b/>
          <w:bCs/>
          <w:sz w:val="24"/>
          <w:szCs w:val="24"/>
          <w:highlight w:val="none"/>
        </w:rPr>
        <w:t>分）</w:t>
      </w:r>
    </w:p>
    <w:p w14:paraId="6FFF042E">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（一）</w:t>
      </w:r>
      <w:r>
        <w:rPr>
          <w:rFonts w:hint="eastAsia" w:ascii="仿宋_GB2312" w:hAnsi="仿宋_GB2312" w:eastAsia="仿宋_GB2312" w:cs="仿宋_GB2312"/>
          <w:sz w:val="24"/>
          <w:szCs w:val="24"/>
          <w:highlight w:val="none"/>
        </w:rPr>
        <w:t>未按标准足额配备</w:t>
      </w:r>
      <w:r>
        <w:rPr>
          <w:rFonts w:hint="eastAsia" w:ascii="仿宋_GB2312" w:hAnsi="仿宋_GB2312" w:eastAsia="仿宋_GB2312" w:cs="仿宋_GB2312"/>
          <w:sz w:val="24"/>
          <w:szCs w:val="24"/>
          <w:highlight w:val="none"/>
          <w:lang w:eastAsia="zh-CN"/>
        </w:rPr>
        <w:t>网格保洁人员的</w:t>
      </w:r>
      <w:r>
        <w:rPr>
          <w:rFonts w:hint="eastAsia" w:ascii="仿宋_GB2312" w:hAnsi="仿宋_GB2312" w:eastAsia="仿宋_GB2312" w:cs="仿宋_GB2312"/>
          <w:sz w:val="24"/>
          <w:szCs w:val="24"/>
          <w:highlight w:val="none"/>
        </w:rPr>
        <w:t>，发现一次扣2分，并按照合同约定条款予以处罚。</w:t>
      </w:r>
    </w:p>
    <w:p w14:paraId="6F9FAEAA">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（二）</w:t>
      </w:r>
      <w:r>
        <w:rPr>
          <w:rFonts w:hint="eastAsia" w:ascii="仿宋_GB2312" w:hAnsi="仿宋_GB2312" w:eastAsia="仿宋_GB2312" w:cs="仿宋_GB2312"/>
          <w:sz w:val="24"/>
          <w:szCs w:val="24"/>
          <w:highlight w:val="none"/>
        </w:rPr>
        <w:t>向花坛、收水井、绿化带、沿街围墙内乱扫、乱倒垃圾，发现一次扣1.5分。</w:t>
      </w:r>
    </w:p>
    <w:p w14:paraId="75AD6036">
      <w:pPr>
        <w:spacing w:line="52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（三）</w:t>
      </w:r>
      <w:r>
        <w:rPr>
          <w:rFonts w:hint="eastAsia" w:ascii="仿宋_GB2312" w:hAnsi="仿宋_GB2312" w:eastAsia="仿宋_GB2312" w:cs="仿宋_GB2312"/>
          <w:sz w:val="24"/>
          <w:szCs w:val="24"/>
          <w:highlight w:val="none"/>
        </w:rPr>
        <w:t>故意括打树枝，造成树叶非自然脱落的，发现一次扣1分</w:t>
      </w:r>
      <w:r>
        <w:rPr>
          <w:rFonts w:hint="eastAsia" w:ascii="仿宋_GB2312" w:hAnsi="仿宋_GB2312" w:eastAsia="仿宋_GB2312" w:cs="仿宋_GB2312"/>
          <w:sz w:val="24"/>
          <w:szCs w:val="24"/>
          <w:highlight w:val="none"/>
          <w:lang w:eastAsia="zh-CN"/>
        </w:rPr>
        <w:t>。</w:t>
      </w:r>
    </w:p>
    <w:p w14:paraId="56CB70BE">
      <w:pPr>
        <w:spacing w:line="54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（四）</w:t>
      </w:r>
      <w:r>
        <w:rPr>
          <w:rFonts w:hint="eastAsia" w:ascii="仿宋_GB2312" w:hAnsi="仿宋_GB2312" w:eastAsia="仿宋_GB2312" w:cs="仿宋_GB2312"/>
          <w:sz w:val="24"/>
          <w:szCs w:val="24"/>
          <w:highlight w:val="none"/>
        </w:rPr>
        <w:t>工作时间</w:t>
      </w:r>
      <w:r>
        <w:rPr>
          <w:rFonts w:hint="eastAsia" w:ascii="仿宋_GB2312" w:hAnsi="仿宋_GB2312" w:eastAsia="仿宋_GB2312" w:cs="仿宋_GB2312"/>
          <w:sz w:val="24"/>
          <w:szCs w:val="24"/>
          <w:highlight w:val="none"/>
          <w:lang w:eastAsia="zh-CN"/>
        </w:rPr>
        <w:t>聚</w:t>
      </w:r>
      <w:r>
        <w:rPr>
          <w:rFonts w:hint="eastAsia" w:ascii="仿宋_GB2312" w:hAnsi="仿宋_GB2312" w:eastAsia="仿宋_GB2312" w:cs="仿宋_GB2312"/>
          <w:sz w:val="24"/>
          <w:szCs w:val="24"/>
          <w:highlight w:val="none"/>
        </w:rPr>
        <w:t>堆聊天，或脱岗</w:t>
      </w:r>
      <w:r>
        <w:rPr>
          <w:rFonts w:hint="eastAsia" w:ascii="仿宋_GB2312" w:hAnsi="仿宋_GB2312" w:eastAsia="仿宋_GB2312" w:cs="仿宋_GB2312"/>
          <w:sz w:val="24"/>
          <w:szCs w:val="24"/>
          <w:highlight w:val="none"/>
          <w:lang w:eastAsia="zh-CN"/>
        </w:rPr>
        <w:t>的</w:t>
      </w:r>
      <w:r>
        <w:rPr>
          <w:rFonts w:hint="eastAsia" w:ascii="仿宋_GB2312" w:hAnsi="仿宋_GB2312" w:eastAsia="仿宋_GB2312" w:cs="仿宋_GB2312"/>
          <w:sz w:val="24"/>
          <w:szCs w:val="24"/>
          <w:highlight w:val="none"/>
        </w:rPr>
        <w:t>，发现一次扣1分。</w:t>
      </w:r>
    </w:p>
    <w:p w14:paraId="1BC71A25">
      <w:pPr>
        <w:spacing w:line="54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（五）</w:t>
      </w:r>
      <w:r>
        <w:rPr>
          <w:rFonts w:hint="eastAsia" w:ascii="仿宋_GB2312" w:hAnsi="仿宋_GB2312" w:eastAsia="仿宋_GB2312" w:cs="仿宋_GB2312"/>
          <w:sz w:val="24"/>
          <w:szCs w:val="24"/>
          <w:highlight w:val="none"/>
        </w:rPr>
        <w:t>不按规定着</w:t>
      </w:r>
      <w:r>
        <w:rPr>
          <w:rFonts w:hint="eastAsia" w:ascii="仿宋_GB2312" w:hAnsi="仿宋_GB2312" w:eastAsia="仿宋_GB2312" w:cs="仿宋_GB2312"/>
          <w:sz w:val="24"/>
          <w:szCs w:val="24"/>
          <w:highlight w:val="none"/>
          <w:lang w:eastAsia="zh-CN"/>
        </w:rPr>
        <w:t>工</w:t>
      </w:r>
      <w:r>
        <w:rPr>
          <w:rFonts w:hint="eastAsia" w:ascii="仿宋_GB2312" w:hAnsi="仿宋_GB2312" w:eastAsia="仿宋_GB2312" w:cs="仿宋_GB2312"/>
          <w:sz w:val="24"/>
          <w:szCs w:val="24"/>
          <w:highlight w:val="none"/>
        </w:rPr>
        <w:t>装，或着装不整洁、</w:t>
      </w:r>
      <w:r>
        <w:rPr>
          <w:rFonts w:hint="eastAsia" w:ascii="仿宋_GB2312" w:hAnsi="仿宋_GB2312" w:eastAsia="仿宋_GB2312" w:cs="仿宋_GB2312"/>
          <w:sz w:val="24"/>
          <w:szCs w:val="24"/>
          <w:highlight w:val="none"/>
          <w:lang w:eastAsia="zh-CN"/>
        </w:rPr>
        <w:t>不</w:t>
      </w:r>
      <w:r>
        <w:rPr>
          <w:rFonts w:hint="eastAsia" w:ascii="仿宋_GB2312" w:hAnsi="仿宋_GB2312" w:eastAsia="仿宋_GB2312" w:cs="仿宋_GB2312"/>
          <w:sz w:val="24"/>
          <w:szCs w:val="24"/>
          <w:highlight w:val="none"/>
        </w:rPr>
        <w:t>规范的，发现一次扣0.2分。</w:t>
      </w:r>
    </w:p>
    <w:p w14:paraId="64765F50">
      <w:pPr>
        <w:spacing w:line="54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（六）作业及巡查</w:t>
      </w:r>
      <w:r>
        <w:rPr>
          <w:rFonts w:hint="eastAsia" w:ascii="仿宋_GB2312" w:hAnsi="仿宋_GB2312" w:eastAsia="仿宋_GB2312" w:cs="仿宋_GB2312"/>
          <w:sz w:val="24"/>
          <w:szCs w:val="24"/>
          <w:highlight w:val="none"/>
        </w:rPr>
        <w:t>车辆</w:t>
      </w:r>
      <w:r>
        <w:rPr>
          <w:rFonts w:hint="eastAsia" w:ascii="仿宋_GB2312" w:hAnsi="仿宋_GB2312" w:eastAsia="仿宋_GB2312" w:cs="仿宋_GB2312"/>
          <w:sz w:val="24"/>
          <w:szCs w:val="24"/>
          <w:highlight w:val="none"/>
          <w:lang w:eastAsia="zh-CN"/>
        </w:rPr>
        <w:t>乱停放（占盲道或影响车辆、行人通行等现象的）</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上下班交通工具停放在绿地内的，发现一车次扣</w:t>
      </w:r>
      <w:r>
        <w:rPr>
          <w:rFonts w:hint="eastAsia" w:ascii="仿宋_GB2312" w:hAnsi="仿宋_GB2312" w:eastAsia="仿宋_GB2312" w:cs="仿宋_GB2312"/>
          <w:sz w:val="24"/>
          <w:szCs w:val="24"/>
          <w:highlight w:val="none"/>
          <w:lang w:val="en-US" w:eastAsia="zh-CN"/>
        </w:rPr>
        <w:t>0.5分；</w:t>
      </w:r>
      <w:r>
        <w:rPr>
          <w:rFonts w:hint="eastAsia" w:ascii="仿宋_GB2312" w:hAnsi="仿宋_GB2312" w:eastAsia="仿宋_GB2312" w:cs="仿宋_GB2312"/>
          <w:sz w:val="24"/>
          <w:szCs w:val="24"/>
          <w:highlight w:val="none"/>
          <w:lang w:eastAsia="zh-CN"/>
        </w:rPr>
        <w:t>作业及巡查</w:t>
      </w:r>
      <w:r>
        <w:rPr>
          <w:rFonts w:hint="eastAsia" w:ascii="仿宋_GB2312" w:hAnsi="仿宋_GB2312" w:eastAsia="仿宋_GB2312" w:cs="仿宋_GB2312"/>
          <w:sz w:val="24"/>
          <w:szCs w:val="24"/>
          <w:highlight w:val="none"/>
        </w:rPr>
        <w:t>车辆</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工器具、警示桶等乱摆放或吊挂树枝、灯杆等设施上</w:t>
      </w:r>
      <w:r>
        <w:rPr>
          <w:rFonts w:hint="eastAsia" w:ascii="仿宋_GB2312" w:hAnsi="仿宋_GB2312" w:eastAsia="仿宋_GB2312" w:cs="仿宋_GB2312"/>
          <w:sz w:val="24"/>
          <w:szCs w:val="24"/>
          <w:highlight w:val="none"/>
          <w:lang w:eastAsia="zh-CN"/>
        </w:rPr>
        <w:t>的</w:t>
      </w:r>
      <w:r>
        <w:rPr>
          <w:rFonts w:hint="eastAsia" w:ascii="仿宋_GB2312" w:hAnsi="仿宋_GB2312" w:eastAsia="仿宋_GB2312" w:cs="仿宋_GB2312"/>
          <w:sz w:val="24"/>
          <w:szCs w:val="24"/>
          <w:highlight w:val="none"/>
        </w:rPr>
        <w:t>，发现一次扣</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分</w:t>
      </w:r>
      <w:r>
        <w:rPr>
          <w:rFonts w:hint="eastAsia" w:ascii="仿宋_GB2312" w:hAnsi="仿宋_GB2312" w:eastAsia="仿宋_GB2312" w:cs="仿宋_GB2312"/>
          <w:sz w:val="24"/>
          <w:szCs w:val="24"/>
          <w:highlight w:val="none"/>
          <w:lang w:eastAsia="zh-CN"/>
        </w:rPr>
        <w:t>；环卫车辆</w:t>
      </w:r>
      <w:r>
        <w:rPr>
          <w:rFonts w:hint="eastAsia" w:ascii="仿宋_GB2312" w:hAnsi="仿宋_GB2312" w:eastAsia="仿宋_GB2312" w:cs="仿宋_GB2312"/>
          <w:sz w:val="24"/>
          <w:szCs w:val="24"/>
          <w:highlight w:val="none"/>
        </w:rPr>
        <w:t>外体脏</w:t>
      </w:r>
      <w:r>
        <w:rPr>
          <w:rFonts w:hint="eastAsia" w:ascii="仿宋_GB2312" w:hAnsi="仿宋_GB2312" w:eastAsia="仿宋_GB2312" w:cs="仿宋_GB2312"/>
          <w:sz w:val="24"/>
          <w:szCs w:val="24"/>
          <w:highlight w:val="none"/>
          <w:lang w:eastAsia="zh-CN"/>
        </w:rPr>
        <w:t>或</w:t>
      </w:r>
      <w:r>
        <w:rPr>
          <w:rFonts w:hint="eastAsia" w:ascii="仿宋_GB2312" w:hAnsi="仿宋_GB2312" w:eastAsia="仿宋_GB2312" w:cs="仿宋_GB2312"/>
          <w:sz w:val="24"/>
          <w:szCs w:val="24"/>
          <w:highlight w:val="none"/>
        </w:rPr>
        <w:t>破损严重</w:t>
      </w:r>
      <w:r>
        <w:rPr>
          <w:rFonts w:hint="eastAsia" w:ascii="仿宋_GB2312" w:hAnsi="仿宋_GB2312" w:eastAsia="仿宋_GB2312" w:cs="仿宋_GB2312"/>
          <w:sz w:val="24"/>
          <w:szCs w:val="24"/>
          <w:highlight w:val="none"/>
          <w:lang w:eastAsia="zh-CN"/>
        </w:rPr>
        <w:t>未及时维修</w:t>
      </w:r>
      <w:r>
        <w:rPr>
          <w:rFonts w:hint="eastAsia" w:ascii="仿宋_GB2312" w:hAnsi="仿宋_GB2312" w:eastAsia="仿宋_GB2312" w:cs="仿宋_GB2312"/>
          <w:sz w:val="24"/>
          <w:szCs w:val="24"/>
          <w:highlight w:val="none"/>
        </w:rPr>
        <w:t>的，发现一次扣0.5</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分。</w:t>
      </w:r>
    </w:p>
    <w:p w14:paraId="4F554B63">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（七）</w:t>
      </w:r>
      <w:r>
        <w:rPr>
          <w:rFonts w:hint="eastAsia" w:ascii="仿宋_GB2312" w:hAnsi="仿宋_GB2312" w:eastAsia="仿宋_GB2312" w:cs="仿宋_GB2312"/>
          <w:sz w:val="24"/>
          <w:szCs w:val="24"/>
          <w:highlight w:val="none"/>
        </w:rPr>
        <w:t>拖欠、克扣保洁员工资、劳保福利的，每拖欠、克扣1人扣1分。</w:t>
      </w:r>
    </w:p>
    <w:p w14:paraId="0194C6FB">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（八）</w:t>
      </w:r>
      <w:r>
        <w:rPr>
          <w:rFonts w:hint="eastAsia" w:ascii="仿宋_GB2312" w:hAnsi="仿宋_GB2312" w:eastAsia="仿宋_GB2312" w:cs="仿宋_GB2312"/>
          <w:sz w:val="24"/>
          <w:szCs w:val="24"/>
          <w:highlight w:val="none"/>
        </w:rPr>
        <w:t>对指出的卫生死角或其它问题未及时整改的，视问题程度扣0.5-1.5分。</w:t>
      </w:r>
    </w:p>
    <w:p w14:paraId="1944378A">
      <w:pPr>
        <w:spacing w:line="520" w:lineRule="exact"/>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（九）</w:t>
      </w:r>
      <w:r>
        <w:rPr>
          <w:rFonts w:hint="eastAsia" w:ascii="仿宋_GB2312" w:hAnsi="仿宋_GB2312" w:eastAsia="仿宋_GB2312" w:cs="仿宋_GB2312"/>
          <w:sz w:val="24"/>
          <w:szCs w:val="24"/>
          <w:highlight w:val="none"/>
        </w:rPr>
        <w:t>舆情不报、瞒报、延时报的，视情况严重性，每次扣2—</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分。</w:t>
      </w:r>
    </w:p>
    <w:p w14:paraId="05A27A1F">
      <w:pPr>
        <w:ind w:firstLine="564" w:firstLineChars="234"/>
        <w:rPr>
          <w:rFonts w:hint="eastAsia" w:ascii="仿宋_GB2312" w:hAnsi="仿宋_GB2312" w:eastAsia="仿宋_GB2312" w:cs="仿宋_GB2312"/>
          <w:b/>
          <w:sz w:val="24"/>
          <w:szCs w:val="24"/>
          <w:highlight w:val="none"/>
          <w:lang w:eastAsia="zh-CN"/>
        </w:rPr>
      </w:pPr>
      <w:r>
        <w:rPr>
          <w:rFonts w:hint="eastAsia" w:ascii="仿宋_GB2312" w:hAnsi="仿宋_GB2312" w:eastAsia="仿宋_GB2312" w:cs="仿宋_GB2312"/>
          <w:b/>
          <w:sz w:val="24"/>
          <w:szCs w:val="24"/>
          <w:highlight w:val="none"/>
          <w:lang w:eastAsia="zh-CN"/>
        </w:rPr>
        <w:t>五、工作台账、制度建立，管理资料、宣传资料上报（</w:t>
      </w:r>
      <w:r>
        <w:rPr>
          <w:rFonts w:hint="eastAsia" w:ascii="仿宋_GB2312" w:hAnsi="仿宋_GB2312" w:eastAsia="仿宋_GB2312" w:cs="仿宋_GB2312"/>
          <w:b/>
          <w:sz w:val="24"/>
          <w:szCs w:val="24"/>
          <w:highlight w:val="none"/>
          <w:lang w:val="en-US" w:eastAsia="zh-CN"/>
        </w:rPr>
        <w:t>5分</w:t>
      </w:r>
      <w:r>
        <w:rPr>
          <w:rFonts w:hint="eastAsia" w:ascii="仿宋_GB2312" w:hAnsi="仿宋_GB2312" w:eastAsia="仿宋_GB2312" w:cs="仿宋_GB2312"/>
          <w:b/>
          <w:sz w:val="24"/>
          <w:szCs w:val="24"/>
          <w:highlight w:val="none"/>
          <w:lang w:eastAsia="zh-CN"/>
        </w:rPr>
        <w:t>）</w:t>
      </w:r>
    </w:p>
    <w:p w14:paraId="0AF2B0C4">
      <w:pPr>
        <w:spacing w:line="52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1、未制定保洁网格管理等台账、区域城市家具设施台账、管理制度、安全制度、培训计划、宣传计划的每项扣0.2分。</w:t>
      </w:r>
    </w:p>
    <w:p w14:paraId="017B4491">
      <w:pPr>
        <w:spacing w:line="52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2、未及时报送各项工作、宣传等资料的，每次扣0.5-2分。</w:t>
      </w:r>
    </w:p>
    <w:p w14:paraId="5B000B78">
      <w:pPr>
        <w:ind w:firstLine="564" w:firstLineChars="234"/>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lang w:eastAsia="zh-CN"/>
        </w:rPr>
        <w:t>六、工作指令落实（</w:t>
      </w:r>
      <w:r>
        <w:rPr>
          <w:rFonts w:hint="eastAsia" w:ascii="仿宋_GB2312" w:hAnsi="仿宋_GB2312" w:eastAsia="仿宋_GB2312" w:cs="仿宋_GB2312"/>
          <w:b/>
          <w:sz w:val="24"/>
          <w:szCs w:val="24"/>
          <w:highlight w:val="none"/>
          <w:lang w:val="en-US" w:eastAsia="zh-CN"/>
        </w:rPr>
        <w:t>5分</w:t>
      </w:r>
      <w:r>
        <w:rPr>
          <w:rFonts w:hint="eastAsia" w:ascii="仿宋_GB2312" w:hAnsi="仿宋_GB2312" w:eastAsia="仿宋_GB2312" w:cs="仿宋_GB2312"/>
          <w:b/>
          <w:sz w:val="24"/>
          <w:szCs w:val="24"/>
          <w:highlight w:val="none"/>
          <w:lang w:eastAsia="zh-CN"/>
        </w:rPr>
        <w:t>）</w:t>
      </w:r>
    </w:p>
    <w:p w14:paraId="54C66D30">
      <w:pPr>
        <w:spacing w:line="52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对安排的工作执行不力、未按指令要求予以落实的，每次扣1-3分。</w:t>
      </w:r>
    </w:p>
    <w:p w14:paraId="236B364F">
      <w:pPr>
        <w:spacing w:line="52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2、对提出问题未落实整改，或整改不力，未达到曲江新区保洁管理标准要求的，每次扣1-2分。</w:t>
      </w:r>
    </w:p>
    <w:p w14:paraId="6A3AF0E6">
      <w:pPr>
        <w:spacing w:line="520" w:lineRule="exact"/>
        <w:ind w:firstLine="482" w:firstLineChars="20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bCs/>
          <w:sz w:val="24"/>
          <w:szCs w:val="24"/>
          <w:highlight w:val="none"/>
          <w:lang w:val="en-US" w:eastAsia="zh-CN"/>
        </w:rPr>
        <w:t>七、</w:t>
      </w:r>
      <w:r>
        <w:rPr>
          <w:rFonts w:hint="eastAsia" w:ascii="仿宋_GB2312" w:hAnsi="仿宋_GB2312" w:eastAsia="仿宋_GB2312" w:cs="仿宋_GB2312"/>
          <w:b/>
          <w:sz w:val="24"/>
          <w:szCs w:val="24"/>
          <w:highlight w:val="none"/>
          <w:lang w:eastAsia="zh-CN"/>
        </w:rPr>
        <w:t>投诉处置、上级批评通报</w:t>
      </w:r>
    </w:p>
    <w:p w14:paraId="45314DE4">
      <w:pPr>
        <w:spacing w:line="520" w:lineRule="exact"/>
        <w:ind w:firstLine="480" w:firstLineChars="200"/>
        <w:rPr>
          <w:rFonts w:hint="eastAsia" w:ascii="仿宋_GB2312" w:hAnsi="仿宋_GB2312" w:eastAsia="仿宋_GB2312" w:cs="仿宋_GB2312"/>
          <w:b/>
          <w:sz w:val="24"/>
          <w:szCs w:val="24"/>
          <w:highlight w:val="none"/>
          <w:lang w:val="en-US" w:eastAsia="zh-CN"/>
        </w:rPr>
      </w:pPr>
      <w:r>
        <w:rPr>
          <w:rFonts w:hint="eastAsia" w:ascii="仿宋_GB2312" w:hAnsi="仿宋_GB2312" w:eastAsia="仿宋_GB2312" w:cs="仿宋_GB2312"/>
          <w:b w:val="0"/>
          <w:bCs/>
          <w:sz w:val="24"/>
          <w:szCs w:val="24"/>
          <w:highlight w:val="none"/>
          <w:lang w:eastAsia="zh-CN"/>
        </w:rPr>
        <w:t>出现以下情形之一的，视情况扣减</w:t>
      </w:r>
      <w:r>
        <w:rPr>
          <w:rFonts w:hint="eastAsia" w:ascii="仿宋_GB2312" w:hAnsi="仿宋_GB2312" w:eastAsia="仿宋_GB2312" w:cs="仿宋_GB2312"/>
          <w:b w:val="0"/>
          <w:bCs/>
          <w:sz w:val="24"/>
          <w:szCs w:val="24"/>
          <w:highlight w:val="none"/>
          <w:lang w:val="en-US" w:eastAsia="zh-CN"/>
        </w:rPr>
        <w:t>1-10分：</w:t>
      </w:r>
    </w:p>
    <w:p w14:paraId="0A5A7024">
      <w:pPr>
        <w:spacing w:line="520" w:lineRule="exact"/>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对</w:t>
      </w:r>
      <w:r>
        <w:rPr>
          <w:rFonts w:hint="eastAsia" w:ascii="仿宋_GB2312" w:hAnsi="仿宋_GB2312" w:eastAsia="仿宋_GB2312" w:cs="仿宋_GB2312"/>
          <w:sz w:val="24"/>
          <w:szCs w:val="24"/>
          <w:highlight w:val="none"/>
        </w:rPr>
        <w:t>投诉</w:t>
      </w:r>
      <w:r>
        <w:rPr>
          <w:rFonts w:hint="eastAsia" w:ascii="仿宋_GB2312" w:hAnsi="仿宋_GB2312" w:eastAsia="仿宋_GB2312" w:cs="仿宋_GB2312"/>
          <w:sz w:val="24"/>
          <w:szCs w:val="24"/>
          <w:highlight w:val="none"/>
          <w:lang w:eastAsia="zh-CN"/>
        </w:rPr>
        <w:t>处置不力或不及时回复的；</w:t>
      </w:r>
    </w:p>
    <w:p w14:paraId="54EDF3B0">
      <w:pPr>
        <w:spacing w:line="52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lang w:eastAsia="zh-CN"/>
        </w:rPr>
        <w:t>被行业部门等上级提出批评或书面通报问题的；</w:t>
      </w:r>
    </w:p>
    <w:p w14:paraId="2492D4EC">
      <w:pPr>
        <w:spacing w:line="52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3、被新闻媒体曝光的；</w:t>
      </w:r>
    </w:p>
    <w:p w14:paraId="1DCBBE25">
      <w:pPr>
        <w:spacing w:line="520" w:lineRule="exact"/>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4、管理松懈，出现</w:t>
      </w:r>
      <w:r>
        <w:rPr>
          <w:rFonts w:hint="eastAsia" w:ascii="仿宋_GB2312" w:hAnsi="仿宋_GB2312" w:eastAsia="仿宋_GB2312" w:cs="仿宋_GB2312"/>
          <w:sz w:val="24"/>
          <w:szCs w:val="24"/>
          <w:highlight w:val="none"/>
          <w:lang w:eastAsia="zh-CN"/>
        </w:rPr>
        <w:t>多起</w:t>
      </w:r>
      <w:r>
        <w:rPr>
          <w:rFonts w:hint="eastAsia" w:ascii="仿宋_GB2312" w:hAnsi="仿宋_GB2312" w:eastAsia="仿宋_GB2312" w:cs="仿宋_GB2312"/>
          <w:sz w:val="24"/>
          <w:szCs w:val="24"/>
          <w:highlight w:val="none"/>
        </w:rPr>
        <w:t>保洁员来曲江管委会上访投诉的</w:t>
      </w:r>
      <w:r>
        <w:rPr>
          <w:rFonts w:hint="eastAsia" w:ascii="仿宋_GB2312" w:hAnsi="仿宋_GB2312" w:eastAsia="仿宋_GB2312" w:cs="仿宋_GB2312"/>
          <w:sz w:val="24"/>
          <w:szCs w:val="24"/>
          <w:highlight w:val="none"/>
          <w:lang w:eastAsia="zh-CN"/>
        </w:rPr>
        <w:t>。</w:t>
      </w:r>
    </w:p>
    <w:p w14:paraId="34E0FF5E">
      <w:pPr>
        <w:spacing w:line="520" w:lineRule="exact"/>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sz w:val="24"/>
          <w:szCs w:val="24"/>
          <w:highlight w:val="none"/>
          <w:lang w:eastAsia="zh-CN"/>
        </w:rPr>
        <w:t>八</w:t>
      </w:r>
      <w:r>
        <w:rPr>
          <w:rFonts w:hint="eastAsia" w:ascii="仿宋_GB2312" w:hAnsi="仿宋_GB2312" w:eastAsia="仿宋_GB2312" w:cs="仿宋_GB2312"/>
          <w:b/>
          <w:sz w:val="24"/>
          <w:szCs w:val="24"/>
          <w:highlight w:val="none"/>
        </w:rPr>
        <w:t>、安全管理：</w:t>
      </w:r>
      <w:r>
        <w:rPr>
          <w:rFonts w:hint="eastAsia" w:ascii="仿宋_GB2312" w:hAnsi="仿宋_GB2312" w:eastAsia="仿宋_GB2312" w:cs="仿宋_GB2312"/>
          <w:sz w:val="24"/>
          <w:szCs w:val="24"/>
          <w:highlight w:val="none"/>
        </w:rPr>
        <w:t>出现重大安全生产事故，一票否决。出现一般性安全生产事故的，按本考核办法最高限或依据有关文件处理。</w:t>
      </w:r>
    </w:p>
    <w:p w14:paraId="202C17F2">
      <w:pPr>
        <w:spacing w:line="520" w:lineRule="exact"/>
        <w:ind w:firstLine="482"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eastAsia="zh-CN"/>
        </w:rPr>
        <w:t>九、加分项：</w:t>
      </w:r>
      <w:r>
        <w:rPr>
          <w:rFonts w:hint="eastAsia" w:ascii="仿宋_GB2312" w:hAnsi="仿宋_GB2312" w:eastAsia="仿宋_GB2312" w:cs="仿宋_GB2312"/>
          <w:sz w:val="24"/>
          <w:szCs w:val="24"/>
          <w:highlight w:val="none"/>
          <w:lang w:eastAsia="zh-CN"/>
        </w:rPr>
        <w:t>被新闻媒体宣传报道或行业部门等上级提出表扬的，每次加分</w:t>
      </w:r>
      <w:r>
        <w:rPr>
          <w:rFonts w:hint="eastAsia" w:ascii="仿宋_GB2312" w:hAnsi="仿宋_GB2312" w:eastAsia="仿宋_GB2312" w:cs="仿宋_GB2312"/>
          <w:sz w:val="24"/>
          <w:szCs w:val="24"/>
          <w:highlight w:val="none"/>
          <w:lang w:val="en-US" w:eastAsia="zh-CN"/>
        </w:rPr>
        <w:t>1-2分，当月考核总分值不超过100分。</w:t>
      </w:r>
    </w:p>
    <w:p w14:paraId="635BB868">
      <w:pPr>
        <w:spacing w:line="520" w:lineRule="exact"/>
        <w:ind w:firstLine="480" w:firstLineChars="200"/>
        <w:rPr>
          <w:rFonts w:hint="eastAsia" w:ascii="仿宋_GB2312" w:hAnsi="仿宋_GB2312" w:eastAsia="仿宋_GB2312" w:cs="仿宋_GB2312"/>
          <w:sz w:val="24"/>
          <w:szCs w:val="24"/>
          <w:highlight w:val="none"/>
        </w:rPr>
      </w:pPr>
    </w:p>
    <w:p w14:paraId="7FBF4547">
      <w:pP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                            </w:t>
      </w:r>
    </w:p>
    <w:p w14:paraId="257E5BA5">
      <w:pPr>
        <w:ind w:firstLine="3360" w:firstLineChars="1400"/>
        <w:rPr>
          <w:rFonts w:hint="eastAsia" w:ascii="仿宋_GB2312" w:hAnsi="仿宋_GB2312" w:eastAsia="仿宋_GB2312" w:cs="仿宋_GB2312"/>
          <w:sz w:val="24"/>
          <w:szCs w:val="24"/>
          <w:highlight w:val="none"/>
          <w:lang w:val="en-US" w:eastAsia="zh-CN"/>
        </w:rPr>
      </w:pPr>
    </w:p>
    <w:p w14:paraId="66C71301">
      <w:pPr>
        <w:ind w:firstLine="3360" w:firstLineChars="1400"/>
        <w:rPr>
          <w:rFonts w:hint="eastAsia" w:ascii="仿宋_GB2312" w:hAnsi="仿宋_GB2312" w:eastAsia="仿宋_GB2312" w:cs="仿宋_GB2312"/>
          <w:sz w:val="24"/>
          <w:szCs w:val="24"/>
          <w:highlight w:val="none"/>
          <w:lang w:val="en-US" w:eastAsia="zh-CN"/>
        </w:rPr>
      </w:pPr>
    </w:p>
    <w:p w14:paraId="0F74AA0F">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jc w:val="right"/>
        <w:textAlignment w:val="bottom"/>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二〇二〇年六月一日</w:t>
      </w:r>
    </w:p>
    <w:p w14:paraId="185107FA">
      <w:pPr>
        <w:keepLines w:val="0"/>
        <w:pageBreakBefore w:val="0"/>
        <w:widowControl/>
        <w:tabs>
          <w:tab w:val="left" w:pos="8391"/>
        </w:tabs>
        <w:kinsoku/>
        <w:wordWrap/>
        <w:overflowPunct/>
        <w:topLinePunct w:val="0"/>
        <w:autoSpaceDE w:val="0"/>
        <w:autoSpaceDN w:val="0"/>
        <w:bidi w:val="0"/>
        <w:adjustRightInd/>
        <w:snapToGrid w:val="0"/>
        <w:spacing w:line="560" w:lineRule="exact"/>
        <w:ind w:right="-69"/>
        <w:jc w:val="both"/>
        <w:textAlignment w:val="bottom"/>
        <w:rPr>
          <w:rFonts w:hint="eastAsia" w:ascii="仿宋" w:hAnsi="仿宋" w:eastAsia="仿宋" w:cs="Times New Roman"/>
          <w:color w:val="auto"/>
          <w:kern w:val="0"/>
          <w:sz w:val="28"/>
          <w:szCs w:val="28"/>
          <w:highlight w:val="none"/>
          <w:shd w:val="clear" w:color="auto" w:fill="auto"/>
          <w:lang w:val="en-US" w:eastAsia="zh-CN"/>
        </w:rPr>
      </w:pPr>
      <w:r>
        <w:rPr>
          <w:rFonts w:hint="eastAsia" w:ascii="Times New Roman" w:hAnsi="Times New Roman" w:eastAsia="宋体" w:cs="仿宋_GB2312"/>
          <w:color w:val="auto"/>
          <w:sz w:val="21"/>
          <w:szCs w:val="21"/>
          <w:highlight w:val="none"/>
          <w:lang w:val="en-US" w:eastAsia="zh-CN"/>
        </w:rPr>
        <w:br w:type="page"/>
      </w:r>
      <w:r>
        <w:rPr>
          <w:rFonts w:hint="eastAsia" w:ascii="仿宋" w:hAnsi="仿宋" w:eastAsia="仿宋" w:cs="Times New Roman"/>
          <w:color w:val="auto"/>
          <w:kern w:val="0"/>
          <w:sz w:val="28"/>
          <w:szCs w:val="28"/>
          <w:highlight w:val="none"/>
          <w:shd w:val="clear" w:color="auto" w:fill="auto"/>
          <w:lang w:val="en-US" w:eastAsia="zh-CN"/>
        </w:rPr>
        <w:t>附件6：《西安曲江新区事业资产管理中心环卫园林领域专用账户资金管理三方协议》</w:t>
      </w:r>
    </w:p>
    <w:p w14:paraId="18BBD2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0"/>
          <w:szCs w:val="40"/>
          <w:highlight w:val="none"/>
          <w:lang w:eastAsia="zh-CN"/>
        </w:rPr>
      </w:pPr>
      <w:r>
        <w:rPr>
          <w:rFonts w:hint="eastAsia" w:ascii="仿宋" w:hAnsi="仿宋" w:eastAsia="仿宋" w:cs="仿宋"/>
          <w:sz w:val="40"/>
          <w:szCs w:val="40"/>
          <w:highlight w:val="none"/>
          <w:lang w:eastAsia="zh-CN"/>
        </w:rPr>
        <w:t>西安曲江新区事业资产管理中心</w:t>
      </w:r>
      <w:r>
        <w:rPr>
          <w:rFonts w:hint="eastAsia" w:ascii="仿宋" w:hAnsi="仿宋" w:eastAsia="仿宋" w:cs="仿宋"/>
          <w:sz w:val="40"/>
          <w:szCs w:val="40"/>
          <w:highlight w:val="none"/>
        </w:rPr>
        <w:t>环卫</w:t>
      </w:r>
      <w:r>
        <w:rPr>
          <w:rFonts w:hint="eastAsia" w:ascii="仿宋" w:hAnsi="仿宋" w:eastAsia="仿宋" w:cs="仿宋"/>
          <w:sz w:val="40"/>
          <w:szCs w:val="40"/>
          <w:highlight w:val="none"/>
          <w:lang w:eastAsia="zh-CN"/>
        </w:rPr>
        <w:t>园林领域</w:t>
      </w:r>
      <w:r>
        <w:rPr>
          <w:rFonts w:hint="eastAsia" w:ascii="仿宋" w:hAnsi="仿宋" w:eastAsia="仿宋" w:cs="仿宋"/>
          <w:sz w:val="40"/>
          <w:szCs w:val="40"/>
          <w:highlight w:val="none"/>
        </w:rPr>
        <w:t>工资专用账户资金管理</w:t>
      </w:r>
      <w:r>
        <w:rPr>
          <w:rFonts w:hint="eastAsia" w:ascii="仿宋" w:hAnsi="仿宋" w:eastAsia="仿宋" w:cs="仿宋"/>
          <w:sz w:val="40"/>
          <w:szCs w:val="40"/>
          <w:highlight w:val="none"/>
          <w:lang w:eastAsia="zh-CN"/>
        </w:rPr>
        <w:t>三方协议</w:t>
      </w:r>
    </w:p>
    <w:p w14:paraId="477707E1">
      <w:pPr>
        <w:rPr>
          <w:rFonts w:hint="eastAsia" w:ascii="仿宋" w:hAnsi="仿宋" w:eastAsia="仿宋" w:cs="仿宋"/>
          <w:sz w:val="28"/>
          <w:szCs w:val="28"/>
          <w:highlight w:val="none"/>
        </w:rPr>
      </w:pPr>
      <w:r>
        <w:rPr>
          <w:rFonts w:hint="eastAsia" w:ascii="仿宋" w:hAnsi="仿宋" w:eastAsia="仿宋" w:cs="仿宋"/>
          <w:sz w:val="20"/>
          <w:szCs w:val="18"/>
          <w:highlight w:val="none"/>
        </w:rPr>
        <w:tab/>
      </w:r>
    </w:p>
    <w:p w14:paraId="11449DE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lang w:eastAsia="zh-CN"/>
        </w:rPr>
        <w:t>西安曲江新区事业资产管理中心</w:t>
      </w:r>
    </w:p>
    <w:p w14:paraId="6B6F9FA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eastAsia="zh-CN"/>
        </w:rPr>
        <w:t>中标单位</w:t>
      </w:r>
    </w:p>
    <w:p w14:paraId="6D6116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丙方:(开户银行)</w:t>
      </w:r>
    </w:p>
    <w:p w14:paraId="0FEB9A7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贯彻落实《保障农民工工资支付条例》，切实维护环卫园林领域社会化服务用工合法权益，根据人力资源社会保障部等十部门印发的《工程建设领域农民工工资专用账户管理暂行办法》和西安市人力资源和社会保障局、西安市城市管理和综合执法局、西安市财政局《关于加强环卫园林领域社会化服务用工人员工资支付保障工作的通知》等有关规定，经甲、乙、丙三方充分协商，在平等、自愿的基础上，就乙方设立的社会化服务用工工资专用账户(以下简称“专用账户”)进行管理事宜取得一致意见，签订本协议。</w:t>
      </w:r>
    </w:p>
    <w:p w14:paraId="45D8AB8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甲方就乙方所承接项目与乙方签订服务合同，项目名称:</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r>
        <w:rPr>
          <w:rFonts w:hint="eastAsia" w:ascii="仿宋" w:hAnsi="仿宋" w:eastAsia="仿宋" w:cs="仿宋"/>
          <w:sz w:val="28"/>
          <w:szCs w:val="28"/>
          <w:highlight w:val="none"/>
        </w:rPr>
        <w:t>服务内容:</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rPr>
        <w:t>，</w:t>
      </w:r>
      <w:r>
        <w:rPr>
          <w:rFonts w:hint="eastAsia" w:ascii="仿宋" w:hAnsi="仿宋" w:eastAsia="仿宋" w:cs="仿宋"/>
          <w:sz w:val="28"/>
          <w:szCs w:val="28"/>
          <w:highlight w:val="none"/>
        </w:rPr>
        <w:t>合同金额:</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万元(大写</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)，服务期限:</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4F8F7B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二、乙方在丙方营业网点开立服务项目社会化服务用工工资专用账户，账户名称: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eastAsia="zh-CN"/>
        </w:rPr>
        <w:t>账号</w:t>
      </w:r>
      <w:r>
        <w:rPr>
          <w:rFonts w:hint="eastAsia" w:ascii="仿宋" w:hAnsi="仿宋" w:eastAsia="仿宋" w:cs="仿宋"/>
          <w:color w:val="auto"/>
          <w:sz w:val="28"/>
          <w:szCs w:val="28"/>
          <w:highlight w:val="none"/>
          <w:u w:val="none"/>
          <w:lang w:val="en-US" w:eastAsia="zh-CN"/>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。专用账户开立后向城市管理和综合执法局报告，由城管执法局向人事局（西安曲江新区根治拖欠农民工工资工作领导小组办公室）报备。</w:t>
      </w:r>
      <w:r>
        <w:rPr>
          <w:rFonts w:hint="eastAsia" w:ascii="仿宋" w:hAnsi="仿宋" w:eastAsia="仿宋" w:cs="仿宋"/>
          <w:color w:val="auto"/>
          <w:sz w:val="28"/>
          <w:szCs w:val="28"/>
          <w:highlight w:val="none"/>
        </w:rPr>
        <w:t>工资专用账户资金不得转入本项目社会化服务用工本人银行账户以外的账户,不得为</w:t>
      </w:r>
      <w:r>
        <w:rPr>
          <w:rFonts w:hint="eastAsia" w:ascii="仿宋" w:hAnsi="仿宋" w:eastAsia="仿宋" w:cs="仿宋"/>
          <w:color w:val="auto"/>
          <w:sz w:val="28"/>
          <w:szCs w:val="28"/>
          <w:highlight w:val="none"/>
          <w:lang w:eastAsia="zh-CN"/>
        </w:rPr>
        <w:t>工资账户提供先进支取和其他转账结算服务。工资专用账户资金只能用于</w:t>
      </w:r>
      <w:r>
        <w:rPr>
          <w:rFonts w:hint="eastAsia" w:ascii="仿宋" w:hAnsi="仿宋" w:eastAsia="仿宋" w:cs="仿宋"/>
          <w:color w:val="auto"/>
          <w:sz w:val="28"/>
          <w:szCs w:val="28"/>
          <w:highlight w:val="none"/>
        </w:rPr>
        <w:t>社会化服务用工工资发放，不得挪作他用，确保专款专用</w:t>
      </w:r>
      <w:r>
        <w:rPr>
          <w:rFonts w:hint="eastAsia" w:ascii="仿宋" w:hAnsi="仿宋" w:eastAsia="仿宋" w:cs="仿宋"/>
          <w:color w:val="auto"/>
          <w:sz w:val="28"/>
          <w:szCs w:val="28"/>
          <w:highlight w:val="none"/>
          <w:lang w:eastAsia="zh-CN"/>
        </w:rPr>
        <w:t>。</w:t>
      </w:r>
    </w:p>
    <w:p w14:paraId="0E2C52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三、甲方按照与乙方签订的服务合同，根据乙方承担服务</w:t>
      </w:r>
      <w:r>
        <w:rPr>
          <w:rFonts w:hint="eastAsia" w:ascii="仿宋" w:hAnsi="仿宋" w:eastAsia="仿宋" w:cs="仿宋"/>
          <w:color w:val="auto"/>
          <w:sz w:val="28"/>
          <w:szCs w:val="28"/>
          <w:highlight w:val="none"/>
          <w:lang w:eastAsia="zh-CN"/>
        </w:rPr>
        <w:t>内容</w:t>
      </w:r>
      <w:r>
        <w:rPr>
          <w:rFonts w:hint="eastAsia" w:ascii="仿宋" w:hAnsi="仿宋" w:eastAsia="仿宋" w:cs="仿宋"/>
          <w:color w:val="auto"/>
          <w:sz w:val="28"/>
          <w:szCs w:val="28"/>
          <w:highlight w:val="none"/>
        </w:rPr>
        <w:t>科学合理匹配用工数量提报的人工费用清单或承担服务内容测算，按时足额向乙方工资账户拨付人工费用，在工资专用账息内保持足够支付该项目所有社会化服务用工至少1个月工资(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万元)的资金。</w:t>
      </w:r>
    </w:p>
    <w:p w14:paraId="6D39B0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四、乙方应当配备劳资专管员，对社会化服务用工实施监督管理，掌握现场用工、考勤等情况，每月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日前将工资发放明细及时报丙方。乙方保证社会化服务用工工资实行实名制发放，严禁将工资发放给不具备用工主体资格的组织和个人。</w:t>
      </w:r>
    </w:p>
    <w:p w14:paraId="5A365C8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五、乙方允许甲方对其社会化服务用工工资支付情况进行调查与查询，丙方应在核对甲方代表人有效个人证件、单位介绍信及本监管协议后予以配合。</w:t>
      </w:r>
    </w:p>
    <w:p w14:paraId="1870D0E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六、丙方接到有权机关对工资账户资金查封、冻结或者划拨指令时，应向有权机关提示账户性质并报告服务合同履行地的</w:t>
      </w:r>
      <w:r>
        <w:rPr>
          <w:rFonts w:hint="eastAsia" w:ascii="仿宋" w:hAnsi="仿宋" w:eastAsia="仿宋" w:cs="仿宋"/>
          <w:color w:val="auto"/>
          <w:sz w:val="28"/>
          <w:szCs w:val="28"/>
          <w:highlight w:val="none"/>
          <w:u w:val="none"/>
          <w:lang w:val="en-US" w:eastAsia="zh-CN"/>
        </w:rPr>
        <w:t>城管执法局和人事局（西安曲江新区根治拖欠农民工工资工作领导小组办公室）</w:t>
      </w:r>
      <w:r>
        <w:rPr>
          <w:rFonts w:hint="eastAsia" w:ascii="仿宋" w:hAnsi="仿宋" w:eastAsia="仿宋" w:cs="仿宋"/>
          <w:color w:val="auto"/>
          <w:sz w:val="28"/>
          <w:szCs w:val="28"/>
          <w:highlight w:val="none"/>
        </w:rPr>
        <w:t>。</w:t>
      </w:r>
    </w:p>
    <w:p w14:paraId="7FDFC39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七、服务期满验收并已足额支付社会化服务用工工资后，乙方可凭项目验收材料、无拖欠工资承诺，向甲方、服务合同履行的</w:t>
      </w:r>
      <w:r>
        <w:rPr>
          <w:rFonts w:hint="eastAsia" w:ascii="仿宋" w:hAnsi="仿宋" w:eastAsia="仿宋" w:cs="仿宋"/>
          <w:color w:val="auto"/>
          <w:sz w:val="28"/>
          <w:szCs w:val="28"/>
          <w:highlight w:val="none"/>
          <w:u w:val="none"/>
          <w:lang w:val="en-US" w:eastAsia="zh-CN"/>
        </w:rPr>
        <w:t>城管执法局和人事局（西安曲江新区根治拖欠农民工工资工作领导小组办公室）</w:t>
      </w:r>
      <w:r>
        <w:rPr>
          <w:rFonts w:hint="eastAsia" w:ascii="仿宋" w:hAnsi="仿宋" w:eastAsia="仿宋" w:cs="仿宋"/>
          <w:color w:val="auto"/>
          <w:sz w:val="28"/>
          <w:szCs w:val="28"/>
          <w:highlight w:val="none"/>
        </w:rPr>
        <w:t>申请撤销工资专用账户。丙方在收甲方、服务合同履行地的城市管理部门和人社部门撤销通知</w:t>
      </w:r>
      <w:r>
        <w:rPr>
          <w:rFonts w:hint="eastAsia" w:ascii="仿宋" w:hAnsi="仿宋" w:eastAsia="仿宋" w:cs="仿宋"/>
          <w:color w:val="auto"/>
          <w:sz w:val="28"/>
          <w:szCs w:val="28"/>
          <w:highlight w:val="none"/>
          <w:lang w:eastAsia="zh-CN"/>
        </w:rPr>
        <w:t>后，及时予以撤销。</w:t>
      </w:r>
    </w:p>
    <w:p w14:paraId="38704DE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八、甲方独立承担未按约定及时足额拨付人工费用的不利后果，乙方独立承担未按规定使用工资专用账户的不利后果，丙方对此不承担责任。</w:t>
      </w:r>
    </w:p>
    <w:p w14:paraId="0E639EB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九、本协议在履行过程中发生争议的，由三方当事人协商解决，协商不成的，向丙方所在地人民法院起诉。</w:t>
      </w:r>
    </w:p>
    <w:p w14:paraId="7897BB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十、工资专用账户撤销后，本协议自动终止。</w:t>
      </w:r>
    </w:p>
    <w:p w14:paraId="4AE593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十一、本协议未尽事宜，协议三方可签订补充协议。补充协议与本协议具有同等效力。</w:t>
      </w:r>
    </w:p>
    <w:p w14:paraId="251F73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color w:val="auto"/>
          <w:sz w:val="28"/>
          <w:szCs w:val="28"/>
          <w:highlight w:val="none"/>
          <w:lang w:eastAsia="zh-CN"/>
        </w:rPr>
        <w:t>十二、本协议一式三份，协议三方各执一</w:t>
      </w:r>
      <w:r>
        <w:rPr>
          <w:rFonts w:hint="eastAsia" w:ascii="仿宋" w:hAnsi="仿宋" w:eastAsia="仿宋" w:cs="仿宋"/>
          <w:sz w:val="28"/>
          <w:szCs w:val="28"/>
          <w:highlight w:val="none"/>
          <w:lang w:eastAsia="zh-CN"/>
        </w:rPr>
        <w:t>份。本协议自三方签字盖章之日起生效。</w:t>
      </w:r>
    </w:p>
    <w:p w14:paraId="0B55E8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p>
    <w:p w14:paraId="703CFD1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甲方(公章):</w:t>
      </w:r>
    </w:p>
    <w:p w14:paraId="1732FA7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法定代表人(或授权代理人)签字:</w:t>
      </w:r>
    </w:p>
    <w:p w14:paraId="5F528A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日</w:t>
      </w:r>
    </w:p>
    <w:p w14:paraId="342EA9A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p>
    <w:p w14:paraId="5B84F70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乙方(公章):</w:t>
      </w:r>
    </w:p>
    <w:p w14:paraId="0C51097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法定代表人(或授权代理人)签字:</w:t>
      </w:r>
    </w:p>
    <w:p w14:paraId="22F7484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日</w:t>
      </w:r>
    </w:p>
    <w:p w14:paraId="5594FF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p>
    <w:p w14:paraId="6EEAB1F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丙方(公章):</w:t>
      </w:r>
    </w:p>
    <w:p w14:paraId="4EE9594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法定代表人(或授权代理人)签字:</w:t>
      </w:r>
    </w:p>
    <w:p w14:paraId="2D7EA6F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eastAsia="zh-CN"/>
        </w:rPr>
        <w:t>日</w:t>
      </w:r>
    </w:p>
    <w:p w14:paraId="70F445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br w:type="page"/>
      </w:r>
      <w:r>
        <w:rPr>
          <w:rFonts w:hint="eastAsia" w:ascii="仿宋" w:hAnsi="仿宋" w:eastAsia="仿宋" w:cs="仿宋"/>
          <w:sz w:val="28"/>
          <w:szCs w:val="28"/>
          <w:highlight w:val="none"/>
          <w:lang w:eastAsia="zh-CN"/>
        </w:rPr>
        <w:t>附件</w:t>
      </w:r>
      <w:r>
        <w:rPr>
          <w:rFonts w:hint="eastAsia" w:ascii="仿宋" w:hAnsi="仿宋" w:eastAsia="仿宋" w:cs="仿宋"/>
          <w:sz w:val="28"/>
          <w:szCs w:val="28"/>
          <w:highlight w:val="none"/>
          <w:lang w:val="en-US" w:eastAsia="zh-CN"/>
        </w:rPr>
        <w:t>1</w:t>
      </w:r>
    </w:p>
    <w:p w14:paraId="023569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0"/>
          <w:szCs w:val="40"/>
          <w:highlight w:val="none"/>
          <w:lang w:val="en-US" w:eastAsia="zh-CN"/>
        </w:rPr>
      </w:pPr>
      <w:r>
        <w:rPr>
          <w:rFonts w:hint="eastAsia" w:ascii="仿宋" w:hAnsi="仿宋" w:eastAsia="仿宋" w:cs="仿宋"/>
          <w:sz w:val="40"/>
          <w:szCs w:val="40"/>
          <w:highlight w:val="none"/>
          <w:lang w:val="en-US" w:eastAsia="zh-CN"/>
        </w:rPr>
        <w:t>无拖欠环卫园林领域社会化服务用工工资</w:t>
      </w:r>
    </w:p>
    <w:p w14:paraId="5AF8C4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0"/>
          <w:szCs w:val="40"/>
          <w:highlight w:val="none"/>
          <w:lang w:val="en-US" w:eastAsia="zh-CN"/>
        </w:rPr>
      </w:pPr>
      <w:r>
        <w:rPr>
          <w:rFonts w:hint="eastAsia" w:ascii="仿宋" w:hAnsi="仿宋" w:eastAsia="仿宋" w:cs="仿宋"/>
          <w:sz w:val="40"/>
          <w:szCs w:val="40"/>
          <w:highlight w:val="none"/>
          <w:lang w:val="en-US" w:eastAsia="zh-CN"/>
        </w:rPr>
        <w:t>告知书</w:t>
      </w:r>
    </w:p>
    <w:p w14:paraId="174ECE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p>
    <w:p w14:paraId="7AC8AF6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我单位承接的</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(服务项目名称)，严格落实《保障农民工工资支付条例》等相关规定，维护环卫园林领域社会化服务用工合法权益，你在本项目服务期间的工资均已按时足额支付到位，不存在拖欠工资的情形。</w:t>
      </w:r>
    </w:p>
    <w:p w14:paraId="0DDC690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请在约定以上内容后签字。</w:t>
      </w:r>
    </w:p>
    <w:tbl>
      <w:tblPr>
        <w:tblStyle w:val="7"/>
        <w:tblW w:w="9431" w:type="dxa"/>
        <w:tblInd w:w="-4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181"/>
        <w:gridCol w:w="2441"/>
        <w:gridCol w:w="1579"/>
        <w:gridCol w:w="1693"/>
        <w:gridCol w:w="1643"/>
      </w:tblGrid>
      <w:tr w14:paraId="622F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 w:type="dxa"/>
            <w:noWrap w:val="0"/>
            <w:vAlign w:val="top"/>
          </w:tcPr>
          <w:p w14:paraId="0FD57A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序号</w:t>
            </w:r>
          </w:p>
        </w:tc>
        <w:tc>
          <w:tcPr>
            <w:tcW w:w="1181" w:type="dxa"/>
            <w:noWrap w:val="0"/>
            <w:vAlign w:val="top"/>
          </w:tcPr>
          <w:p w14:paraId="08F3AA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姓名</w:t>
            </w:r>
          </w:p>
        </w:tc>
        <w:tc>
          <w:tcPr>
            <w:tcW w:w="2441" w:type="dxa"/>
            <w:noWrap w:val="0"/>
            <w:vAlign w:val="top"/>
          </w:tcPr>
          <w:p w14:paraId="03E314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身份证号码</w:t>
            </w:r>
          </w:p>
        </w:tc>
        <w:tc>
          <w:tcPr>
            <w:tcW w:w="1579" w:type="dxa"/>
            <w:noWrap w:val="0"/>
            <w:vAlign w:val="top"/>
          </w:tcPr>
          <w:p w14:paraId="3A6A18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手机号码</w:t>
            </w:r>
          </w:p>
        </w:tc>
        <w:tc>
          <w:tcPr>
            <w:tcW w:w="1693" w:type="dxa"/>
            <w:noWrap w:val="0"/>
            <w:vAlign w:val="top"/>
          </w:tcPr>
          <w:p w14:paraId="06F8FB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本人签字</w:t>
            </w:r>
          </w:p>
        </w:tc>
        <w:tc>
          <w:tcPr>
            <w:tcW w:w="1643" w:type="dxa"/>
            <w:noWrap w:val="0"/>
            <w:vAlign w:val="top"/>
          </w:tcPr>
          <w:p w14:paraId="0906BA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lang w:val="en-US" w:eastAsia="zh-CN"/>
              </w:rPr>
              <w:t>日期</w:t>
            </w:r>
          </w:p>
        </w:tc>
      </w:tr>
      <w:tr w14:paraId="5D3A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 w:type="dxa"/>
            <w:noWrap w:val="0"/>
            <w:vAlign w:val="top"/>
          </w:tcPr>
          <w:p w14:paraId="5F1AC1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181" w:type="dxa"/>
            <w:noWrap w:val="0"/>
            <w:vAlign w:val="top"/>
          </w:tcPr>
          <w:p w14:paraId="2666F8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2441" w:type="dxa"/>
            <w:noWrap w:val="0"/>
            <w:vAlign w:val="top"/>
          </w:tcPr>
          <w:p w14:paraId="210520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579" w:type="dxa"/>
            <w:noWrap w:val="0"/>
            <w:vAlign w:val="top"/>
          </w:tcPr>
          <w:p w14:paraId="4F6D1E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693" w:type="dxa"/>
            <w:noWrap w:val="0"/>
            <w:vAlign w:val="top"/>
          </w:tcPr>
          <w:p w14:paraId="53FB95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643" w:type="dxa"/>
            <w:noWrap w:val="0"/>
            <w:vAlign w:val="top"/>
          </w:tcPr>
          <w:p w14:paraId="50E19F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r>
      <w:tr w14:paraId="04E6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 w:type="dxa"/>
            <w:noWrap w:val="0"/>
            <w:vAlign w:val="top"/>
          </w:tcPr>
          <w:p w14:paraId="2D60748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181" w:type="dxa"/>
            <w:noWrap w:val="0"/>
            <w:vAlign w:val="top"/>
          </w:tcPr>
          <w:p w14:paraId="7E86C3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2441" w:type="dxa"/>
            <w:noWrap w:val="0"/>
            <w:vAlign w:val="top"/>
          </w:tcPr>
          <w:p w14:paraId="5AFDD0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579" w:type="dxa"/>
            <w:noWrap w:val="0"/>
            <w:vAlign w:val="top"/>
          </w:tcPr>
          <w:p w14:paraId="68F3A6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693" w:type="dxa"/>
            <w:noWrap w:val="0"/>
            <w:vAlign w:val="top"/>
          </w:tcPr>
          <w:p w14:paraId="47E7B1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c>
          <w:tcPr>
            <w:tcW w:w="1643" w:type="dxa"/>
            <w:noWrap w:val="0"/>
            <w:vAlign w:val="top"/>
          </w:tcPr>
          <w:p w14:paraId="57155E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vertAlign w:val="baseline"/>
                <w:lang w:val="en-US" w:eastAsia="zh-CN"/>
              </w:rPr>
            </w:pPr>
          </w:p>
        </w:tc>
      </w:tr>
    </w:tbl>
    <w:p w14:paraId="0CCF5F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p>
    <w:p w14:paraId="4AF090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p>
    <w:p w14:paraId="0F566D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p>
    <w:p w14:paraId="0FE88727">
      <w:pPr>
        <w:keepNext w:val="0"/>
        <w:keepLines w:val="0"/>
        <w:pageBreakBefore w:val="0"/>
        <w:widowControl w:val="0"/>
        <w:kinsoku/>
        <w:wordWrap/>
        <w:overflowPunct/>
        <w:topLinePunct w:val="0"/>
        <w:autoSpaceDE/>
        <w:autoSpaceDN/>
        <w:bidi w:val="0"/>
        <w:adjustRightInd/>
        <w:snapToGrid/>
        <w:spacing w:line="560" w:lineRule="exact"/>
        <w:ind w:firstLine="4480" w:firstLineChars="16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单位名称(公章):</w:t>
      </w:r>
    </w:p>
    <w:p w14:paraId="618465A9">
      <w:pPr>
        <w:keepNext w:val="0"/>
        <w:keepLines w:val="0"/>
        <w:pageBreakBefore w:val="0"/>
        <w:widowControl w:val="0"/>
        <w:kinsoku/>
        <w:wordWrap/>
        <w:overflowPunct/>
        <w:topLinePunct w:val="0"/>
        <w:autoSpaceDE/>
        <w:autoSpaceDN/>
        <w:bidi w:val="0"/>
        <w:adjustRightInd/>
        <w:snapToGrid/>
        <w:spacing w:line="560" w:lineRule="exact"/>
        <w:ind w:firstLine="5320" w:firstLineChars="19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年   月   日</w:t>
      </w:r>
    </w:p>
    <w:p w14:paraId="7812B1D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(联系人:        </w:t>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 xml:space="preserve">联系电话:         </w:t>
      </w:r>
      <w:r>
        <w:rPr>
          <w:rFonts w:hint="eastAsia" w:ascii="仿宋" w:hAnsi="仿宋" w:eastAsia="仿宋" w:cs="仿宋"/>
          <w:sz w:val="28"/>
          <w:szCs w:val="28"/>
          <w:highlight w:val="none"/>
          <w:lang w:val="en-US" w:eastAsia="zh-CN"/>
        </w:rPr>
        <w:tab/>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US" w:eastAsia="zh-CN"/>
        </w:rPr>
        <w:tab/>
      </w:r>
    </w:p>
    <w:p w14:paraId="6384F91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65BB2D9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4D784A4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4DEED2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6CAC30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7A2C80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eastAsia="zh-CN"/>
        </w:rPr>
      </w:pPr>
    </w:p>
    <w:p w14:paraId="10E3AE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附件</w:t>
      </w:r>
      <w:r>
        <w:rPr>
          <w:rFonts w:hint="eastAsia" w:ascii="仿宋" w:hAnsi="仿宋" w:eastAsia="仿宋" w:cs="仿宋"/>
          <w:sz w:val="28"/>
          <w:szCs w:val="28"/>
          <w:highlight w:val="none"/>
          <w:lang w:val="en-US" w:eastAsia="zh-CN"/>
        </w:rPr>
        <w:t>2</w:t>
      </w:r>
    </w:p>
    <w:p w14:paraId="683C5EC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79534C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0"/>
          <w:szCs w:val="40"/>
          <w:highlight w:val="none"/>
          <w:lang w:val="en-US" w:eastAsia="zh-CN"/>
        </w:rPr>
      </w:pPr>
      <w:r>
        <w:rPr>
          <w:rFonts w:hint="eastAsia" w:ascii="仿宋" w:hAnsi="仿宋" w:eastAsia="仿宋" w:cs="仿宋"/>
          <w:sz w:val="40"/>
          <w:szCs w:val="40"/>
          <w:highlight w:val="none"/>
          <w:lang w:val="en-US" w:eastAsia="zh-CN"/>
        </w:rPr>
        <w:t>无拖欠环卫园林领域社会化服务用工工资</w:t>
      </w:r>
    </w:p>
    <w:p w14:paraId="659BC5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40"/>
          <w:szCs w:val="40"/>
          <w:highlight w:val="none"/>
          <w:lang w:val="en-US" w:eastAsia="zh-CN"/>
        </w:rPr>
      </w:pPr>
      <w:r>
        <w:rPr>
          <w:rFonts w:hint="eastAsia" w:ascii="仿宋" w:hAnsi="仿宋" w:eastAsia="仿宋" w:cs="仿宋"/>
          <w:sz w:val="40"/>
          <w:szCs w:val="40"/>
          <w:highlight w:val="none"/>
          <w:lang w:val="en-US" w:eastAsia="zh-CN"/>
        </w:rPr>
        <w:t>承诺书</w:t>
      </w:r>
    </w:p>
    <w:p w14:paraId="31FC03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p>
    <w:p w14:paraId="340827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none"/>
          <w:lang w:val="en-US" w:eastAsia="zh-CN"/>
        </w:rPr>
        <w:t>城管执法局和人事局（西安曲江新区根治拖欠农民工工资工作领导小组办公室）</w:t>
      </w:r>
      <w:r>
        <w:rPr>
          <w:rFonts w:hint="eastAsia" w:ascii="仿宋" w:hAnsi="仿宋" w:eastAsia="仿宋" w:cs="仿宋"/>
          <w:color w:val="auto"/>
          <w:sz w:val="28"/>
          <w:szCs w:val="28"/>
          <w:highlight w:val="none"/>
          <w:lang w:val="en-US" w:eastAsia="zh-CN"/>
        </w:rPr>
        <w:t>:</w:t>
      </w:r>
    </w:p>
    <w:p w14:paraId="13C1A2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我单位(名称: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，统一社会信用代码:</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)承接的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(项目名称)，于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日在</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银行依法开立环卫园林领域社会化服务用工工资专用账户，专用账户名称: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，账号: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，现该项目服务期满，需要撤销工资账户。</w:t>
      </w:r>
    </w:p>
    <w:p w14:paraId="56DF30F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我单位承诺，该项目实施以来，严格落实《保障农民工工资支付条例》等相关规定，维护环卫园林领域社会化服务用工合法权益，所有社会化服务用工工资均已按时足额支付到位，未有正在处理的拖欠工资案件，未有因工资支付问题正在申请劳动争议仲裁或者向人民法院提起诉讼，未有其他拖欠工资的情形。</w:t>
      </w:r>
    </w:p>
    <w:p w14:paraId="7B20CE1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如有违反承诺的情形，我单位愿意接受有关部门依照有关规定作出的处理和处罚决定。</w:t>
      </w:r>
    </w:p>
    <w:p w14:paraId="12570D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附件:2-1本项目实名制管理台账(序号、姓名、身份证、</w:t>
      </w:r>
    </w:p>
    <w:p w14:paraId="4F2774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手机号码)</w:t>
      </w:r>
    </w:p>
    <w:p w14:paraId="2250461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2-2无拖欠环卫园林领域社会化服务用工工资告知书</w:t>
      </w:r>
    </w:p>
    <w:p w14:paraId="642F1EEF">
      <w:pPr>
        <w:keepNext w:val="0"/>
        <w:keepLines w:val="0"/>
        <w:pageBreakBefore w:val="0"/>
        <w:widowControl w:val="0"/>
        <w:kinsoku/>
        <w:wordWrap/>
        <w:overflowPunct/>
        <w:topLinePunct w:val="0"/>
        <w:autoSpaceDE/>
        <w:autoSpaceDN/>
        <w:bidi w:val="0"/>
        <w:adjustRightInd/>
        <w:snapToGrid/>
        <w:spacing w:line="560" w:lineRule="exact"/>
        <w:ind w:firstLine="4480" w:firstLineChars="16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单位名称(公章):</w:t>
      </w:r>
    </w:p>
    <w:p w14:paraId="551022F7">
      <w:pPr>
        <w:keepNext w:val="0"/>
        <w:keepLines w:val="0"/>
        <w:pageBreakBefore w:val="0"/>
        <w:widowControl w:val="0"/>
        <w:kinsoku/>
        <w:wordWrap/>
        <w:overflowPunct/>
        <w:topLinePunct w:val="0"/>
        <w:autoSpaceDE/>
        <w:autoSpaceDN/>
        <w:bidi w:val="0"/>
        <w:adjustRightInd/>
        <w:snapToGrid/>
        <w:spacing w:line="560" w:lineRule="exact"/>
        <w:ind w:firstLine="4760" w:firstLineChars="17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年   月   日</w:t>
      </w:r>
    </w:p>
    <w:p w14:paraId="520731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(联系人: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 xml:space="preserve">联系电话: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tab/>
      </w:r>
    </w:p>
    <w:p w14:paraId="01D323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附件</w:t>
      </w:r>
      <w:r>
        <w:rPr>
          <w:rFonts w:hint="eastAsia" w:ascii="仿宋" w:hAnsi="仿宋" w:eastAsia="仿宋" w:cs="仿宋"/>
          <w:color w:val="auto"/>
          <w:sz w:val="28"/>
          <w:szCs w:val="28"/>
          <w:highlight w:val="none"/>
          <w:lang w:val="en-US" w:eastAsia="zh-CN"/>
        </w:rPr>
        <w:t>3</w:t>
      </w:r>
    </w:p>
    <w:p w14:paraId="59D508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4A3B6C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val="en-US" w:eastAsia="zh-CN"/>
        </w:rPr>
        <w:t>撤销环卫园林领域社会化服务用工工资</w:t>
      </w:r>
    </w:p>
    <w:p w14:paraId="520269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val="en-US" w:eastAsia="zh-CN"/>
        </w:rPr>
        <w:t>专用账户通知书</w:t>
      </w:r>
    </w:p>
    <w:p w14:paraId="04D054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190871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银行:</w:t>
      </w:r>
    </w:p>
    <w:p w14:paraId="0FDA450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我单位(名称: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，统一社会信用代码:</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日开立环卫园林领域社会化服务用工工资账户,工资账户名称: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,账号: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，现该单位申请撤销工资账户。</w:t>
      </w:r>
      <w:r>
        <w:rPr>
          <w:rFonts w:hint="eastAsia" w:ascii="仿宋" w:hAnsi="仿宋" w:eastAsia="仿宋" w:cs="仿宋"/>
          <w:color w:val="auto"/>
          <w:sz w:val="28"/>
          <w:szCs w:val="28"/>
          <w:highlight w:val="none"/>
          <w:lang w:val="en-US" w:eastAsia="zh-CN"/>
        </w:rPr>
        <w:tab/>
      </w:r>
    </w:p>
    <w:p w14:paraId="7FFD437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经联合审核，同意其撤销环卫园林领域社会化服务用工工资专用账户，请协助办理相关事宜。</w:t>
      </w:r>
    </w:p>
    <w:p w14:paraId="61A0B6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40AB57D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社会化服务需求单位(公章):</w:t>
      </w:r>
    </w:p>
    <w:p w14:paraId="3A039E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194F40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城管执法局(公章):</w:t>
      </w:r>
    </w:p>
    <w:p w14:paraId="5C8F85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618D5B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none"/>
          <w:lang w:val="en-US" w:eastAsia="zh-CN"/>
        </w:rPr>
        <w:t>人事局（西安曲江新区根治拖欠农民工工资工作领导小组办公室）</w:t>
      </w:r>
      <w:r>
        <w:rPr>
          <w:rFonts w:hint="eastAsia" w:ascii="仿宋" w:hAnsi="仿宋" w:eastAsia="仿宋" w:cs="仿宋"/>
          <w:color w:val="auto"/>
          <w:sz w:val="28"/>
          <w:szCs w:val="28"/>
          <w:highlight w:val="none"/>
          <w:lang w:val="en-US" w:eastAsia="zh-CN"/>
        </w:rPr>
        <w:t>(公章):</w:t>
      </w:r>
    </w:p>
    <w:p w14:paraId="4BDB1E3E">
      <w:pPr>
        <w:keepNext w:val="0"/>
        <w:keepLines w:val="0"/>
        <w:pageBreakBefore w:val="0"/>
        <w:widowControl w:val="0"/>
        <w:kinsoku/>
        <w:wordWrap/>
        <w:overflowPunct/>
        <w:topLinePunct w:val="0"/>
        <w:autoSpaceDE/>
        <w:autoSpaceDN/>
        <w:bidi w:val="0"/>
        <w:adjustRightInd/>
        <w:snapToGrid/>
        <w:spacing w:line="560" w:lineRule="exact"/>
        <w:ind w:firstLine="5320" w:firstLineChars="19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年   月   日</w:t>
      </w:r>
    </w:p>
    <w:p w14:paraId="1B29E67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(联系人: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 xml:space="preserve">联系电话: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tab/>
      </w:r>
    </w:p>
    <w:p w14:paraId="42F7D6B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4264F26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1E06D3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br w:type="page"/>
      </w:r>
      <w:r>
        <w:rPr>
          <w:rFonts w:hint="eastAsia" w:ascii="仿宋" w:hAnsi="仿宋" w:eastAsia="仿宋" w:cs="仿宋"/>
          <w:color w:val="auto"/>
          <w:sz w:val="28"/>
          <w:szCs w:val="28"/>
          <w:highlight w:val="none"/>
          <w:lang w:eastAsia="zh-CN"/>
        </w:rPr>
        <w:t>附件</w:t>
      </w:r>
      <w:r>
        <w:rPr>
          <w:rFonts w:hint="eastAsia" w:ascii="仿宋" w:hAnsi="仿宋" w:eastAsia="仿宋" w:cs="仿宋"/>
          <w:color w:val="auto"/>
          <w:sz w:val="28"/>
          <w:szCs w:val="28"/>
          <w:highlight w:val="none"/>
          <w:lang w:val="en-US" w:eastAsia="zh-CN"/>
        </w:rPr>
        <w:t>4</w:t>
      </w:r>
    </w:p>
    <w:p w14:paraId="692A8E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3F861B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val="en-US" w:eastAsia="zh-CN"/>
        </w:rPr>
        <w:t>不予撤销环卫园林领域社会化服务用工</w:t>
      </w:r>
    </w:p>
    <w:p w14:paraId="7AE3D2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val="en-US" w:eastAsia="zh-CN"/>
        </w:rPr>
        <w:t>工资专用账户通知书</w:t>
      </w:r>
    </w:p>
    <w:p w14:paraId="2776914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72DD54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(提供社会化服务单位):</w:t>
      </w:r>
    </w:p>
    <w:p w14:paraId="22927C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收到你单位无拖欠环卫园林领域社会化服务用工工资承诺书，现经联合审核，项目有未解决的拖欠工资问题，暂不予撤销环卫园林领域社会化服务用工工资专用账户。请你单位依法履行清偿(先行清偿)责任后，重新提交无拖欠环卫园林领域社会化服务用工工资承诺书的书面申请。</w:t>
      </w:r>
    </w:p>
    <w:p w14:paraId="572E43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附件:拖欠农民工工资问题简要情况</w:t>
      </w:r>
    </w:p>
    <w:p w14:paraId="13D03D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社会化服务需求单位(公章):</w:t>
      </w:r>
    </w:p>
    <w:p w14:paraId="1BF9E6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058254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城管执法局(公章):</w:t>
      </w:r>
    </w:p>
    <w:p w14:paraId="2FDE88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p>
    <w:p w14:paraId="6D34C41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none"/>
          <w:lang w:val="en-US" w:eastAsia="zh-CN"/>
        </w:rPr>
        <w:t>人事局（西安曲江新区根治拖欠农民工工资工作领导小组办公室）</w:t>
      </w:r>
      <w:r>
        <w:rPr>
          <w:rFonts w:hint="eastAsia" w:ascii="仿宋" w:hAnsi="仿宋" w:eastAsia="仿宋" w:cs="仿宋"/>
          <w:color w:val="auto"/>
          <w:sz w:val="28"/>
          <w:szCs w:val="28"/>
          <w:highlight w:val="none"/>
          <w:lang w:val="en-US" w:eastAsia="zh-CN"/>
        </w:rPr>
        <w:t>(公章):</w:t>
      </w:r>
    </w:p>
    <w:p w14:paraId="70ABF5EB">
      <w:pPr>
        <w:keepNext w:val="0"/>
        <w:keepLines w:val="0"/>
        <w:pageBreakBefore w:val="0"/>
        <w:widowControl w:val="0"/>
        <w:kinsoku/>
        <w:wordWrap/>
        <w:overflowPunct/>
        <w:topLinePunct w:val="0"/>
        <w:autoSpaceDE/>
        <w:autoSpaceDN/>
        <w:bidi w:val="0"/>
        <w:adjustRightInd/>
        <w:snapToGrid/>
        <w:spacing w:line="560" w:lineRule="exact"/>
        <w:ind w:firstLine="5320" w:firstLineChars="19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年   月   日</w:t>
      </w:r>
    </w:p>
    <w:p w14:paraId="21A005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(联系人: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 xml:space="preserve">联系电话:         </w:t>
      </w:r>
      <w:r>
        <w:rPr>
          <w:rFonts w:hint="eastAsia" w:ascii="仿宋" w:hAnsi="仿宋" w:eastAsia="仿宋" w:cs="仿宋"/>
          <w:color w:val="auto"/>
          <w:sz w:val="28"/>
          <w:szCs w:val="28"/>
          <w:highlight w:val="none"/>
          <w:lang w:val="en-US" w:eastAsia="zh-CN"/>
        </w:rPr>
        <w:tab/>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tab/>
      </w:r>
    </w:p>
    <w:p w14:paraId="19D07341">
      <w:pPr>
        <w:widowControl/>
        <w:tabs>
          <w:tab w:val="left" w:pos="8391"/>
        </w:tabs>
        <w:autoSpaceDE w:val="0"/>
        <w:autoSpaceDN w:val="0"/>
        <w:snapToGrid w:val="0"/>
        <w:spacing w:line="360" w:lineRule="auto"/>
        <w:ind w:right="-69"/>
        <w:jc w:val="right"/>
        <w:textAlignment w:val="bottom"/>
        <w:rPr>
          <w:rFonts w:hint="default" w:ascii="Times New Roman" w:hAnsi="Times New Roman" w:eastAsia="宋体"/>
          <w:color w:val="auto"/>
          <w:kern w:val="0"/>
          <w:sz w:val="28"/>
          <w:szCs w:val="28"/>
          <w:highlight w:val="none"/>
          <w:shd w:val="clear" w:color="auto" w:fill="auto"/>
          <w:lang w:val="en-US" w:eastAsia="zh-CN"/>
        </w:rPr>
      </w:pPr>
    </w:p>
    <w:p w14:paraId="6A07140B">
      <w:pPr>
        <w:rPr>
          <w:highlight w:val="none"/>
        </w:rPr>
      </w:pPr>
    </w:p>
    <w:sectPr>
      <w:footerReference r:id="rId3" w:type="default"/>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汉仪书宋二S">
    <w:altName w:val="宋体"/>
    <w:panose1 w:val="00020600040101010101"/>
    <w:charset w:val="86"/>
    <w:family w:val="auto"/>
    <w:pitch w:val="default"/>
    <w:sig w:usb0="00000000" w:usb1="00000000" w:usb2="00000016"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8852770">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FCCF8">
    <w:pPr>
      <w:pStyle w:val="5"/>
      <w:tabs>
        <w:tab w:val="left" w:pos="2503"/>
        <w:tab w:val="right" w:pos="8820"/>
        <w:tab w:val="clear" w:pos="4153"/>
        <w:tab w:val="clear" w:pos="8306"/>
      </w:tabs>
      <w:ind w:right="775"/>
      <w:rPr>
        <w:rFonts w:hint="eastAsia" w:eastAsia="宋体"/>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F96801"/>
    <w:multiLevelType w:val="singleLevel"/>
    <w:tmpl w:val="27F96801"/>
    <w:lvl w:ilvl="0" w:tentative="0">
      <w:start w:val="11"/>
      <w:numFmt w:val="decimal"/>
      <w:suff w:val="nothing"/>
      <w:lvlText w:val="%1、"/>
      <w:lvlJc w:val="left"/>
    </w:lvl>
  </w:abstractNum>
  <w:abstractNum w:abstractNumId="1">
    <w:nsid w:val="5BFFD95D"/>
    <w:multiLevelType w:val="singleLevel"/>
    <w:tmpl w:val="5BFFD95D"/>
    <w:lvl w:ilvl="0" w:tentative="0">
      <w:start w:val="1"/>
      <w:numFmt w:val="chineseCounting"/>
      <w:suff w:val="nothing"/>
      <w:lvlText w:val="%1、"/>
      <w:lvlJc w:val="left"/>
      <w:rPr>
        <w:rFonts w:hint="eastAsia"/>
      </w:rPr>
    </w:lvl>
  </w:abstractNum>
  <w:abstractNum w:abstractNumId="2">
    <w:nsid w:val="647764C6"/>
    <w:multiLevelType w:val="multilevel"/>
    <w:tmpl w:val="647764C6"/>
    <w:lvl w:ilvl="0" w:tentative="0">
      <w:start w:val="1"/>
      <w:numFmt w:val="japaneseCounting"/>
      <w:lvlText w:val="%1、"/>
      <w:lvlJc w:val="left"/>
      <w:pPr>
        <w:ind w:left="1287" w:hanging="72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AE7898"/>
    <w:rsid w:val="537E5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8910</Words>
  <Characters>9238</Characters>
  <Lines>0</Lines>
  <Paragraphs>0</Paragraphs>
  <TotalTime>0</TotalTime>
  <ScaleCrop>false</ScaleCrop>
  <LinksUpToDate>false</LinksUpToDate>
  <CharactersWithSpaces>9360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2026-06-05T04:30:00Z</dcterms:created>
  <dc:creator>Administrator</dc:creator>
  <cp:lastModifiedBy>℡Autism ミ</cp:lastModifiedBy>
  <dcterms:modified xsi:type="dcterms:W3CDTF">2026-06-05T04:32:55Z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FF8B8F8137F14ACE9A63D4A57BDBD960_12</vt:lpwstr>
  </property>
</Properties>
</file>