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版本号：KY2026-3-20920260625001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KY2026-3-209</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2026年教职工健康体检项目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2026年教职工健康体检项目。简要技术要求：详见磋商文件第3章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西安市文景路19号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029-86405598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代理服务费收费标准：1、交费金额参照国家计委颁布的《招标代理服务收费管理暂行办法》（计价格[2002]1980号）及发改办价格[2003]857号文件的规定标准的80%计取。2、本次中标服务费按服务计取。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2026年教职工健康体检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788,000.00</w:t>
      </w:r>
    </w:p>
    <w:p>
      <w:pPr>
        <w:pStyle w:val="null3"/>
      </w:pPr>
      <w:r>
        <w:rPr>
          <w:rFonts w:ascii="仿宋_GB2312" w:hAnsi="仿宋_GB2312" w:cs="仿宋_GB2312" w:eastAsia="仿宋_GB2312"/>
        </w:rPr>
        <w:t>采购包最高限价（元）: 788,000.00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全体在职教职工和离退休职工进行健康体检855人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标的名称：全体在职教职工和离退休职工进行健康体检855人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服务内容：职工人数如下表</w:t>
            </w:r>
          </w:p>
          <w:tbl>
            <w:tblPr>
              <w:tblInd w:type="dxa" w:w="135"/>
              <w:tblBorders>
                <w:top w:val="none" w:color="000000" w:sz="4"/>
                <w:left w:val="none" w:color="000000" w:sz="4"/>
                <w:bottom w:val="none" w:color="000000" w:sz="4"/>
                <w:right w:val="none" w:color="000000" w:sz="4"/>
                <w:insideH w:val="none"/>
                <w:insideV w:val="none"/>
              </w:tblBorders>
            </w:tblPr>
            <w:tblGrid>
              <w:gridCol w:w="342"/>
              <w:gridCol w:w="357"/>
              <w:gridCol w:w="394"/>
              <w:gridCol w:w="341"/>
              <w:gridCol w:w="341"/>
              <w:gridCol w:w="368"/>
              <w:gridCol w:w="410"/>
            </w:tblGrid>
            <w:tr>
              <w:tc>
                <w:tcPr>
                  <w:tcW w:type="dxa" w:w="2143"/>
                  <w:gridSpan w:val="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在职人员</w:t>
                  </w:r>
                </w:p>
              </w:tc>
              <w:tc>
                <w:tcPr>
                  <w:tcW w:type="dxa" w:w="410"/>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离退休人员</w:t>
                  </w:r>
                </w:p>
              </w:tc>
            </w:tr>
            <w:tr>
              <w:tc>
                <w:tcPr>
                  <w:tcW w:type="dxa" w:w="342"/>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分类及人数</w:t>
                  </w:r>
                </w:p>
              </w:tc>
              <w:tc>
                <w:tcPr>
                  <w:tcW w:type="dxa" w:w="75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男性</w:t>
                  </w:r>
                </w:p>
              </w:tc>
              <w:tc>
                <w:tcPr>
                  <w:tcW w:type="dxa" w:w="1050"/>
                  <w:gridSpan w:val="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女性</w:t>
                  </w:r>
                </w:p>
              </w:tc>
            </w:tr>
            <w:tr>
              <w:tc>
                <w:tcPr>
                  <w:tcW w:type="dxa" w:w="342"/>
                  <w:vMerge/>
                  <w:tcBorders>
                    <w:top w:val="none" w:color="000000" w:sz="4"/>
                    <w:left w:val="single" w:color="000000" w:sz="4"/>
                    <w:bottom w:val="none" w:color="000000" w:sz="4"/>
                    <w:right w:val="single" w:color="000000" w:sz="4"/>
                  </w:tcBorders>
                </w:tcPr>
                <w:p/>
              </w:tc>
              <w:tc>
                <w:tcPr>
                  <w:tcW w:type="dxa" w:w="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41岁及以上男教职工</w:t>
                  </w:r>
                </w:p>
              </w:tc>
              <w:tc>
                <w:tcPr>
                  <w:tcW w:type="dxa" w:w="3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40岁及以下男教职工</w:t>
                  </w:r>
                </w:p>
              </w:tc>
              <w:tc>
                <w:tcPr>
                  <w:tcW w:type="dxa" w:w="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41岁及以上女教职工</w:t>
                  </w:r>
                </w:p>
              </w:tc>
              <w:tc>
                <w:tcPr>
                  <w:tcW w:type="dxa" w:w="34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40岁及以下已婚女教职工</w:t>
                  </w:r>
                </w:p>
              </w:tc>
              <w:tc>
                <w:tcPr>
                  <w:tcW w:type="dxa" w:w="36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未婚女教职工</w:t>
                  </w:r>
                </w:p>
              </w:tc>
              <w:tc>
                <w:tcPr>
                  <w:tcW w:type="dxa" w:w="41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男性</w:t>
                  </w:r>
                </w:p>
                <w:p>
                  <w:pPr>
                    <w:pStyle w:val="null3"/>
                    <w:jc w:val="center"/>
                  </w:pPr>
                  <w:r>
                    <w:rPr>
                      <w:rFonts w:ascii="仿宋_GB2312" w:hAnsi="仿宋_GB2312" w:cs="仿宋_GB2312" w:eastAsia="仿宋_GB2312"/>
                      <w:sz w:val="20"/>
                    </w:rPr>
                    <w:t>女性</w:t>
                  </w:r>
                </w:p>
              </w:tc>
            </w:tr>
            <w:tr>
              <w:tc>
                <w:tcPr>
                  <w:tcW w:type="dxa" w:w="342"/>
                  <w:vMerge/>
                  <w:tcBorders>
                    <w:top w:val="none" w:color="000000" w:sz="4"/>
                    <w:left w:val="single" w:color="000000" w:sz="4"/>
                    <w:bottom w:val="none" w:color="000000" w:sz="4"/>
                    <w:right w:val="single" w:color="000000" w:sz="4"/>
                  </w:tcBorders>
                </w:tcPr>
                <w:p/>
              </w:tc>
              <w:tc>
                <w:tcPr>
                  <w:tcW w:type="dxa" w:w="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38</w:t>
                  </w:r>
                  <w:r>
                    <w:rPr>
                      <w:rFonts w:ascii="仿宋_GB2312" w:hAnsi="仿宋_GB2312" w:cs="仿宋_GB2312" w:eastAsia="仿宋_GB2312"/>
                      <w:sz w:val="20"/>
                    </w:rPr>
                    <w:t>人</w:t>
                  </w:r>
                </w:p>
              </w:tc>
              <w:tc>
                <w:tcPr>
                  <w:tcW w:type="dxa" w:w="3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125</w:t>
                  </w:r>
                  <w:r>
                    <w:rPr>
                      <w:rFonts w:ascii="仿宋_GB2312" w:hAnsi="仿宋_GB2312" w:cs="仿宋_GB2312" w:eastAsia="仿宋_GB2312"/>
                      <w:sz w:val="20"/>
                    </w:rPr>
                    <w:t>人</w:t>
                  </w:r>
                </w:p>
              </w:tc>
              <w:tc>
                <w:tcPr>
                  <w:tcW w:type="dxa" w:w="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183</w:t>
                  </w:r>
                  <w:r>
                    <w:rPr>
                      <w:rFonts w:ascii="仿宋_GB2312" w:hAnsi="仿宋_GB2312" w:cs="仿宋_GB2312" w:eastAsia="仿宋_GB2312"/>
                      <w:sz w:val="20"/>
                    </w:rPr>
                    <w:t>人</w:t>
                  </w:r>
                </w:p>
              </w:tc>
              <w:tc>
                <w:tcPr>
                  <w:tcW w:type="dxa" w:w="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143</w:t>
                  </w:r>
                  <w:r>
                    <w:rPr>
                      <w:rFonts w:ascii="仿宋_GB2312" w:hAnsi="仿宋_GB2312" w:cs="仿宋_GB2312" w:eastAsia="仿宋_GB2312"/>
                      <w:sz w:val="20"/>
                    </w:rPr>
                    <w:t>人</w:t>
                  </w:r>
                </w:p>
              </w:tc>
              <w:tc>
                <w:tcPr>
                  <w:tcW w:type="dxa" w:w="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68</w:t>
                  </w:r>
                  <w:r>
                    <w:rPr>
                      <w:rFonts w:ascii="仿宋_GB2312" w:hAnsi="仿宋_GB2312" w:cs="仿宋_GB2312" w:eastAsia="仿宋_GB2312"/>
                      <w:sz w:val="20"/>
                    </w:rPr>
                    <w:t>人</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198</w:t>
                  </w:r>
                  <w:r>
                    <w:rPr>
                      <w:rFonts w:ascii="仿宋_GB2312" w:hAnsi="仿宋_GB2312" w:cs="仿宋_GB2312" w:eastAsia="仿宋_GB2312"/>
                      <w:sz w:val="20"/>
                    </w:rPr>
                    <w:t>人</w:t>
                  </w:r>
                </w:p>
              </w:tc>
            </w:tr>
            <w:tr>
              <w:tc>
                <w:tcPr>
                  <w:tcW w:type="dxa" w:w="34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最高限价</w:t>
                  </w:r>
                </w:p>
              </w:tc>
              <w:tc>
                <w:tcPr>
                  <w:tcW w:type="dxa" w:w="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990元/人</w:t>
                  </w:r>
                </w:p>
              </w:tc>
              <w:tc>
                <w:tcPr>
                  <w:tcW w:type="dxa" w:w="3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840元/人</w:t>
                  </w:r>
                </w:p>
              </w:tc>
              <w:tc>
                <w:tcPr>
                  <w:tcW w:type="dxa" w:w="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990元/人</w:t>
                  </w:r>
                </w:p>
              </w:tc>
              <w:tc>
                <w:tcPr>
                  <w:tcW w:type="dxa" w:w="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840元/人</w:t>
                  </w:r>
                </w:p>
              </w:tc>
              <w:tc>
                <w:tcPr>
                  <w:tcW w:type="dxa" w:w="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730元/人</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990元/人</w:t>
                  </w:r>
                </w:p>
              </w:tc>
            </w:tr>
            <w:tr>
              <w:tc>
                <w:tcPr>
                  <w:tcW w:type="dxa" w:w="2553"/>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人员合计：</w:t>
                  </w:r>
                  <w:r>
                    <w:rPr>
                      <w:rFonts w:ascii="仿宋_GB2312" w:hAnsi="仿宋_GB2312" w:cs="仿宋_GB2312" w:eastAsia="仿宋_GB2312"/>
                      <w:sz w:val="20"/>
                    </w:rPr>
                    <w:t>855</w:t>
                  </w:r>
                  <w:r>
                    <w:rPr>
                      <w:rFonts w:ascii="仿宋_GB2312" w:hAnsi="仿宋_GB2312" w:cs="仿宋_GB2312" w:eastAsia="仿宋_GB2312"/>
                      <w:sz w:val="20"/>
                    </w:rPr>
                    <w:t>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体检项目要求</w:t>
            </w:r>
          </w:p>
          <w:p>
            <w:pPr>
              <w:pStyle w:val="null3"/>
            </w:pPr>
            <w:r>
              <w:rPr>
                <w:rFonts w:ascii="仿宋_GB2312" w:hAnsi="仿宋_GB2312" w:cs="仿宋_GB2312" w:eastAsia="仿宋_GB2312"/>
              </w:rPr>
              <w:t>1、</w:t>
            </w:r>
            <w:r>
              <w:rPr>
                <w:rFonts w:ascii="仿宋_GB2312" w:hAnsi="仿宋_GB2312" w:cs="仿宋_GB2312" w:eastAsia="仿宋_GB2312"/>
              </w:rPr>
              <w:t>胸部</w:t>
            </w:r>
            <w:r>
              <w:rPr>
                <w:rFonts w:ascii="仿宋_GB2312" w:hAnsi="仿宋_GB2312" w:cs="仿宋_GB2312" w:eastAsia="仿宋_GB2312"/>
              </w:rPr>
              <w:t>CT作为体检中的必检项目，其他项目根据自身身体健康状况和体检单位提供的体检项目自行选择。</w:t>
            </w:r>
            <w:r>
              <w:rPr>
                <w:rFonts w:ascii="仿宋_GB2312" w:hAnsi="仿宋_GB2312" w:cs="仿宋_GB2312" w:eastAsia="仿宋_GB2312"/>
              </w:rPr>
              <w:t>供应商对所列内容分别报价。</w:t>
            </w:r>
          </w:p>
          <w:tbl>
            <w:tblPr>
              <w:tblInd w:type="dxa" w:w="120"/>
              <w:tblBorders>
                <w:top w:val="none" w:color="000000" w:sz="4"/>
                <w:left w:val="none" w:color="000000" w:sz="4"/>
                <w:bottom w:val="none" w:color="000000" w:sz="4"/>
                <w:right w:val="none" w:color="000000" w:sz="4"/>
                <w:insideH w:val="none"/>
                <w:insideV w:val="none"/>
              </w:tblBorders>
            </w:tblPr>
            <w:tblGrid>
              <w:gridCol w:w="599"/>
              <w:gridCol w:w="246"/>
              <w:gridCol w:w="652"/>
              <w:gridCol w:w="203"/>
              <w:gridCol w:w="582"/>
              <w:gridCol w:w="271"/>
            </w:tblGrid>
            <w:tr>
              <w:tc>
                <w:tcPr>
                  <w:tcW w:type="dxa" w:w="2553"/>
                  <w:gridSpan w:val="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临床科室检查</w:t>
                  </w:r>
                </w:p>
              </w:tc>
            </w:tr>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b/>
                      <w:color w:val="000000"/>
                    </w:rPr>
                    <w:t>■ 体检费（含生命体征、内外科、五官科、妇科、报告出具）</w:t>
                  </w: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眼压</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眼底镜</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裂隙灯</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电脑验光</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眼底照相</w:t>
                  </w:r>
                  <w:r>
                    <w:rPr>
                      <w:rFonts w:ascii="仿宋_GB2312" w:hAnsi="仿宋_GB2312" w:cs="仿宋_GB2312" w:eastAsia="仿宋_GB2312"/>
                      <w:sz w:val="20"/>
                      <w:color w:val="000000"/>
                    </w:rPr>
                    <w:t>(双侧)</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纯音听阈测听</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电子喉镜</w:t>
                  </w:r>
                  <w:r>
                    <w:rPr>
                      <w:rFonts w:ascii="仿宋_GB2312" w:hAnsi="仿宋_GB2312" w:cs="仿宋_GB2312" w:eastAsia="仿宋_GB2312"/>
                      <w:sz w:val="20"/>
                      <w:color w:val="000000"/>
                    </w:rPr>
                    <w:t>(含耗材)</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实验室检查</w:t>
                  </w: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血常规</w:t>
                  </w:r>
                  <w:r>
                    <w:rPr>
                      <w:rFonts w:ascii="仿宋_GB2312" w:hAnsi="仿宋_GB2312" w:cs="仿宋_GB2312" w:eastAsia="仿宋_GB2312"/>
                      <w:sz w:val="20"/>
                      <w:b/>
                      <w:color w:val="000000"/>
                    </w:rPr>
                    <w:t>(五分类)</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血型鉴定</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血尿酸</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尿常规</w:t>
                  </w:r>
                  <w:r>
                    <w:rPr>
                      <w:rFonts w:ascii="仿宋_GB2312" w:hAnsi="仿宋_GB2312" w:cs="仿宋_GB2312" w:eastAsia="仿宋_GB2312"/>
                      <w:sz w:val="20"/>
                      <w:b/>
                      <w:color w:val="000000"/>
                    </w:rPr>
                    <w:t>(尿液分析)</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粪便分析</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肝功九项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肝功六项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肝功两项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肝功十五项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肾功四项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肾功两项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肾功五项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血脂四项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血脂两项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血脂七项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空腹血糖</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糖化血红蛋白</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结核抗体</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乙肝两对半</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乙肝病毒</w:t>
                  </w:r>
                  <w:r>
                    <w:rPr>
                      <w:rFonts w:ascii="仿宋_GB2312" w:hAnsi="仿宋_GB2312" w:cs="仿宋_GB2312" w:eastAsia="仿宋_GB2312"/>
                      <w:sz w:val="20"/>
                      <w:color w:val="000000"/>
                    </w:rPr>
                    <w:t>DNA定量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肝炎系列定性</w:t>
                  </w:r>
                  <w:r>
                    <w:rPr>
                      <w:rFonts w:ascii="仿宋_GB2312" w:hAnsi="仿宋_GB2312" w:cs="仿宋_GB2312" w:eastAsia="仿宋_GB2312"/>
                      <w:sz w:val="20"/>
                      <w:color w:val="000000"/>
                    </w:rPr>
                    <w:t>(12)</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肿瘤系列</w:t>
                  </w:r>
                  <w:r>
                    <w:rPr>
                      <w:rFonts w:ascii="仿宋_GB2312" w:hAnsi="仿宋_GB2312" w:cs="仿宋_GB2312" w:eastAsia="仿宋_GB2312"/>
                      <w:sz w:val="20"/>
                      <w:color w:val="000000"/>
                    </w:rPr>
                    <w:t>(女)7项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传染四项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丙肝抗体定性</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肿瘤系列</w:t>
                  </w:r>
                  <w:r>
                    <w:rPr>
                      <w:rFonts w:ascii="仿宋_GB2312" w:hAnsi="仿宋_GB2312" w:cs="仿宋_GB2312" w:eastAsia="仿宋_GB2312"/>
                      <w:sz w:val="20"/>
                      <w:color w:val="000000"/>
                    </w:rPr>
                    <w:t>(男)8项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HIV病毒抗体</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梅毒螺旋体抗体</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甲功三项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甲功五项</w:t>
                  </w:r>
                  <w:r>
                    <w:rPr>
                      <w:rFonts w:ascii="仿宋_GB2312" w:hAnsi="仿宋_GB2312" w:cs="仿宋_GB2312" w:eastAsia="仿宋_GB2312"/>
                      <w:sz w:val="20"/>
                      <w:color w:val="000000"/>
                    </w:rPr>
                    <w:t>(复查)</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甲功九项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微量元素七项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电解质四项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电解质六项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心肌酶谱五项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心梗三项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同型半胱氨酸</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类风湿五项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血流变</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心脑标志物四项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抗链球菌溶血素</w:t>
                  </w:r>
                  <w:r>
                    <w:rPr>
                      <w:rFonts w:ascii="仿宋_GB2312" w:hAnsi="仿宋_GB2312" w:cs="仿宋_GB2312" w:eastAsia="仿宋_GB2312"/>
                      <w:sz w:val="20"/>
                      <w:color w:val="000000"/>
                    </w:rPr>
                    <w:t>O</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类风湿因子</w:t>
                  </w:r>
                  <w:r>
                    <w:rPr>
                      <w:rFonts w:ascii="仿宋_GB2312" w:hAnsi="仿宋_GB2312" w:cs="仿宋_GB2312" w:eastAsia="仿宋_GB2312"/>
                      <w:sz w:val="20"/>
                      <w:color w:val="000000"/>
                    </w:rPr>
                    <w:t>RF</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C-反应蛋白</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血液免疫三项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血液免疫八项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抗缪勒管激素</w:t>
                  </w:r>
                  <w:r>
                    <w:rPr>
                      <w:rFonts w:ascii="仿宋_GB2312" w:hAnsi="仿宋_GB2312" w:cs="仿宋_GB2312" w:eastAsia="仿宋_GB2312"/>
                      <w:sz w:val="20"/>
                      <w:color w:val="000000"/>
                    </w:rPr>
                    <w:t>(AMH)</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TORCH系列(18)</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叶酸</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性激素八项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精液常规</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血清</w:t>
                  </w:r>
                  <w:r>
                    <w:rPr>
                      <w:rFonts w:ascii="仿宋_GB2312" w:hAnsi="仿宋_GB2312" w:cs="仿宋_GB2312" w:eastAsia="仿宋_GB2312"/>
                      <w:sz w:val="20"/>
                      <w:color w:val="000000"/>
                    </w:rPr>
                    <w:t>β-HCG</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尿孕检</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宫颈癌病理筛查</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液基细胞</w:t>
                  </w:r>
                  <w:r>
                    <w:rPr>
                      <w:rFonts w:ascii="仿宋_GB2312" w:hAnsi="仿宋_GB2312" w:cs="仿宋_GB2312" w:eastAsia="仿宋_GB2312"/>
                      <w:sz w:val="20"/>
                      <w:b/>
                      <w:color w:val="000000"/>
                    </w:rPr>
                    <w:t>TCT</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人乳头状瘤病毒</w:t>
                  </w:r>
                  <w:r>
                    <w:rPr>
                      <w:rFonts w:ascii="仿宋_GB2312" w:hAnsi="仿宋_GB2312" w:cs="仿宋_GB2312" w:eastAsia="仿宋_GB2312"/>
                      <w:sz w:val="20"/>
                      <w:color w:val="000000"/>
                    </w:rPr>
                    <w:t>HPV</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553"/>
                  <w:gridSpan w:val="6"/>
                  <w:tcBorders>
                    <w:top w:val="single" w:color="000000" w:sz="4"/>
                    <w:left w:val="none" w:color="000000" w:sz="4"/>
                    <w:bottom w:val="single" w:color="000000" w:sz="4"/>
                    <w:right w:val="non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技</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检</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查</w:t>
                  </w: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心电图</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十二通道心电图</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动态心电图</w:t>
                  </w:r>
                  <w:r>
                    <w:rPr>
                      <w:rFonts w:ascii="仿宋_GB2312" w:hAnsi="仿宋_GB2312" w:cs="仿宋_GB2312" w:eastAsia="仿宋_GB2312"/>
                      <w:sz w:val="20"/>
                      <w:color w:val="000000"/>
                    </w:rPr>
                    <w:t>+心率变异性检测</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动态血压检测</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超声检查</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颈部血管</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心脏彩超</w:t>
                  </w:r>
                  <w:r>
                    <w:rPr>
                      <w:rFonts w:ascii="仿宋_GB2312" w:hAnsi="仿宋_GB2312" w:cs="仿宋_GB2312" w:eastAsia="仿宋_GB2312"/>
                      <w:sz w:val="20"/>
                      <w:color w:val="000000"/>
                    </w:rPr>
                    <w:t>+左室功能</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肝胆胰脾双肾</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肝胆胰脾</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泌尿系统</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乳腺</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经腹妇科</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经阴妇科</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甲状腺</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浅表包块</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双肾及肾血管</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DR数字摄影</w:t>
                  </w:r>
                </w:p>
              </w:tc>
              <w:tc>
                <w:tcPr>
                  <w:tcW w:type="dxa" w:w="14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单部位单体位</w:t>
                  </w:r>
                  <w:r>
                    <w:rPr>
                      <w:rFonts w:ascii="仿宋_GB2312" w:hAnsi="仿宋_GB2312" w:cs="仿宋_GB2312" w:eastAsia="仿宋_GB2312"/>
                      <w:sz w:val="20"/>
                      <w:color w:val="000000"/>
                    </w:rPr>
                    <w:t>(注明部位体位)：</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14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单部位双体位</w:t>
                  </w:r>
                  <w:r>
                    <w:rPr>
                      <w:rFonts w:ascii="仿宋_GB2312" w:hAnsi="仿宋_GB2312" w:cs="仿宋_GB2312" w:eastAsia="仿宋_GB2312"/>
                      <w:sz w:val="20"/>
                      <w:color w:val="000000"/>
                    </w:rPr>
                    <w:t>(注明部位体位)：</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胸部正位片</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胸部正侧位</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跟骨轴位</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颈椎正侧位</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腰椎正侧位</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膝关节正侧位</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胃幽门螺杆菌</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C13 呼气检测</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TCD</w:t>
                  </w:r>
                </w:p>
              </w:tc>
              <w:tc>
                <w:tcPr>
                  <w:tcW w:type="dxa" w:w="14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颅内多普勒血流图</w:t>
                  </w:r>
                  <w:r>
                    <w:rPr>
                      <w:rFonts w:ascii="仿宋_GB2312" w:hAnsi="仿宋_GB2312" w:cs="仿宋_GB2312" w:eastAsia="仿宋_GB2312"/>
                      <w:sz w:val="20"/>
                      <w:color w:val="000000"/>
                    </w:rPr>
                    <w:t>颈部动脉加双侧锁骨下动脉</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骨密度检测</w:t>
                  </w:r>
                </w:p>
              </w:tc>
              <w:tc>
                <w:tcPr>
                  <w:tcW w:type="dxa" w:w="14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骨密度检测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双能</w:t>
                  </w:r>
                  <w:r>
                    <w:rPr>
                      <w:rFonts w:ascii="仿宋_GB2312" w:hAnsi="仿宋_GB2312" w:cs="仿宋_GB2312" w:eastAsia="仿宋_GB2312"/>
                      <w:sz w:val="20"/>
                      <w:color w:val="000000"/>
                    </w:rPr>
                    <w:t>X射线法（金标）</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CT</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甲状腺平扫</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上腹部平扫</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双肾及肾上腺平扫</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中腹部平扫</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颅脑</w:t>
                  </w:r>
                  <w:r>
                    <w:rPr>
                      <w:rFonts w:ascii="仿宋_GB2312" w:hAnsi="仿宋_GB2312" w:cs="仿宋_GB2312" w:eastAsia="仿宋_GB2312"/>
                      <w:sz w:val="20"/>
                      <w:color w:val="000000"/>
                    </w:rPr>
                    <w:t>CT平扫</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前列腺平扫</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下腹部平扫</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胸部</w:t>
                  </w:r>
                  <w:r>
                    <w:rPr>
                      <w:rFonts w:ascii="仿宋_GB2312" w:hAnsi="仿宋_GB2312" w:cs="仿宋_GB2312" w:eastAsia="仿宋_GB2312"/>
                      <w:sz w:val="20"/>
                      <w:color w:val="000000"/>
                    </w:rPr>
                    <w:t>CT平扫</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胸部</w:t>
                  </w:r>
                  <w:r>
                    <w:rPr>
                      <w:rFonts w:ascii="仿宋_GB2312" w:hAnsi="仿宋_GB2312" w:cs="仿宋_GB2312" w:eastAsia="仿宋_GB2312"/>
                      <w:sz w:val="20"/>
                      <w:color w:val="000000"/>
                    </w:rPr>
                    <w:t>CT平扫(含重建)</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全腹部</w:t>
                  </w:r>
                  <w:r>
                    <w:rPr>
                      <w:rFonts w:ascii="仿宋_GB2312" w:hAnsi="仿宋_GB2312" w:cs="仿宋_GB2312" w:eastAsia="仿宋_GB2312"/>
                      <w:sz w:val="20"/>
                      <w:color w:val="000000"/>
                    </w:rPr>
                    <w:t>CT平扫</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颈椎间盘</w:t>
                  </w:r>
                  <w:r>
                    <w:rPr>
                      <w:rFonts w:ascii="仿宋_GB2312" w:hAnsi="仿宋_GB2312" w:cs="仿宋_GB2312" w:eastAsia="仿宋_GB2312"/>
                      <w:sz w:val="20"/>
                      <w:color w:val="000000"/>
                    </w:rPr>
                    <w:t>(C4-C6)</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腰椎间盘</w:t>
                  </w:r>
                  <w:r>
                    <w:rPr>
                      <w:rFonts w:ascii="仿宋_GB2312" w:hAnsi="仿宋_GB2312" w:cs="仿宋_GB2312" w:eastAsia="仿宋_GB2312"/>
                      <w:sz w:val="20"/>
                      <w:color w:val="000000"/>
                    </w:rPr>
                    <w:t>(L4-S1)</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腰椎间盘</w:t>
                  </w:r>
                  <w:r>
                    <w:rPr>
                      <w:rFonts w:ascii="仿宋_GB2312" w:hAnsi="仿宋_GB2312" w:cs="仿宋_GB2312" w:eastAsia="仿宋_GB2312"/>
                      <w:sz w:val="20"/>
                      <w:color w:val="000000"/>
                    </w:rPr>
                    <w:t>(L2-S1)</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肩关节平扫</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膝关节平扫</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核磁共振</w:t>
                  </w:r>
                </w:p>
              </w:tc>
              <w:tc>
                <w:tcPr>
                  <w:tcW w:type="dxa" w:w="14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颅脑</w:t>
                  </w:r>
                  <w:r>
                    <w:rPr>
                      <w:rFonts w:ascii="仿宋_GB2312" w:hAnsi="仿宋_GB2312" w:cs="仿宋_GB2312" w:eastAsia="仿宋_GB2312"/>
                      <w:sz w:val="20"/>
                      <w:color w:val="000000"/>
                    </w:rPr>
                    <w:t>MRI+血管成像(MRA)</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甲状腺</w:t>
                  </w:r>
                  <w:r>
                    <w:rPr>
                      <w:rFonts w:ascii="仿宋_GB2312" w:hAnsi="仿宋_GB2312" w:cs="仿宋_GB2312" w:eastAsia="仿宋_GB2312"/>
                      <w:sz w:val="20"/>
                      <w:color w:val="000000"/>
                    </w:rPr>
                    <w:t>MR扫描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上腹部</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颅脑</w:t>
                  </w:r>
                  <w:r>
                    <w:rPr>
                      <w:rFonts w:ascii="仿宋_GB2312" w:hAnsi="仿宋_GB2312" w:cs="仿宋_GB2312" w:eastAsia="仿宋_GB2312"/>
                      <w:sz w:val="20"/>
                      <w:color w:val="000000"/>
                    </w:rPr>
                    <w:t>MR扫描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乳腺</w:t>
                  </w:r>
                  <w:r>
                    <w:rPr>
                      <w:rFonts w:ascii="仿宋_GB2312" w:hAnsi="仿宋_GB2312" w:cs="仿宋_GB2312" w:eastAsia="仿宋_GB2312"/>
                      <w:sz w:val="20"/>
                      <w:color w:val="000000"/>
                    </w:rPr>
                    <w:t>MR扫描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中腹部</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w:t>
                  </w:r>
                  <w:r>
                    <w:rPr>
                      <w:rFonts w:ascii="仿宋_GB2312" w:hAnsi="仿宋_GB2312" w:cs="仿宋_GB2312" w:eastAsia="仿宋_GB2312"/>
                      <w:sz w:val="20"/>
                      <w:color w:val="000000"/>
                    </w:rPr>
                    <w:t>MR扫描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颈部软组织</w:t>
                  </w:r>
                  <w:r>
                    <w:rPr>
                      <w:rFonts w:ascii="仿宋_GB2312" w:hAnsi="仿宋_GB2312" w:cs="仿宋_GB2312" w:eastAsia="仿宋_GB2312"/>
                      <w:sz w:val="20"/>
                      <w:color w:val="000000"/>
                    </w:rPr>
                    <w:t>MR</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下腹部</w:t>
                  </w:r>
                  <w:r>
                    <w:rPr>
                      <w:rFonts w:ascii="仿宋_GB2312" w:hAnsi="仿宋_GB2312" w:cs="仿宋_GB2312" w:eastAsia="仿宋_GB2312"/>
                      <w:sz w:val="20"/>
                      <w:color w:val="000000"/>
                    </w:rPr>
                    <w:t>(盆腔)</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胸椎</w:t>
                  </w:r>
                  <w:r>
                    <w:rPr>
                      <w:rFonts w:ascii="仿宋_GB2312" w:hAnsi="仿宋_GB2312" w:cs="仿宋_GB2312" w:eastAsia="仿宋_GB2312"/>
                      <w:sz w:val="20"/>
                      <w:color w:val="000000"/>
                    </w:rPr>
                    <w:t>MR扫描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肩关节区</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踝关节区</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腰椎</w:t>
                  </w:r>
                  <w:r>
                    <w:rPr>
                      <w:rFonts w:ascii="仿宋_GB2312" w:hAnsi="仿宋_GB2312" w:cs="仿宋_GB2312" w:eastAsia="仿宋_GB2312"/>
                      <w:sz w:val="20"/>
                      <w:color w:val="000000"/>
                    </w:rPr>
                    <w:t>MR扫描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膝关节区</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肺功能</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肺功能检查</w:t>
                  </w:r>
                  <w:r>
                    <w:rPr>
                      <w:rFonts w:ascii="仿宋_GB2312" w:hAnsi="仿宋_GB2312" w:cs="仿宋_GB2312" w:eastAsia="仿宋_GB2312"/>
                      <w:sz w:val="20"/>
                      <w:color w:val="000000"/>
                    </w:rPr>
                    <w:t>(成)</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肺功能检查</w:t>
                  </w:r>
                  <w:r>
                    <w:rPr>
                      <w:rFonts w:ascii="仿宋_GB2312" w:hAnsi="仿宋_GB2312" w:cs="仿宋_GB2312" w:eastAsia="仿宋_GB2312"/>
                      <w:sz w:val="20"/>
                      <w:color w:val="000000"/>
                    </w:rPr>
                    <w:t>(儿)</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脑电图检测</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普通脑电图</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过敏原检测</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过敏原检测</w:t>
                  </w:r>
                  <w:r>
                    <w:rPr>
                      <w:rFonts w:ascii="仿宋_GB2312" w:hAnsi="仿宋_GB2312" w:cs="仿宋_GB2312" w:eastAsia="仿宋_GB2312"/>
                      <w:sz w:val="20"/>
                      <w:color w:val="000000"/>
                    </w:rPr>
                    <w:t>(成)</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过敏原检测</w:t>
                  </w:r>
                  <w:r>
                    <w:rPr>
                      <w:rFonts w:ascii="仿宋_GB2312" w:hAnsi="仿宋_GB2312" w:cs="仿宋_GB2312" w:eastAsia="仿宋_GB2312"/>
                      <w:sz w:val="20"/>
                      <w:color w:val="000000"/>
                    </w:rPr>
                    <w:t>(儿)</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感染科</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肝纤维化扫描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内分泌科</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四肢多普勒（大血管硬度）</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眼底照相</w:t>
                  </w:r>
                  <w:r>
                    <w:rPr>
                      <w:rFonts w:ascii="仿宋_GB2312" w:hAnsi="仿宋_GB2312" w:cs="仿宋_GB2312" w:eastAsia="仿宋_GB2312"/>
                      <w:sz w:val="20"/>
                      <w:color w:val="000000"/>
                    </w:rPr>
                    <w:t>(免散瞳)</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感觉阈值测量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内脏脂肪测定</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内镜中心</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无痛胃镜</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普通胃镜</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无痛肠镜</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普通肠镜</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无痛胃肠镜</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tc>
              <w:tc>
                <w:tcPr>
                  <w:tcW w:type="dxa" w:w="24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tc>
              <w:tc>
                <w:tcPr>
                  <w:tcW w:type="dxa" w:w="170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备注：以上包括检查、药品、耗材及活检等全部费用。</w:t>
                  </w:r>
                </w:p>
              </w:tc>
            </w:tr>
            <w:tr>
              <w:tc>
                <w:tcPr>
                  <w:tcW w:type="dxa" w:w="845"/>
                  <w:gridSpan w:val="2"/>
                  <w:vMerge w:val="restart"/>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其他项目</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甲胎蛋白</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CA15-3</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45"/>
                  <w:gridSpan w:val="2"/>
                  <w:vMerge/>
                  <w:tcBorders>
                    <w:top w:val="single" w:color="000000" w:sz="4"/>
                    <w:left w:val="single" w:color="000000" w:sz="4"/>
                    <w:bottom w:val="single" w:color="000000" w:sz="4"/>
                    <w:right w:val="single" w:color="000000" w:sz="4"/>
                  </w:tcBorders>
                </w:tc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癌胚抗原</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前列腺特异抗原</w:t>
                  </w:r>
                  <w:r>
                    <w:rPr>
                      <w:rFonts w:ascii="仿宋_GB2312" w:hAnsi="仿宋_GB2312" w:cs="仿宋_GB2312" w:eastAsia="仿宋_GB2312"/>
                      <w:sz w:val="20"/>
                      <w:color w:val="000000"/>
                    </w:rPr>
                    <w:t>PSA</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CA-125</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CA19-9</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神经元特异性烯醇化酶</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铁蛋白</w:t>
                  </w:r>
                  <w:r>
                    <w:rPr>
                      <w:rFonts w:ascii="仿宋_GB2312" w:hAnsi="仿宋_GB2312" w:cs="仿宋_GB2312" w:eastAsia="仿宋_GB2312"/>
                      <w:sz w:val="20"/>
                      <w:color w:val="000000"/>
                    </w:rPr>
                    <w:t>FER</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EB病毒定量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糖链抗原</w:t>
                  </w:r>
                  <w:r>
                    <w:rPr>
                      <w:rFonts w:ascii="仿宋_GB2312" w:hAnsi="仿宋_GB2312" w:cs="仿宋_GB2312" w:eastAsia="仿宋_GB2312"/>
                      <w:sz w:val="20"/>
                      <w:color w:val="000000"/>
                    </w:rPr>
                    <w:t>CA72-4</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鳞癌抗原</w:t>
                  </w:r>
                  <w:r>
                    <w:rPr>
                      <w:rFonts w:ascii="仿宋_GB2312" w:hAnsi="仿宋_GB2312" w:cs="仿宋_GB2312" w:eastAsia="仿宋_GB2312"/>
                      <w:sz w:val="20"/>
                      <w:color w:val="000000"/>
                    </w:rPr>
                    <w:t>SCC</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人附睾蛋白</w:t>
                  </w:r>
                  <w:r>
                    <w:rPr>
                      <w:rFonts w:ascii="仿宋_GB2312" w:hAnsi="仿宋_GB2312" w:cs="仿宋_GB2312" w:eastAsia="仿宋_GB2312"/>
                      <w:sz w:val="20"/>
                      <w:color w:val="000000"/>
                    </w:rPr>
                    <w:t>HE4</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血清胃泌素释放肽前体</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乙肝定性系列</w:t>
                  </w:r>
                  <w:r>
                    <w:rPr>
                      <w:rFonts w:ascii="仿宋_GB2312" w:hAnsi="仿宋_GB2312" w:cs="仿宋_GB2312" w:eastAsia="仿宋_GB2312"/>
                      <w:sz w:val="20"/>
                      <w:color w:val="000000"/>
                    </w:rPr>
                    <w:t>(7)</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丙肝病毒</w:t>
                  </w:r>
                  <w:r>
                    <w:rPr>
                      <w:rFonts w:ascii="仿宋_GB2312" w:hAnsi="仿宋_GB2312" w:cs="仿宋_GB2312" w:eastAsia="仿宋_GB2312"/>
                      <w:sz w:val="20"/>
                      <w:color w:val="000000"/>
                    </w:rPr>
                    <w:t>RNA定量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甲肝抗体定性</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乙肝五项定量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丙肝抗体定量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甲肝抗体定量</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凝血酶原</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凝血四项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凝血系列六项</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血沉</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贫血四项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生长激素</w:t>
                  </w:r>
                  <w:r>
                    <w:rPr>
                      <w:rFonts w:ascii="仿宋_GB2312" w:hAnsi="仿宋_GB2312" w:cs="仿宋_GB2312" w:eastAsia="仿宋_GB2312"/>
                      <w:sz w:val="20"/>
                      <w:color w:val="000000"/>
                    </w:rPr>
                    <w:t>(hGH)</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胰腺相关两项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梅毒三项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胃蛋白酶原</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双源螺旋</w:t>
                  </w:r>
                  <w:r>
                    <w:rPr>
                      <w:rFonts w:ascii="仿宋_GB2312" w:hAnsi="仿宋_GB2312" w:cs="仿宋_GB2312" w:eastAsia="仿宋_GB2312"/>
                      <w:sz w:val="20"/>
                      <w:color w:val="000000"/>
                    </w:rPr>
                    <w:t>CT冠脉成像</w:t>
                  </w:r>
                </w:p>
              </w:tc>
              <w:tc>
                <w:tcPr>
                  <w:tcW w:type="dxa" w:w="19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备注：含造影剂药品费及其他杂费。</w:t>
                  </w:r>
                </w:p>
              </w:tc>
            </w:tr>
          </w:tbl>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由供应商按41岁及以上男教职工、40岁及以下男教职工、41岁及以上女教职工、40岁及以下已婚女教职工、未婚女教职工、离退休人员分别设计体检套餐，标准为41岁及以上男教职工990元/人、40岁及以下男教职工840元/人、41岁及以上女教职工990元/人、40岁及以下已婚女教职工840元/人、未婚女教职工730元/人、离退休人员990元/人，体检套餐科学合理、性价比高，并能够结合最新的体检手段，比如AI智能检测等检测手段，做到早筛查早发现早治疗早预防。检后体检单位必须提供所有后台数据给我校，以便我校建立职工健康管理档案。</w:t>
            </w:r>
          </w:p>
          <w:p>
            <w:pPr>
              <w:pStyle w:val="null3"/>
            </w:pPr>
            <w:r>
              <w:rPr>
                <w:rFonts w:ascii="仿宋_GB2312" w:hAnsi="仿宋_GB2312" w:cs="仿宋_GB2312" w:eastAsia="仿宋_GB2312"/>
              </w:rPr>
              <w:t>3、本项目最高限价为，41岁及以上男教职工990元/人、40岁及以下男教职工840元/人、41岁及以上女教职工990元/人、40岁及以下已婚女教职工840元/人、未婚女教职工730元/人、离退休人员990元/人。说明：在竞争性磋商时，应在预算金额及最高限价的范围内上结合企业自身经验为采购人提供科学合理的体检套餐，分别为：</w:t>
            </w:r>
          </w:p>
          <w:p>
            <w:pPr>
              <w:pStyle w:val="null3"/>
            </w:pPr>
            <w:r>
              <w:rPr>
                <w:rFonts w:ascii="仿宋_GB2312" w:hAnsi="仿宋_GB2312" w:cs="仿宋_GB2312" w:eastAsia="仿宋_GB2312"/>
              </w:rPr>
              <w:t>A.41岁及以上男教职工体检套餐；</w:t>
            </w:r>
          </w:p>
          <w:p>
            <w:pPr>
              <w:pStyle w:val="null3"/>
            </w:pPr>
            <w:r>
              <w:rPr>
                <w:rFonts w:ascii="仿宋_GB2312" w:hAnsi="仿宋_GB2312" w:cs="仿宋_GB2312" w:eastAsia="仿宋_GB2312"/>
              </w:rPr>
              <w:t>B.40岁及以下男教职工体检套餐；</w:t>
            </w:r>
          </w:p>
          <w:p>
            <w:pPr>
              <w:pStyle w:val="null3"/>
            </w:pPr>
            <w:r>
              <w:rPr>
                <w:rFonts w:ascii="仿宋_GB2312" w:hAnsi="仿宋_GB2312" w:cs="仿宋_GB2312" w:eastAsia="仿宋_GB2312"/>
              </w:rPr>
              <w:t>C.41岁及以上女教职工体检套餐；</w:t>
            </w:r>
          </w:p>
          <w:p>
            <w:pPr>
              <w:pStyle w:val="null3"/>
            </w:pPr>
            <w:r>
              <w:rPr>
                <w:rFonts w:ascii="仿宋_GB2312" w:hAnsi="仿宋_GB2312" w:cs="仿宋_GB2312" w:eastAsia="仿宋_GB2312"/>
              </w:rPr>
              <w:t>D.40岁及以下已婚女教职工体检套餐；</w:t>
            </w:r>
          </w:p>
          <w:p>
            <w:pPr>
              <w:pStyle w:val="null3"/>
            </w:pPr>
            <w:r>
              <w:rPr>
                <w:rFonts w:ascii="仿宋_GB2312" w:hAnsi="仿宋_GB2312" w:cs="仿宋_GB2312" w:eastAsia="仿宋_GB2312"/>
              </w:rPr>
              <w:t>E.未婚女教职工体检套餐；</w:t>
            </w:r>
          </w:p>
          <w:p>
            <w:pPr>
              <w:pStyle w:val="null3"/>
            </w:pPr>
            <w:r>
              <w:rPr>
                <w:rFonts w:ascii="仿宋_GB2312" w:hAnsi="仿宋_GB2312" w:cs="仿宋_GB2312" w:eastAsia="仿宋_GB2312"/>
              </w:rPr>
              <w:t>F.离退休人员体检套餐。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医疗服务要求</w:t>
            </w:r>
          </w:p>
          <w:p>
            <w:pPr>
              <w:pStyle w:val="null3"/>
            </w:pPr>
            <w:r>
              <w:rPr>
                <w:rFonts w:ascii="仿宋_GB2312" w:hAnsi="仿宋_GB2312" w:cs="仿宋_GB2312" w:eastAsia="仿宋_GB2312"/>
              </w:rPr>
              <w:t>1.须严格按照《医疗质量管理办法》、《健康体检管理暂行规定》的要求执行。</w:t>
            </w:r>
          </w:p>
          <w:p>
            <w:pPr>
              <w:pStyle w:val="null3"/>
            </w:pPr>
            <w:r>
              <w:rPr>
                <w:rFonts w:ascii="仿宋_GB2312" w:hAnsi="仿宋_GB2312" w:cs="仿宋_GB2312" w:eastAsia="仿宋_GB2312"/>
              </w:rPr>
              <w:t>2.医务人员除按上述标准要求外，尚需具备较强的责任心，认真仔细的工作态度，杜绝漏诊、误诊。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服务要求</w:t>
            </w:r>
          </w:p>
          <w:p>
            <w:pPr>
              <w:pStyle w:val="null3"/>
            </w:pPr>
            <w:r>
              <w:rPr>
                <w:rFonts w:ascii="仿宋_GB2312" w:hAnsi="仿宋_GB2312" w:cs="仿宋_GB2312" w:eastAsia="仿宋_GB2312"/>
              </w:rPr>
              <w:t>1.在甲方安排集中体检期间，为保证体检质量，日接待量应不超过100人次。</w:t>
            </w:r>
          </w:p>
          <w:p>
            <w:pPr>
              <w:pStyle w:val="null3"/>
            </w:pPr>
            <w:r>
              <w:rPr>
                <w:rFonts w:ascii="仿宋_GB2312" w:hAnsi="仿宋_GB2312" w:cs="仿宋_GB2312" w:eastAsia="仿宋_GB2312"/>
              </w:rPr>
              <w:t>全程提供车接车送服务（人员集中时）。</w:t>
            </w:r>
          </w:p>
          <w:p>
            <w:pPr>
              <w:pStyle w:val="null3"/>
            </w:pPr>
            <w:r>
              <w:rPr>
                <w:rFonts w:ascii="仿宋_GB2312" w:hAnsi="仿宋_GB2312" w:cs="仿宋_GB2312" w:eastAsia="仿宋_GB2312"/>
              </w:rPr>
              <w:t>2.提供营养早餐：按人群特点提供不同的营养早餐，8元以上人均标准。</w:t>
            </w:r>
          </w:p>
          <w:p>
            <w:pPr>
              <w:pStyle w:val="null3"/>
            </w:pPr>
            <w:r>
              <w:rPr>
                <w:rFonts w:ascii="仿宋_GB2312" w:hAnsi="仿宋_GB2312" w:cs="仿宋_GB2312" w:eastAsia="仿宋_GB2312"/>
              </w:rPr>
              <w:t>3.健康分析报告：包括人员整体健康分析、亚健康状态主要特点、疾病风险预警等必要内容。</w:t>
            </w:r>
          </w:p>
          <w:p>
            <w:pPr>
              <w:pStyle w:val="null3"/>
            </w:pPr>
            <w:r>
              <w:rPr>
                <w:rFonts w:ascii="仿宋_GB2312" w:hAnsi="仿宋_GB2312" w:cs="仿宋_GB2312" w:eastAsia="仿宋_GB2312"/>
              </w:rPr>
              <w:t>4.体检报告讲解：可以提供客服专家上门，面对面为每位员工讲解检查结果及健康建议。</w:t>
            </w:r>
          </w:p>
          <w:p>
            <w:pPr>
              <w:pStyle w:val="null3"/>
            </w:pPr>
            <w:r>
              <w:rPr>
                <w:rFonts w:ascii="仿宋_GB2312" w:hAnsi="仿宋_GB2312" w:cs="仿宋_GB2312" w:eastAsia="仿宋_GB2312"/>
              </w:rPr>
              <w:t>5.健康咨询：随时拨打健康咨询电话，提供健康建议及指导。</w:t>
            </w:r>
          </w:p>
          <w:p>
            <w:pPr>
              <w:pStyle w:val="null3"/>
            </w:pPr>
            <w:r>
              <w:rPr>
                <w:rFonts w:ascii="仿宋_GB2312" w:hAnsi="仿宋_GB2312" w:cs="仿宋_GB2312" w:eastAsia="仿宋_GB2312"/>
              </w:rPr>
              <w:t>6.健康讲座：提供免费的系列健康知识讲座。</w:t>
            </w:r>
          </w:p>
          <w:p>
            <w:pPr>
              <w:pStyle w:val="null3"/>
            </w:pPr>
            <w:r>
              <w:rPr>
                <w:rFonts w:ascii="仿宋_GB2312" w:hAnsi="仿宋_GB2312" w:cs="仿宋_GB2312" w:eastAsia="仿宋_GB2312"/>
              </w:rPr>
              <w:t>7.网上查询：体检后可根据给每个人的提供的网址、代码及密码可在网上进行体检报告的查询，且永久保存。</w:t>
            </w:r>
          </w:p>
          <w:p>
            <w:pPr>
              <w:pStyle w:val="null3"/>
            </w:pPr>
            <w:r>
              <w:rPr>
                <w:rFonts w:ascii="仿宋_GB2312" w:hAnsi="仿宋_GB2312" w:cs="仿宋_GB2312" w:eastAsia="仿宋_GB2312"/>
              </w:rPr>
              <w:t>8.后续提供其他医疗服务：</w:t>
            </w:r>
          </w:p>
          <w:p>
            <w:pPr>
              <w:pStyle w:val="null3"/>
            </w:pPr>
            <w:r>
              <w:rPr>
                <w:rFonts w:ascii="仿宋_GB2312" w:hAnsi="仿宋_GB2312" w:cs="仿宋_GB2312" w:eastAsia="仿宋_GB2312"/>
              </w:rPr>
              <w:t>①</w:t>
            </w:r>
            <w:r>
              <w:rPr>
                <w:rFonts w:ascii="仿宋_GB2312" w:hAnsi="仿宋_GB2312" w:cs="仿宋_GB2312" w:eastAsia="仿宋_GB2312"/>
              </w:rPr>
              <w:t>对有诊疗需要的教职员工，可与各大医院建立绿色通道为就医提供方便快捷的服务措施，如提供远程医疗会诊、国内各大医院专家挂号就诊、家庭医生上门服务、其他康复治疗等。对重大疾病，由专家及时通知单位（负责体检工作人员）与本人，并给出及时合理的治疗或复检建议，可与各大医院建立绿色通道为就医提供方便快捷的服务措施。</w:t>
            </w:r>
          </w:p>
          <w:p>
            <w:pPr>
              <w:pStyle w:val="null3"/>
            </w:pPr>
            <w:r>
              <w:rPr>
                <w:rFonts w:ascii="仿宋_GB2312" w:hAnsi="仿宋_GB2312" w:cs="仿宋_GB2312" w:eastAsia="仿宋_GB2312"/>
              </w:rPr>
              <w:t>②为学校提供一年不少于10次的医疗保障服务，包括但不限于120急救服务、重点时段医疗保障等，具体实施时间以采购人通知为准，以上服务的费用包含在体检套餐报价内。</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w:t>
            </w:r>
            <w:r>
              <w:rPr>
                <w:rFonts w:ascii="仿宋_GB2312" w:hAnsi="仿宋_GB2312" w:cs="仿宋_GB2312" w:eastAsia="仿宋_GB2312"/>
              </w:rPr>
              <w:t>其他要求</w:t>
            </w:r>
          </w:p>
          <w:p>
            <w:pPr>
              <w:pStyle w:val="null3"/>
            </w:pPr>
            <w:r>
              <w:rPr>
                <w:rFonts w:ascii="仿宋_GB2312" w:hAnsi="仿宋_GB2312" w:cs="仿宋_GB2312" w:eastAsia="仿宋_GB2312"/>
              </w:rPr>
              <w:t>需提供供应商现行的体检价格清单作为报价的依据，未提供按无效文件处理。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服务期：2026年11月30日前完成本年度所有人员体检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陕西交通职业技术学院指定地点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其他，本项目无预付款；合同履约完成后，按实际体检人数和标准支付体检款项。乙方开具普通税票递交至采购人后，达到付款条件起20个工作日内，支付合同总金额的100.0%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成交通知书发出之日起5个工作日内退还未成交供应商的投标保证金,自采购合同签订之日起5个工作日内退还成交供应商的磋商保证金。合同签订后，成交供应商需将合同扫描件发送至指定联系人邮箱，邮箱地址为499094051@qq.com，并以邮件接收时间为退付的基准时间。 3、磋商文件中所有商务要求均为实质性内容，供应商必须响应并满足。 4、本项目结算时按成交供应商各套餐单价为依据据实结算，供应商需在分项报价表中标明各类套餐具体项目以及其单价情况。 5、供应商应按照各类套餐预估总价（各个套餐单价×对应套餐预估人数）之和报出评审总价填写在开标一览表/响应报价表以及标的清单中，本次磋商以评审总价作为价格分的评审依据。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 报价表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商务应答表 服务内容及服务要求应答表 标的清单 报价表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体检套餐方案</w:t>
            </w:r>
          </w:p>
        </w:tc>
        <w:tc>
          <w:tcPr>
            <w:tcW w:type="dxa" w:w="2492"/>
          </w:tcPr>
          <w:p>
            <w:pPr>
              <w:pStyle w:val="null3"/>
            </w:pPr>
            <w:r>
              <w:rPr>
                <w:rFonts w:ascii="仿宋_GB2312" w:hAnsi="仿宋_GB2312" w:cs="仿宋_GB2312" w:eastAsia="仿宋_GB2312"/>
              </w:rPr>
              <w:t>根据供应商提供的本项目实际情况结合企业自身经验制定适合采购需求中的六类教职人员合理、科学的体检项目形成“体检项目套餐”： A.41岁及以上男教职工体检套餐； B.40岁及以下男教职工体检套餐； C.41岁及以上女教职工体检套餐； D.40岁及以下已婚女教职工体检套餐； E.未婚女教职工体检套餐； F.离退休人员体检套餐。 专家根据套餐设计情况进行评审，体检项目套餐搭配科学合理、满足本项目不同人员体检需求计12分；每类套餐搭配出现1项缺陷的扣1分，扣完为止。 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1、详细评审---体检套餐方案.docx</w:t>
            </w:r>
          </w:p>
        </w:tc>
      </w:tr>
      <w:tr>
        <w:tc>
          <w:tcPr>
            <w:tcW w:type="dxa" w:w="831"/>
            <w:vMerge/>
          </w:tcPr>
          <w:p/>
        </w:tc>
        <w:tc>
          <w:tcPr>
            <w:tcW w:type="dxa" w:w="1661"/>
          </w:tcPr>
          <w:p>
            <w:pPr>
              <w:pStyle w:val="null3"/>
            </w:pPr>
            <w:r>
              <w:rPr>
                <w:rFonts w:ascii="仿宋_GB2312" w:hAnsi="仿宋_GB2312" w:cs="仿宋_GB2312" w:eastAsia="仿宋_GB2312"/>
              </w:rPr>
              <w:t>优惠承诺</w:t>
            </w:r>
          </w:p>
        </w:tc>
        <w:tc>
          <w:tcPr>
            <w:tcW w:type="dxa" w:w="2492"/>
          </w:tcPr>
          <w:p>
            <w:pPr>
              <w:pStyle w:val="null3"/>
            </w:pPr>
            <w:r>
              <w:rPr>
                <w:rFonts w:ascii="仿宋_GB2312" w:hAnsi="仿宋_GB2312" w:cs="仿宋_GB2312" w:eastAsia="仿宋_GB2312"/>
              </w:rPr>
              <w:t>供应商提供针对本项目的优惠承诺：承诺在各体检套餐项目的基础上，额外提供套餐价值30%及以上的体检项目计10分，20%-30%（不含）计6分，额外提供10%-20%（不含）的计3分，额外提供10%（不含）以下的计1分，未额外提供的不计分。本项最高计10分。 注：本项所述套餐价值为各类体检套餐的最高限价。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2、详细评审---优惠承诺.docx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至少包含：供应商根据本项目特点，提供针对本项目的服务方案。至少包括：①体检流程；②具体场次安排；③接送服务方案；④体检实施时的引导及陪护；⑤体检结果质量保证措施；⑥体检发现疾病的后续医疗服务；⑦健康报告分析及体检报告讲解；⑧健康咨询及健康讲座；⑨早餐派发等要素。⑩套餐外增值服务。以上方案每缺一项扣2分，每有1处描述有缺陷扣1分，扣完为止。 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针对本项目拟投入的体检设备，须至少包含：①检测仪器：至少包括DR、超声、CT、MRI、胃镜（提供设备清单、现场照片、购买发票/租赁协议），每缺少一项扣2分，本项满分10分；②定期校准、维护、质控记录制度。提供以上制度、制度每缺少一项扣1分，本项满分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4、详细评审---拟投入设备.docx</w:t>
            </w:r>
          </w:p>
        </w:tc>
      </w:tr>
      <w:tr>
        <w:tc>
          <w:tcPr>
            <w:tcW w:type="dxa" w:w="831"/>
            <w:vMerge/>
          </w:tcPr>
          <w:p/>
        </w:tc>
        <w:tc>
          <w:tcPr>
            <w:tcW w:type="dxa" w:w="1661"/>
          </w:tcPr>
          <w:p>
            <w:pPr>
              <w:pStyle w:val="null3"/>
            </w:pPr>
            <w:r>
              <w:rPr>
                <w:rFonts w:ascii="仿宋_GB2312" w:hAnsi="仿宋_GB2312" w:cs="仿宋_GB2312" w:eastAsia="仿宋_GB2312"/>
              </w:rPr>
              <w:t>体检配套环境</w:t>
            </w:r>
          </w:p>
        </w:tc>
        <w:tc>
          <w:tcPr>
            <w:tcW w:type="dxa" w:w="2492"/>
          </w:tcPr>
          <w:p>
            <w:pPr>
              <w:pStyle w:val="null3"/>
            </w:pPr>
            <w:r>
              <w:rPr>
                <w:rFonts w:ascii="仿宋_GB2312" w:hAnsi="仿宋_GB2312" w:cs="仿宋_GB2312" w:eastAsia="仿宋_GB2312"/>
              </w:rPr>
              <w:t>供应商针对本项目提供详细的体检配套环境，至少包含：①场所独立性与承载能力：提供体检场所产权证或租赁合同、平面布局图，得2分，本项满分2分；②无障碍与适老化设施、急救设备与应急配置：提供无障碍通道、适老化设施（如扶手、防滑地面等）的现场照片，得1分；提供急救设备清单（含设备名称、数量、有效期证明），得1分；提供应急配置设施清单（含设备名称、数量、有效期证明），得1分；本项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5、详细评审---体检配套环境.docx</w:t>
            </w:r>
          </w:p>
        </w:tc>
      </w:tr>
      <w:tr>
        <w:tc>
          <w:tcPr>
            <w:tcW w:type="dxa" w:w="831"/>
            <w:vMerge/>
          </w:tcPr>
          <w:p/>
        </w:tc>
        <w:tc>
          <w:tcPr>
            <w:tcW w:type="dxa" w:w="1661"/>
          </w:tcPr>
          <w:p>
            <w:pPr>
              <w:pStyle w:val="null3"/>
            </w:pPr>
            <w:r>
              <w:rPr>
                <w:rFonts w:ascii="仿宋_GB2312" w:hAnsi="仿宋_GB2312" w:cs="仿宋_GB2312" w:eastAsia="仿宋_GB2312"/>
              </w:rPr>
              <w:t>拟投入的人员团队</w:t>
            </w:r>
          </w:p>
        </w:tc>
        <w:tc>
          <w:tcPr>
            <w:tcW w:type="dxa" w:w="2492"/>
          </w:tcPr>
          <w:p>
            <w:pPr>
              <w:pStyle w:val="null3"/>
            </w:pPr>
            <w:r>
              <w:rPr>
                <w:rFonts w:ascii="仿宋_GB2312" w:hAnsi="仿宋_GB2312" w:cs="仿宋_GB2312" w:eastAsia="仿宋_GB2312"/>
              </w:rPr>
              <w:t>1.团队人员至少有2名主检医师，主检医师应当由具备内、外科工作经历的副主任医师及以上职称人员担任；在此基础上每提供1名主检医师计1分，共3分。 2.团队人员至少有1名总检验审核人员，总检验审核人员必须是副主任医师及以上职称人员担任；在此基础上每提供1名总检验审核人员计1分，共2分。 3.团队人员至少有1名执业医师，执业医师人员必须是中级及以上专业技术职务任职资格的人员担任，在此基础上每提供1名执业医师计0.5分，共1分。 4.团队人员至少有1名护士，护士人员必须是中级及以上专业技术职务任职资格的人员担任，在此基础上每提供1名护士计0.5分，共1分。 提供团队人员名单及相关证明资料（包含身份证、执业证书、职称证、工作经验证明材料等）。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6、详细评审---拟投入的人员团队.docx</w:t>
            </w:r>
          </w:p>
        </w:tc>
      </w:tr>
      <w:tr>
        <w:tc>
          <w:tcPr>
            <w:tcW w:type="dxa" w:w="831"/>
            <w:vMerge/>
          </w:tcPr>
          <w:p/>
        </w:tc>
        <w:tc>
          <w:tcPr>
            <w:tcW w:type="dxa" w:w="1661"/>
          </w:tcPr>
          <w:p>
            <w:pPr>
              <w:pStyle w:val="null3"/>
            </w:pPr>
            <w:r>
              <w:rPr>
                <w:rFonts w:ascii="仿宋_GB2312" w:hAnsi="仿宋_GB2312" w:cs="仿宋_GB2312" w:eastAsia="仿宋_GB2312"/>
              </w:rPr>
              <w:t>服务承诺及质量保证方案</w:t>
            </w:r>
          </w:p>
        </w:tc>
        <w:tc>
          <w:tcPr>
            <w:tcW w:type="dxa" w:w="2492"/>
          </w:tcPr>
          <w:p>
            <w:pPr>
              <w:pStyle w:val="null3"/>
            </w:pPr>
            <w:r>
              <w:rPr>
                <w:rFonts w:ascii="仿宋_GB2312" w:hAnsi="仿宋_GB2312" w:cs="仿宋_GB2312" w:eastAsia="仿宋_GB2312"/>
              </w:rPr>
              <w:t>供应商根据本项目特点，提供针对本项目的服务承诺及质量保证方案。具体包括：①保密方案及承诺（包括但不限于参检人员所有信息数据保密方案、体检结果保密措施等）；②对体检数据（含个人信息、体检报告）制定完善的存储、传输、使用、销毁流程，明确管控措施以及网上查询的方案；③应急处置方案；④免费的医疗咨询服务、健康追踪及就医绿色通道；以上方案每缺一项扣2分，每存在1处缺陷扣1分，扣完为止。 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7、详细评审---服务承诺及质量保证方案.docx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供应商2023年至今（以签订时间为准）承担过同类型项目业绩的，每项得1分，最高得5分。需提供项目合同或协议的关键页扫描件，加盖公章，否则不计分。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价格分统一采用低价优先法计算，即满足磋商文件要求且响应价格最低的报价为评标基准价，其价格分为满分。其他供应商的价格分统一按照下列公式计算： 磋商报价得分=(评标基准价／响应报价)×价格权值×100 计算分数时四舍五入取小数点后两位。 注：本项价格分以各类套餐预估总价（各个套餐单价×对应套餐预估人数）之和作为评审依据。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详见附件：1、详细评审---体检套餐方案.docx</w:t>
      </w:r>
    </w:p>
    <w:p>
      <w:pPr>
        <w:pStyle w:val="null3"/>
        <w:ind w:firstLine="960"/>
      </w:pPr>
      <w:r>
        <w:rPr>
          <w:rFonts w:ascii="仿宋_GB2312" w:hAnsi="仿宋_GB2312" w:cs="仿宋_GB2312" w:eastAsia="仿宋_GB2312"/>
        </w:rPr>
        <w:t>详见附件：2、详细评审---优惠承诺.docx</w:t>
      </w:r>
    </w:p>
    <w:p>
      <w:pPr>
        <w:pStyle w:val="null3"/>
        <w:ind w:firstLine="960"/>
      </w:pPr>
      <w:r>
        <w:rPr>
          <w:rFonts w:ascii="仿宋_GB2312" w:hAnsi="仿宋_GB2312" w:cs="仿宋_GB2312" w:eastAsia="仿宋_GB2312"/>
        </w:rPr>
        <w:t>详见附件：3、详细评审---服务方案.docx</w:t>
      </w:r>
    </w:p>
    <w:p>
      <w:pPr>
        <w:pStyle w:val="null3"/>
        <w:ind w:firstLine="960"/>
      </w:pPr>
      <w:r>
        <w:rPr>
          <w:rFonts w:ascii="仿宋_GB2312" w:hAnsi="仿宋_GB2312" w:cs="仿宋_GB2312" w:eastAsia="仿宋_GB2312"/>
        </w:rPr>
        <w:t>详见附件：4、详细评审---拟投入设备.docx</w:t>
      </w:r>
    </w:p>
    <w:p>
      <w:pPr>
        <w:pStyle w:val="null3"/>
        <w:ind w:firstLine="960"/>
      </w:pPr>
      <w:r>
        <w:rPr>
          <w:rFonts w:ascii="仿宋_GB2312" w:hAnsi="仿宋_GB2312" w:cs="仿宋_GB2312" w:eastAsia="仿宋_GB2312"/>
        </w:rPr>
        <w:t>详见附件：5、详细评审---体检配套环境.docx</w:t>
      </w:r>
    </w:p>
    <w:p>
      <w:pPr>
        <w:pStyle w:val="null3"/>
        <w:ind w:firstLine="960"/>
      </w:pPr>
      <w:r>
        <w:rPr>
          <w:rFonts w:ascii="仿宋_GB2312" w:hAnsi="仿宋_GB2312" w:cs="仿宋_GB2312" w:eastAsia="仿宋_GB2312"/>
        </w:rPr>
        <w:t>详见附件：6、详细评审---拟投入的人员团队.docx</w:t>
      </w:r>
    </w:p>
    <w:p>
      <w:pPr>
        <w:pStyle w:val="null3"/>
        <w:ind w:firstLine="960"/>
      </w:pPr>
      <w:r>
        <w:rPr>
          <w:rFonts w:ascii="仿宋_GB2312" w:hAnsi="仿宋_GB2312" w:cs="仿宋_GB2312" w:eastAsia="仿宋_GB2312"/>
        </w:rPr>
        <w:t>详见附件：7、详细评审---服务承诺及质量保证方案.docx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