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版本号：ZCBN-南郑县-2026-0007720260424001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阳春镇2026年散煤综合治理项目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ZCBN-南郑县-2026-00077</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陕西新言项目管理有限公司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陕西新言项目管理有限公司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阳春镇2026年散煤综合治理项目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阳春镇2026年散煤综合治理项目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采购空气源热泵热风机，面向辖区群众发放安装，替换散煤取暖，确保群众安全过冬，改善大气条件。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采购包1（阳春镇2026年散煤综合治理项目）：属于专门面向中小企业采购。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13669160613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陕西省汉中市汉台区东塔社区隔壁院内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刘林龙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19992769876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开户名称：陕西新言项目管理有限公司</w:t>
            </w:r>
          </w:p>
          <w:p>
            <w:pPr>
              <w:pStyle w:val="null3"/>
            </w:pPr>
            <w:r>
              <w:rPr>
                <w:rFonts w:ascii="仿宋_GB2312" w:hAnsi="仿宋_GB2312" w:cs="仿宋_GB2312" w:eastAsia="仿宋_GB2312"/>
              </w:rPr>
              <w:t>开户银行：中国工商银行股份有限公司汉中北团结支行</w:t>
            </w:r>
          </w:p>
          <w:p>
            <w:pPr>
              <w:pStyle w:val="null3"/>
            </w:pPr>
            <w:r>
              <w:rPr>
                <w:rFonts w:ascii="仿宋_GB2312" w:hAnsi="仿宋_GB2312" w:cs="仿宋_GB2312" w:eastAsia="仿宋_GB2312"/>
              </w:rPr>
              <w:t>银行账号：2606050309200253675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说明：按中标金额的3%缴纳履约保证金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陕西新言项目管理有限公司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供应商所供应的货物质量合格，满足国家有关质量规范要求，并满足采购文件要求的性能参数，全部安装完成，并能正常使用。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联系人：刘林龙</w:t>
      </w:r>
    </w:p>
    <w:p>
      <w:pPr>
        <w:pStyle w:val="null3"/>
      </w:pPr>
      <w:r>
        <w:rPr>
          <w:rFonts w:ascii="仿宋_GB2312" w:hAnsi="仿宋_GB2312" w:cs="仿宋_GB2312" w:eastAsia="仿宋_GB2312"/>
        </w:rPr>
        <w:t>联系电话：19992769876</w:t>
      </w:r>
    </w:p>
    <w:p>
      <w:pPr>
        <w:pStyle w:val="null3"/>
      </w:pPr>
      <w:r>
        <w:rPr>
          <w:rFonts w:ascii="仿宋_GB2312" w:hAnsi="仿宋_GB2312" w:cs="仿宋_GB2312" w:eastAsia="仿宋_GB2312"/>
        </w:rPr>
        <w:t>地址：陕西省汉中市汉台区东塔社区隔壁院内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采购空气源热泵热风机，面向辖区群众发放安装，替换散煤取暖，确保群众安全过冬，改善大气条件。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空气源热泵热风机</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标的名称：空气源热泵热风机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额定制热量</w:t>
            </w:r>
            <w:r>
              <w:rPr>
                <w:rFonts w:ascii="仿宋_GB2312" w:hAnsi="仿宋_GB2312" w:cs="仿宋_GB2312" w:eastAsia="仿宋_GB2312"/>
                <w:sz w:val="28"/>
                <w:color w:val="000000"/>
              </w:rPr>
              <w:t>≥4KW;电功率≤1.25KW;</w:t>
            </w:r>
            <w:r>
              <w:rPr>
                <w:rFonts w:ascii="仿宋_GB2312" w:hAnsi="仿宋_GB2312" w:cs="仿宋_GB2312" w:eastAsia="仿宋_GB2312"/>
                <w:sz w:val="28"/>
                <w:color w:val="000000"/>
              </w:rPr>
              <w:t>电压</w:t>
            </w:r>
            <w:r>
              <w:rPr>
                <w:rFonts w:ascii="仿宋_GB2312" w:hAnsi="仿宋_GB2312" w:cs="仿宋_GB2312" w:eastAsia="仿宋_GB2312"/>
                <w:sz w:val="28"/>
                <w:color w:val="000000"/>
              </w:rPr>
              <w:t>/频率</w:t>
            </w:r>
            <w:r>
              <w:rPr>
                <w:rFonts w:ascii="仿宋_GB2312" w:hAnsi="仿宋_GB2312" w:cs="仿宋_GB2312" w:eastAsia="仿宋_GB2312"/>
                <w:sz w:val="28"/>
                <w:color w:val="000000"/>
              </w:rPr>
              <w:t>:220V/50Hz;最大电流≤18.1A。</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室内外机联机管为纯铜管。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强制认证：标的物须具有《中国国家强制性产品认证证书》（</w:t>
            </w:r>
            <w:r>
              <w:rPr>
                <w:rFonts w:ascii="仿宋_GB2312" w:hAnsi="仿宋_GB2312" w:cs="仿宋_GB2312" w:eastAsia="仿宋_GB2312"/>
                <w:sz w:val="28"/>
                <w:color w:val="000000"/>
              </w:rPr>
              <w:t>3C强制认证）；同时提供提供第三方检测机构出具的产品《国家强制性产品认证实验报告》。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-12°C工况下制热量≥4KW，电功率≤1.81KW; COP≥2.2。</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-20°C工况下制热量≥4KW;电功率≤2.22KW:COP≥1.8。</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HSPF</w:t>
            </w:r>
            <w:r>
              <w:rPr>
                <w:rFonts w:ascii="仿宋_GB2312" w:hAnsi="仿宋_GB2312" w:cs="仿宋_GB2312" w:eastAsia="仿宋_GB2312"/>
                <w:sz w:val="28"/>
                <w:color w:val="000000"/>
              </w:rPr>
              <w:t>≥</w:t>
            </w:r>
            <w:r>
              <w:rPr>
                <w:rFonts w:ascii="仿宋_GB2312" w:hAnsi="仿宋_GB2312" w:cs="仿宋_GB2312" w:eastAsia="仿宋_GB2312"/>
                <w:sz w:val="28"/>
                <w:color w:val="000000"/>
              </w:rPr>
              <w:t>3.2，不低于二级能效。</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空气源热泵热风机应具备供冷和供暖功能，环境使用温度</w:t>
            </w:r>
            <w:r>
              <w:rPr>
                <w:rFonts w:ascii="仿宋_GB2312" w:hAnsi="仿宋_GB2312" w:cs="仿宋_GB2312" w:eastAsia="仿宋_GB2312"/>
                <w:sz w:val="28"/>
                <w:color w:val="000000"/>
              </w:rPr>
              <w:t>:-25~45°C。</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温度调节范围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16~30°C</w:t>
            </w:r>
            <w:r>
              <w:rPr>
                <w:rFonts w:ascii="仿宋_GB2312" w:hAnsi="仿宋_GB2312" w:cs="仿宋_GB2312" w:eastAsia="仿宋_GB2312"/>
                <w:sz w:val="28"/>
                <w:color w:val="000000"/>
              </w:rPr>
              <w:t>。</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循环风量</w:t>
            </w:r>
            <w:r>
              <w:rPr>
                <w:rFonts w:ascii="仿宋_GB2312" w:hAnsi="仿宋_GB2312" w:cs="仿宋_GB2312" w:eastAsia="仿宋_GB2312"/>
                <w:sz w:val="28"/>
                <w:color w:val="000000"/>
              </w:rPr>
              <w:t>:≥600mm</w:t>
            </w:r>
            <w:r>
              <w:rPr>
                <w:rFonts w:ascii="仿宋_GB2312" w:hAnsi="仿宋_GB2312" w:cs="仿宋_GB2312" w:eastAsia="仿宋_GB2312"/>
                <w:sz w:val="28"/>
                <w:color w:val="000000"/>
                <w:vertAlign w:val="superscript"/>
              </w:rPr>
              <w:t>3</w:t>
            </w:r>
            <w:r>
              <w:rPr>
                <w:rFonts w:ascii="仿宋_GB2312" w:hAnsi="仿宋_GB2312" w:cs="仿宋_GB2312" w:eastAsia="仿宋_GB2312"/>
                <w:sz w:val="28"/>
                <w:color w:val="000000"/>
              </w:rPr>
              <w:t>/h。</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化霜：智能化霜，无明显温度波动，室内机具备防冷风设计。</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保护功能</w:t>
            </w:r>
            <w:r>
              <w:rPr>
                <w:rFonts w:ascii="仿宋_GB2312" w:hAnsi="仿宋_GB2312" w:cs="仿宋_GB2312" w:eastAsia="仿宋_GB2312"/>
                <w:sz w:val="28"/>
                <w:color w:val="000000"/>
              </w:rPr>
              <w:t>:防触电≥一类。</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噪音</w:t>
            </w:r>
            <w:r>
              <w:rPr>
                <w:rFonts w:ascii="仿宋_GB2312" w:hAnsi="仿宋_GB2312" w:cs="仿宋_GB2312" w:eastAsia="仿宋_GB2312"/>
                <w:sz w:val="28"/>
                <w:color w:val="000000"/>
              </w:rPr>
              <w:t>[dB(A)]:室外机:≤55，室内机:≤50。</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电辅</w:t>
            </w:r>
            <w:r>
              <w:rPr>
                <w:rFonts w:ascii="仿宋_GB2312" w:hAnsi="仿宋_GB2312" w:cs="仿宋_GB2312" w:eastAsia="仿宋_GB2312"/>
                <w:sz w:val="28"/>
                <w:color w:val="000000"/>
              </w:rPr>
              <w:t>:不允许辅助电加热。</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低温制热</w:t>
            </w:r>
            <w:r>
              <w:rPr>
                <w:rFonts w:ascii="仿宋_GB2312" w:hAnsi="仿宋_GB2312" w:cs="仿宋_GB2312" w:eastAsia="仿宋_GB2312"/>
                <w:sz w:val="28"/>
                <w:color w:val="000000"/>
              </w:rPr>
              <w:t>:在室外温度-20°C时，制热量不衰减;在空气干球湿度-30°C环境温度中，机组能够正常无电辅热启动。</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制冷剂</w:t>
            </w:r>
            <w:r>
              <w:rPr>
                <w:rFonts w:ascii="仿宋_GB2312" w:hAnsi="仿宋_GB2312" w:cs="仿宋_GB2312" w:eastAsia="仿宋_GB2312"/>
                <w:sz w:val="28"/>
                <w:color w:val="000000"/>
              </w:rPr>
              <w:t>:R410A，R32等ODP=0的环保冷媒。</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室内外机安装</w:t>
            </w:r>
            <w:r>
              <w:rPr>
                <w:rFonts w:ascii="仿宋_GB2312" w:hAnsi="仿宋_GB2312" w:cs="仿宋_GB2312" w:eastAsia="仿宋_GB2312"/>
                <w:sz w:val="28"/>
                <w:color w:val="000000"/>
              </w:rPr>
              <w:t>:可满足壁挂式或落地式安装。</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具备延时继电器，防冻保护等防护措施。</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电子膨胀阀，四通阀等主要元器件应为知名品牌。</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压缩机：高效直流变频压缩机。</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风机：室内外电机均采用直流无刷电机。</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color w:val="000000"/>
              </w:rPr>
              <w:t>具备产品责任保险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供货安装进度达到50%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供货安装进度达到80%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供货安装完成，采购人验收通过</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质量保修范围：产品质量整体保修 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 （2）质保期要求 ①空气源热泵热风机质保期：整机质保3年。 ②供应商应在响应文件中列明质保的范围及质保年限。 ③质保期出现的质量问题由成交供应商负责解决并承担所有费用；质保期后如需更换零部件，供应商应以优惠价提供。 （3）安装调试 ①安装 a.供应商的响应报价中应包含产品安装、辅材、等费用，不得向用户及采购人额外收取任何费用。 b.安装过程中，供应商应指派专业技术人员提供安装服务（特种作业人员应持证上岗），应严格按照产品说明书及安装规范进行操作，确保产品安装到位。安装操作规范合理，符合国家、行业相关标准。 c.安装完成后应对产品进行全面检查，确保所有部件安装到位、功能正常；安装过程中，若发现任何产品质量问题，供应商应无理由更换，直至问题解决。 ②调试 a.供应商应提供详尽的产品说明书，并指导用户使用。 b.调试过程中，出现异常情况，供应商应提供技术支持，协助用户解决问题。 （3）售后服务 ①供应商必须为用户提供7*24小时电话服务和技术支持。 ②在接到用户故障通知后，3小时内响应，6小时内到达现场解决故障，供应商未能在规定时间内到达现场的，采购人有权要求供应商给用户合理的经济赔偿。由于产品本身缺陷发生故障或损坏而造成的损失，全部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提交《汉中市政府采购供应商资格承诺函》，并完成电子签章</w:t>
            </w:r>
          </w:p>
        </w:tc>
        <w:tc>
          <w:tcPr>
            <w:tcW w:type="dxa" w:w="1661"/>
          </w:tcPr>
          <w:p>
            <w:pPr>
              <w:pStyle w:val="null3"/>
            </w:pPr>
            <w:r>
              <w:rPr>
                <w:rFonts w:ascii="仿宋_GB2312" w:hAnsi="仿宋_GB2312" w:cs="仿宋_GB2312" w:eastAsia="仿宋_GB2312"/>
              </w:rPr>
              <w:t>政府采购供应商基本资格条件承诺函.docx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法定代表人身份证明.docx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政府采购供应商基本资格条件承诺函.docx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售后服务方案.docx 法定代表人身份证明.docx 中小企业声明函 商务应答表 质量保证措施.docx 货物来源渠道及佐证.docx 项目实施方案.docx 用户使用培训方案.docx 投标人应提交的相关资格证明材料 产品技术参数表 应急预案.docx 投标函 残疾人福利性单位声明函 政府采购供应商基本资格条件承诺函.docx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法定代表人身份证明.docx 投标函 中小企业声明函 残疾人福利性单位声明函 商务应答表 政府采购供应商基本资格条件承诺函.docx 标的清单 投标文件封面 法定代表人授权委托书.docx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售后服务方案.docx 法定代表人身份证明.docx 中小企业声明函 商务应答表 质量保证措施.docx 货物来源渠道及佐证.docx 项目实施方案.docx 用户使用培训方案.docx 投标人应提交的相关资格证明材料 产品技术参数表 应急预案.docx 投标函 残疾人福利性单位声明函 政府采购供应商基本资格条件承诺函.docx 标的清单 投标文件封面 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所有参数均完全响应招标文件要求，满足采购需求得满分10分，其中带“★ ”项共计3项需求为实质性要求，必须满足则通过实质性符合响应，得基本分1分，其他▲每有一项技术参数未响应或负偏离扣0.5分，最高扣9分。注：投标人应提供相关“★”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设备货源渠道正常，确保供应的设备无假货、水货、翻新货且无产权纠纷，提供设备的合法来源渠道证明文件，提合法来源证明文件得6分，最高得6分。投标人可根据自身情况提供以下资料: ①如投标人为所投产品代理商:提供货物的合法来源渠道证明文件。（例如：产品制造商授权或销售协议或代理协议等任意一项证明文件即可）；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货物来源渠道及佐证.docx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供应商需针对本项目提供完整的项目实施方案。内容包含：①供货组织②对接及运输方案③安装调试方案④人员、物力调配安排⑤进度安排及保障措施⑥安全文明安装措施。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1.5分，满分4.5分；②对接及运输方案:每完全满足一个评审标准得1分，满分3分；③安装调试方案:每完全满足一个评审标准得1.5分，满分4.5分；④人员、物力调配安排：每完全满足一个评审标准得1分，满分3分；⑤进度安排及保障措施：每完全满足一个评审标准得1.5分，满分4.5分；⑥安全文明安装措施每完全满足一个评审标准得1.5分，满分4.5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1.5分，满分3分；②响应时间:每完全满足一个评审标准得1.5分，满分3分；③故障处理及补救措施:每完全满足一个评审标准得1.5分，满分3分；④备品备件准备:每完全满足一个评审标准得1.5分，满分3分；⑤售后服务体系建设:每完全满足一个评审标准得1.5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1分，满分2分；②产品生产、供应环节质量管理体系及保证措施:每完全满足一个评审标准得1分，满分2分。③安装质量保证措施：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出应急预案内容符合采购人需求且详细完善，涵盖了可能出现的各类突发事件【产品安全类(损坏、遗忘、破损等)】、【配送运营类(设备故障，人员短缺)】、【供应链类(原材料短缺)】、自然灾害、火灾、事故等),并按以下标准评审： 评审标准： 1、完整性：方案必须全面，对评审内容中的各项要求有详细描述； 2、可实施性、针对性：切合本项目实际情况，提出步骤清晰、合理的方案，内容科学合理； 赋分标准(满分6分)： ①产品安全类：每满足一个评审标准得1分，不满足得0 分，满分2分； ②配送运营、供应链类：每满足一个评审标准得1分， 不满足得0分，满分2分； ③自然灾害、火灾、事故：每满足一个评审标准得1分，不满足得0分，满分2分；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用户使用培训方案</w:t>
            </w:r>
          </w:p>
        </w:tc>
        <w:tc>
          <w:tcPr>
            <w:tcW w:type="dxa" w:w="2492"/>
          </w:tcPr>
          <w:p>
            <w:pPr>
              <w:pStyle w:val="null3"/>
            </w:pPr>
            <w:r>
              <w:rPr>
                <w:rFonts w:ascii="仿宋_GB2312" w:hAnsi="仿宋_GB2312" w:cs="仿宋_GB2312" w:eastAsia="仿宋_GB2312"/>
              </w:rPr>
              <w:t>供应商针对所投产品制定详细的对于农村用户的使用方案，并按以下标准评审： 评审标准： ①完整性：方案必须全面，对评审内容中的各项要求有详细描述；②可实施性：切合本项目实际情况，提出步骤清晰、合理的方案；③针对性：方案能够紧扣采购需求，针对项目实施的痛点难点，内容科学合理。 赋分标准(满分3分)：满足一个评审标准得1分， 不满足得0分，满分3分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用户使用培训方案.docx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详见附件：货物来源渠道及佐证.docx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详见附件：用户使用培训方案.docx</w:t>
      </w:r>
    </w:p>
    <w:p>
      <w:pPr>
        <w:pStyle w:val="null3"/>
        <w:ind w:firstLine="960"/>
      </w:pPr>
      <w:r>
        <w:rPr>
          <w:rFonts w:ascii="仿宋_GB2312" w:hAnsi="仿宋_GB2312" w:cs="仿宋_GB2312" w:eastAsia="仿宋_GB2312"/>
        </w:rPr>
        <w:t>详见附件：政府采购供应商基本资格条件承诺函.docx</w:t>
      </w:r>
    </w:p>
    <w:p>
      <w:pPr>
        <w:pStyle w:val="null3"/>
        <w:ind w:firstLine="960"/>
      </w:pPr>
      <w:r>
        <w:rPr>
          <w:rFonts w:ascii="仿宋_GB2312" w:hAnsi="仿宋_GB2312" w:cs="仿宋_GB2312" w:eastAsia="仿宋_GB2312"/>
        </w:rPr>
        <w:t>详见附件：质量保证措施.docx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