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58693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采购需求</w:t>
      </w:r>
    </w:p>
    <w:p w14:paraId="47C61F8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为统筹高新区城市规划建设管理，促进区域经济发展，保障产业及民生项目用地需求，依据</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西安市人民政府办公厅关于印发西安市国土空间详细规划（城镇开发边界内）管理办法的通知</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（市政办发[202</w:t>
      </w: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val="en-US" w:eastAsia="zh-CN"/>
        </w:rPr>
        <w:t>86</w:t>
      </w:r>
      <w:r>
        <w:rPr>
          <w:rFonts w:hint="eastAsia" w:ascii="仿宋_GB2312" w:hAnsi="仿宋_GB2312" w:eastAsia="仿宋_GB2312" w:cs="仿宋_GB2312"/>
          <w:sz w:val="28"/>
          <w:szCs w:val="28"/>
          <w:highlight w:val="none"/>
        </w:rPr>
        <w:t>号）、</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西安市国土空间城镇开发边界内详细规划编制审批管理实施监督暂行规定的通知》（市政办发[202</w:t>
      </w:r>
      <w:r>
        <w:rPr>
          <w:rFonts w:hint="eastAsia" w:ascii="仿宋_GB2312" w:hAnsi="仿宋_GB2312" w:eastAsia="仿宋_GB2312" w:cs="仿宋_GB2312"/>
          <w:sz w:val="28"/>
          <w:szCs w:val="28"/>
          <w:highlight w:val="none"/>
          <w:lang w:val="en-US" w:eastAsia="zh-CN"/>
        </w:rPr>
        <w:t>4</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val="en-US" w:eastAsia="zh-CN"/>
        </w:rPr>
        <w:t>36</w:t>
      </w:r>
      <w:r>
        <w:rPr>
          <w:rFonts w:hint="eastAsia" w:ascii="仿宋_GB2312" w:hAnsi="仿宋_GB2312" w:eastAsia="仿宋_GB2312" w:cs="仿宋_GB2312"/>
          <w:sz w:val="28"/>
          <w:szCs w:val="28"/>
          <w:highlight w:val="none"/>
        </w:rPr>
        <w:t>号）等文件要求，需开展高新区地块实施详细规划</w:t>
      </w:r>
      <w:r>
        <w:rPr>
          <w:rFonts w:hint="eastAsia" w:ascii="仿宋_GB2312" w:hAnsi="仿宋_GB2312" w:eastAsia="仿宋_GB2312" w:cs="仿宋_GB2312"/>
          <w:sz w:val="28"/>
          <w:szCs w:val="28"/>
          <w:highlight w:val="none"/>
          <w:lang w:val="en-US" w:eastAsia="zh-CN"/>
        </w:rPr>
        <w:t>及规</w:t>
      </w:r>
      <w:bookmarkStart w:id="1" w:name="_GoBack"/>
      <w:bookmarkEnd w:id="1"/>
      <w:r>
        <w:rPr>
          <w:rFonts w:hint="eastAsia" w:ascii="仿宋_GB2312" w:hAnsi="仿宋_GB2312" w:eastAsia="仿宋_GB2312" w:cs="仿宋_GB2312"/>
          <w:sz w:val="28"/>
          <w:szCs w:val="28"/>
          <w:highlight w:val="none"/>
          <w:lang w:val="en-US" w:eastAsia="zh-CN"/>
        </w:rPr>
        <w:t>划条件</w:t>
      </w:r>
      <w:r>
        <w:rPr>
          <w:rFonts w:hint="eastAsia" w:ascii="仿宋_GB2312" w:hAnsi="仿宋_GB2312" w:eastAsia="仿宋_GB2312" w:cs="仿宋_GB2312"/>
          <w:sz w:val="28"/>
          <w:szCs w:val="28"/>
          <w:highlight w:val="none"/>
        </w:rPr>
        <w:t>编制工作。</w:t>
      </w:r>
    </w:p>
    <w:p w14:paraId="06300289">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一、项目名称</w:t>
      </w:r>
    </w:p>
    <w:p w14:paraId="57A51A2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2026年高新区地块实施详细规划及规划条件编制项目</w:t>
      </w:r>
      <w:r>
        <w:rPr>
          <w:rFonts w:hint="eastAsia" w:ascii="仿宋_GB2312" w:hAnsi="仿宋_GB2312" w:eastAsia="仿宋_GB2312" w:cs="仿宋_GB2312"/>
          <w:sz w:val="28"/>
          <w:szCs w:val="28"/>
          <w:highlight w:val="none"/>
        </w:rPr>
        <w:t>。</w:t>
      </w:r>
    </w:p>
    <w:p w14:paraId="54A67375">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二、规划</w:t>
      </w:r>
      <w:r>
        <w:rPr>
          <w:rFonts w:hint="eastAsia" w:ascii="仿宋_GB2312" w:hAnsi="仿宋_GB2312" w:eastAsia="仿宋_GB2312" w:cs="仿宋_GB2312"/>
          <w:b/>
          <w:bCs/>
          <w:sz w:val="28"/>
          <w:szCs w:val="28"/>
          <w:highlight w:val="none"/>
          <w:lang w:val="en-US" w:eastAsia="zh-CN"/>
        </w:rPr>
        <w:t>期限</w:t>
      </w:r>
      <w:r>
        <w:rPr>
          <w:rFonts w:hint="eastAsia" w:ascii="仿宋_GB2312" w:hAnsi="仿宋_GB2312" w:eastAsia="仿宋_GB2312" w:cs="仿宋_GB2312"/>
          <w:b/>
          <w:bCs/>
          <w:sz w:val="28"/>
          <w:szCs w:val="28"/>
          <w:highlight w:val="none"/>
        </w:rPr>
        <w:t>：</w:t>
      </w:r>
    </w:p>
    <w:p w14:paraId="3A85A00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规划期限为202</w:t>
      </w:r>
      <w:r>
        <w:rPr>
          <w:rFonts w:hint="eastAsia" w:ascii="仿宋_GB2312" w:hAnsi="仿宋_GB2312" w:eastAsia="仿宋_GB2312" w:cs="仿宋_GB2312"/>
          <w:sz w:val="28"/>
          <w:szCs w:val="28"/>
          <w:highlight w:val="none"/>
          <w:lang w:val="en-US" w:eastAsia="zh-CN"/>
        </w:rPr>
        <w:t>6</w:t>
      </w:r>
      <w:r>
        <w:rPr>
          <w:rFonts w:hint="eastAsia" w:ascii="仿宋_GB2312" w:hAnsi="仿宋_GB2312" w:eastAsia="仿宋_GB2312" w:cs="仿宋_GB2312"/>
          <w:sz w:val="28"/>
          <w:szCs w:val="28"/>
          <w:highlight w:val="none"/>
        </w:rPr>
        <w:t>年。</w:t>
      </w:r>
    </w:p>
    <w:p w14:paraId="7916B42B">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textAlignment w:val="auto"/>
        <w:rPr>
          <w:rStyle w:val="5"/>
          <w:rFonts w:hint="eastAsia" w:ascii="仿宋_GB2312" w:hAnsi="仿宋_GB2312" w:eastAsia="仿宋_GB2312" w:cs="仿宋_GB2312"/>
          <w:b/>
          <w:sz w:val="28"/>
          <w:szCs w:val="28"/>
          <w:highlight w:val="none"/>
        </w:rPr>
      </w:pPr>
      <w:r>
        <w:rPr>
          <w:rStyle w:val="5"/>
          <w:rFonts w:hint="eastAsia" w:ascii="仿宋_GB2312" w:hAnsi="仿宋_GB2312" w:eastAsia="仿宋_GB2312" w:cs="仿宋_GB2312"/>
          <w:b/>
          <w:sz w:val="28"/>
          <w:szCs w:val="28"/>
          <w:highlight w:val="none"/>
        </w:rPr>
        <w:t>三、项目范围：</w:t>
      </w:r>
    </w:p>
    <w:p w14:paraId="6DFBE2A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本次规划范围为西安高新区管辖范围</w:t>
      </w:r>
      <w:r>
        <w:rPr>
          <w:rFonts w:hint="eastAsia" w:ascii="仿宋_GB2312" w:hAnsi="仿宋_GB2312" w:eastAsia="仿宋_GB2312" w:cs="仿宋_GB2312"/>
          <w:sz w:val="28"/>
          <w:szCs w:val="28"/>
          <w:highlight w:val="none"/>
          <w:lang w:val="en-US" w:eastAsia="zh-CN"/>
        </w:rPr>
        <w:t>的</w:t>
      </w:r>
      <w:r>
        <w:rPr>
          <w:rFonts w:hint="eastAsia" w:ascii="仿宋_GB2312" w:hAnsi="仿宋_GB2312" w:eastAsia="仿宋_GB2312" w:cs="仿宋_GB2312"/>
          <w:sz w:val="28"/>
          <w:szCs w:val="28"/>
          <w:highlight w:val="none"/>
          <w:lang w:val="zh-CN" w:eastAsia="zh-CN"/>
        </w:rPr>
        <w:t>建设项目。</w:t>
      </w:r>
      <w:r>
        <w:rPr>
          <w:rFonts w:hint="eastAsia" w:ascii="仿宋_GB2312" w:hAnsi="仿宋_GB2312" w:eastAsia="仿宋_GB2312" w:cs="仿宋_GB2312"/>
          <w:sz w:val="28"/>
          <w:szCs w:val="28"/>
          <w:highlight w:val="none"/>
          <w:lang w:val="en-US" w:eastAsia="zh-CN"/>
        </w:rPr>
        <w:t>本项目采用固定综合单价合同，地块实施详细规划</w:t>
      </w:r>
      <w:r>
        <w:rPr>
          <w:rFonts w:hint="eastAsia" w:ascii="仿宋_GB2312" w:hAnsi="仿宋_GB2312" w:eastAsia="仿宋_GB2312" w:cs="仿宋_GB2312"/>
          <w:sz w:val="28"/>
          <w:szCs w:val="28"/>
          <w:highlight w:val="none"/>
          <w:lang w:val="zh-CN" w:eastAsia="zh-CN"/>
        </w:rPr>
        <w:t>综合单价</w:t>
      </w:r>
      <w:r>
        <w:rPr>
          <w:rFonts w:hint="eastAsia" w:ascii="仿宋_GB2312" w:hAnsi="仿宋_GB2312" w:eastAsia="仿宋_GB2312" w:cs="仿宋_GB2312"/>
          <w:sz w:val="28"/>
          <w:szCs w:val="28"/>
          <w:highlight w:val="none"/>
          <w:lang w:val="en-US" w:eastAsia="zh-CN"/>
        </w:rPr>
        <w:t>最高限价为14.4万元/项目、规土评让相关技术服务</w:t>
      </w:r>
      <w:r>
        <w:rPr>
          <w:rFonts w:hint="eastAsia" w:ascii="仿宋_GB2312" w:hAnsi="仿宋_GB2312" w:eastAsia="仿宋_GB2312" w:cs="仿宋_GB2312"/>
          <w:sz w:val="28"/>
          <w:szCs w:val="28"/>
          <w:highlight w:val="none"/>
          <w:lang w:val="zh-CN" w:eastAsia="zh-CN"/>
        </w:rPr>
        <w:t>综合单价</w:t>
      </w:r>
      <w:r>
        <w:rPr>
          <w:rFonts w:hint="eastAsia" w:ascii="仿宋_GB2312" w:hAnsi="仿宋_GB2312" w:eastAsia="仿宋_GB2312" w:cs="仿宋_GB2312"/>
          <w:sz w:val="28"/>
          <w:szCs w:val="28"/>
          <w:highlight w:val="none"/>
          <w:lang w:val="en-US" w:eastAsia="zh-CN"/>
        </w:rPr>
        <w:t>最高限价为3.6万元/项目，</w:t>
      </w:r>
      <w:r>
        <w:rPr>
          <w:rFonts w:hint="eastAsia" w:ascii="仿宋_GB2312" w:hAnsi="仿宋_GB2312" w:eastAsia="仿宋_GB2312" w:cs="仿宋_GB2312"/>
          <w:sz w:val="28"/>
          <w:szCs w:val="28"/>
          <w:highlight w:val="none"/>
          <w:lang w:val="zh-CN" w:eastAsia="zh-CN"/>
        </w:rPr>
        <w:t>在合同执行过程中，根据采购人具体委派项目，据实结算，最终结算金额不超过项目预算（</w:t>
      </w:r>
      <w:r>
        <w:rPr>
          <w:rFonts w:hint="eastAsia" w:ascii="仿宋_GB2312" w:hAnsi="仿宋_GB2312" w:eastAsia="仿宋_GB2312" w:cs="仿宋_GB2312"/>
          <w:sz w:val="28"/>
          <w:szCs w:val="28"/>
          <w:highlight w:val="none"/>
          <w:lang w:val="en-US" w:eastAsia="zh-CN"/>
        </w:rPr>
        <w:t>489.60万元</w:t>
      </w:r>
      <w:r>
        <w:rPr>
          <w:rFonts w:hint="eastAsia" w:ascii="仿宋_GB2312" w:hAnsi="仿宋_GB2312" w:eastAsia="仿宋_GB2312" w:cs="仿宋_GB2312"/>
          <w:sz w:val="28"/>
          <w:szCs w:val="28"/>
          <w:highlight w:val="none"/>
          <w:lang w:val="zh-CN" w:eastAsia="zh-CN"/>
        </w:rPr>
        <w:t>）。</w:t>
      </w:r>
    </w:p>
    <w:p w14:paraId="5400E4E4">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四</w:t>
      </w:r>
      <w:r>
        <w:rPr>
          <w:rFonts w:hint="eastAsia" w:ascii="仿宋_GB2312" w:hAnsi="仿宋_GB2312" w:eastAsia="仿宋_GB2312" w:cs="仿宋_GB2312"/>
          <w:b/>
          <w:bCs/>
          <w:sz w:val="28"/>
          <w:szCs w:val="28"/>
          <w:highlight w:val="none"/>
        </w:rPr>
        <w:t>、服务内容</w:t>
      </w:r>
    </w:p>
    <w:p w14:paraId="122699C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bCs/>
          <w:color w:val="000000"/>
          <w:sz w:val="28"/>
          <w:szCs w:val="28"/>
          <w:highlight w:val="none"/>
        </w:rPr>
      </w:pPr>
      <w:r>
        <w:rPr>
          <w:rFonts w:hint="eastAsia" w:ascii="仿宋_GB2312" w:hAnsi="仿宋_GB2312" w:eastAsia="仿宋_GB2312" w:cs="仿宋_GB2312"/>
          <w:bCs/>
          <w:sz w:val="28"/>
          <w:szCs w:val="28"/>
          <w:highlight w:val="none"/>
        </w:rPr>
        <w:t>实施详细规划（含规划调整）</w:t>
      </w:r>
      <w:r>
        <w:rPr>
          <w:rFonts w:hint="eastAsia" w:ascii="仿宋_GB2312" w:hAnsi="仿宋_GB2312" w:eastAsia="仿宋_GB2312" w:cs="仿宋_GB2312"/>
          <w:bCs/>
          <w:sz w:val="28"/>
          <w:szCs w:val="28"/>
          <w:highlight w:val="none"/>
          <w:lang w:eastAsia="zh-CN"/>
        </w:rPr>
        <w:t>：</w:t>
      </w:r>
      <w:r>
        <w:rPr>
          <w:rFonts w:hint="eastAsia" w:ascii="仿宋_GB2312" w:hAnsi="仿宋_GB2312" w:eastAsia="仿宋_GB2312" w:cs="仿宋_GB2312"/>
          <w:sz w:val="28"/>
          <w:szCs w:val="28"/>
          <w:highlight w:val="none"/>
        </w:rPr>
        <w:t>主要包括</w:t>
      </w:r>
      <w:r>
        <w:rPr>
          <w:rFonts w:hint="eastAsia" w:ascii="仿宋_GB2312" w:hAnsi="仿宋_GB2312" w:eastAsia="仿宋_GB2312" w:cs="仿宋_GB2312"/>
          <w:sz w:val="28"/>
          <w:szCs w:val="28"/>
          <w:highlight w:val="none"/>
          <w:lang w:val="en-US" w:eastAsia="zh-CN"/>
        </w:rPr>
        <w:t>现状场地调研、</w:t>
      </w:r>
      <w:r>
        <w:rPr>
          <w:rFonts w:hint="eastAsia" w:ascii="仿宋_GB2312" w:hAnsi="仿宋_GB2312" w:eastAsia="仿宋_GB2312" w:cs="仿宋_GB2312"/>
          <w:sz w:val="28"/>
          <w:szCs w:val="28"/>
          <w:highlight w:val="none"/>
        </w:rPr>
        <w:t>上位功能体系规划布局传导分析、单元详细规划传导分析、城市设计传导及研究、用地性质分析、地块指标研究、公共服务设施配建研究、道路交通研究、地块图则编制及详细方案论证等内容；</w:t>
      </w:r>
      <w:r>
        <w:rPr>
          <w:rFonts w:hint="eastAsia" w:ascii="仿宋_GB2312" w:hAnsi="仿宋_GB2312" w:eastAsia="仿宋_GB2312" w:cs="仿宋_GB2312"/>
          <w:bCs/>
          <w:color w:val="000000"/>
          <w:sz w:val="28"/>
          <w:szCs w:val="28"/>
          <w:highlight w:val="none"/>
        </w:rPr>
        <w:t>落实各项目、各地块的人口规模、开发强度、配套设施、城市设计等约束性及指导性规划指标提出管控要求。</w:t>
      </w:r>
      <w:r>
        <w:rPr>
          <w:rFonts w:hint="eastAsia" w:ascii="仿宋_GB2312" w:hAnsi="仿宋_GB2312" w:eastAsia="仿宋_GB2312" w:cs="仿宋_GB2312"/>
          <w:sz w:val="28"/>
          <w:szCs w:val="28"/>
          <w:highlight w:val="none"/>
          <w:lang w:val="en-US" w:eastAsia="zh-CN"/>
        </w:rPr>
        <w:t>实施</w:t>
      </w:r>
      <w:r>
        <w:rPr>
          <w:rFonts w:hint="eastAsia" w:ascii="仿宋_GB2312" w:hAnsi="仿宋_GB2312" w:eastAsia="仿宋_GB2312" w:cs="仿宋_GB2312"/>
          <w:sz w:val="28"/>
          <w:szCs w:val="28"/>
          <w:highlight w:val="none"/>
        </w:rPr>
        <w:t>详细规划调整成果按照国家和地方相关技术规范及标准进行编制</w:t>
      </w:r>
      <w:r>
        <w:rPr>
          <w:rFonts w:hint="eastAsia" w:ascii="仿宋_GB2312" w:hAnsi="仿宋_GB2312" w:eastAsia="仿宋_GB2312" w:cs="仿宋_GB2312"/>
          <w:sz w:val="28"/>
          <w:szCs w:val="28"/>
          <w:highlight w:val="none"/>
          <w:lang w:eastAsia="zh-CN"/>
        </w:rPr>
        <w:t>。</w:t>
      </w:r>
    </w:p>
    <w:p w14:paraId="3E6FA251">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五</w:t>
      </w:r>
      <w:r>
        <w:rPr>
          <w:rFonts w:hint="eastAsia" w:ascii="仿宋_GB2312" w:hAnsi="仿宋_GB2312" w:eastAsia="仿宋_GB2312" w:cs="仿宋_GB2312"/>
          <w:b/>
          <w:bCs/>
          <w:sz w:val="28"/>
          <w:szCs w:val="28"/>
          <w:highlight w:val="none"/>
        </w:rPr>
        <w:t>、采购要求</w:t>
      </w:r>
    </w:p>
    <w:p w14:paraId="339E181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（一）人员技术</w:t>
      </w:r>
    </w:p>
    <w:p w14:paraId="5FB1FCE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1、熟练掌握各法律、法规、行业规范及相关技术管理规定。</w:t>
      </w:r>
    </w:p>
    <w:p w14:paraId="47F1CC6F">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2、要求设计团队应至少包含2名规划高级职称人员、4名规划中级职称人员，团队总人数不少于10人；所有配备人员均为城市规划或建筑专业本科学历。</w:t>
      </w:r>
    </w:p>
    <w:p w14:paraId="46EEB0C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（二）服务要求</w:t>
      </w:r>
    </w:p>
    <w:p w14:paraId="01AAFEC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1、居住用地、一般经营性用地及必要的工业项目进行方案布排（包括日照分析），方案深度应为</w:t>
      </w:r>
      <w:r>
        <w:rPr>
          <w:rFonts w:hint="eastAsia" w:ascii="仿宋_GB2312" w:hAnsi="仿宋_GB2312" w:eastAsia="仿宋_GB2312" w:cs="仿宋_GB2312"/>
          <w:sz w:val="28"/>
          <w:szCs w:val="28"/>
          <w:highlight w:val="none"/>
          <w:lang w:val="en-US" w:eastAsia="zh-CN"/>
        </w:rPr>
        <w:t>概念方案</w:t>
      </w:r>
      <w:r>
        <w:rPr>
          <w:rFonts w:hint="eastAsia" w:ascii="仿宋_GB2312" w:hAnsi="仿宋_GB2312" w:eastAsia="仿宋_GB2312" w:cs="仿宋_GB2312"/>
          <w:sz w:val="28"/>
          <w:szCs w:val="28"/>
          <w:highlight w:val="none"/>
        </w:rPr>
        <w:t>深度。</w:t>
      </w:r>
    </w:p>
    <w:p w14:paraId="4D17206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2</w:t>
      </w:r>
      <w:r>
        <w:rPr>
          <w:rFonts w:hint="eastAsia" w:ascii="仿宋_GB2312" w:hAnsi="仿宋_GB2312" w:eastAsia="仿宋_GB2312" w:cs="仿宋_GB2312"/>
          <w:sz w:val="28"/>
          <w:szCs w:val="28"/>
          <w:highlight w:val="none"/>
        </w:rPr>
        <w:t>、各项目须进行现场调研，合规性审查，相应图件制作，汇报材料编制、修改及汇总，各阶段（上传系统、公示出具）材料组件，完成市局信息中心技术审查修改要求，按要求取得专家评审意见，并对一张图系统上各处室意见进行落实</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实行签字确认制。</w:t>
      </w:r>
    </w:p>
    <w:p w14:paraId="297B052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3</w:t>
      </w:r>
      <w:r>
        <w:rPr>
          <w:rFonts w:hint="eastAsia" w:ascii="仿宋_GB2312" w:hAnsi="仿宋_GB2312" w:eastAsia="仿宋_GB2312" w:cs="仿宋_GB2312"/>
          <w:sz w:val="28"/>
          <w:szCs w:val="28"/>
          <w:highlight w:val="none"/>
        </w:rPr>
        <w:t>、未涉及规划条件调整论证、用地性质变更的实施详细规划、项目规划条件等正式成果在收到</w:t>
      </w:r>
      <w:r>
        <w:rPr>
          <w:rFonts w:hint="eastAsia" w:ascii="仿宋_GB2312" w:hAnsi="仿宋_GB2312" w:eastAsia="仿宋_GB2312" w:cs="仿宋_GB2312"/>
          <w:sz w:val="28"/>
          <w:szCs w:val="28"/>
          <w:highlight w:val="none"/>
          <w:lang w:eastAsia="zh-CN"/>
        </w:rPr>
        <w:t>高新区自然资源和规划局</w:t>
      </w:r>
      <w:r>
        <w:rPr>
          <w:rFonts w:hint="eastAsia" w:ascii="仿宋_GB2312" w:hAnsi="仿宋_GB2312" w:eastAsia="仿宋_GB2312" w:cs="仿宋_GB2312"/>
          <w:sz w:val="28"/>
          <w:szCs w:val="28"/>
          <w:highlight w:val="none"/>
        </w:rPr>
        <w:t>开展工作通知后的10个工作日内完成编制，并进行技术讨论；规划条件调整论证、用地性质变更论证等汇报材料在相关资料及通知书齐备后，10个工作日内完成编制。</w:t>
      </w:r>
    </w:p>
    <w:p w14:paraId="55E0DFB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4</w:t>
      </w:r>
      <w:r>
        <w:rPr>
          <w:rFonts w:hint="eastAsia" w:ascii="仿宋_GB2312" w:hAnsi="仿宋_GB2312" w:eastAsia="仿宋_GB2312" w:cs="仿宋_GB2312"/>
          <w:sz w:val="28"/>
          <w:szCs w:val="28"/>
          <w:highlight w:val="none"/>
        </w:rPr>
        <w:t>、跟进</w:t>
      </w:r>
      <w:r>
        <w:rPr>
          <w:rFonts w:hint="eastAsia" w:ascii="仿宋_GB2312" w:hAnsi="仿宋_GB2312" w:eastAsia="仿宋_GB2312" w:cs="仿宋_GB2312"/>
          <w:sz w:val="28"/>
          <w:szCs w:val="28"/>
          <w:highlight w:val="none"/>
          <w:lang w:val="en-US" w:eastAsia="zh-CN"/>
        </w:rPr>
        <w:t>高新区自然资源和规划局</w:t>
      </w:r>
      <w:r>
        <w:rPr>
          <w:rFonts w:hint="eastAsia" w:ascii="仿宋_GB2312" w:hAnsi="仿宋_GB2312" w:eastAsia="仿宋_GB2312" w:cs="仿宋_GB2312"/>
          <w:sz w:val="28"/>
          <w:szCs w:val="28"/>
          <w:highlight w:val="none"/>
        </w:rPr>
        <w:t>局务会</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管委会</w:t>
      </w:r>
      <w:r>
        <w:rPr>
          <w:rFonts w:hint="eastAsia" w:ascii="仿宋_GB2312" w:hAnsi="仿宋_GB2312" w:eastAsia="仿宋_GB2312" w:cs="仿宋_GB2312"/>
          <w:sz w:val="28"/>
          <w:szCs w:val="28"/>
          <w:highlight w:val="none"/>
        </w:rPr>
        <w:t>专题会</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市局专题会、局长办公会</w:t>
      </w:r>
      <w:r>
        <w:rPr>
          <w:rFonts w:hint="eastAsia" w:ascii="仿宋_GB2312" w:hAnsi="仿宋_GB2312" w:eastAsia="仿宋_GB2312" w:cs="仿宋_GB2312"/>
          <w:sz w:val="28"/>
          <w:szCs w:val="28"/>
          <w:highlight w:val="none"/>
          <w:lang w:val="en-US" w:eastAsia="zh-CN"/>
        </w:rPr>
        <w:t>及规土评让相关会议</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提供</w:t>
      </w:r>
      <w:r>
        <w:rPr>
          <w:rFonts w:hint="eastAsia" w:ascii="仿宋_GB2312" w:hAnsi="仿宋_GB2312" w:eastAsia="仿宋_GB2312" w:cs="仿宋_GB2312"/>
          <w:sz w:val="28"/>
          <w:szCs w:val="28"/>
          <w:highlight w:val="none"/>
        </w:rPr>
        <w:t>各级会议材料</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并在会议结束2个工作日内提交修改完善的材料。</w:t>
      </w:r>
    </w:p>
    <w:p w14:paraId="1CD4B4D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六、</w:t>
      </w:r>
      <w:r>
        <w:rPr>
          <w:rFonts w:hint="eastAsia" w:ascii="仿宋_GB2312" w:hAnsi="仿宋_GB2312" w:eastAsia="仿宋_GB2312" w:cs="仿宋_GB2312"/>
          <w:b/>
          <w:bCs/>
          <w:sz w:val="28"/>
          <w:szCs w:val="28"/>
          <w:highlight w:val="none"/>
        </w:rPr>
        <w:t>成果要求</w:t>
      </w:r>
    </w:p>
    <w:p w14:paraId="1A401DE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1、</w:t>
      </w:r>
      <w:r>
        <w:rPr>
          <w:rFonts w:hint="eastAsia" w:ascii="仿宋_GB2312" w:hAnsi="仿宋_GB2312" w:eastAsia="仿宋_GB2312" w:cs="仿宋_GB2312"/>
          <w:sz w:val="28"/>
          <w:szCs w:val="28"/>
          <w:highlight w:val="none"/>
        </w:rPr>
        <w:t>实施详细规划编制应按照国家和地方相关技术规范标准及西安市现行政策相关要求编制。</w:t>
      </w:r>
    </w:p>
    <w:p w14:paraId="29C2AC3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2、需配合采购人工作进程提交项目过程成果，包含汇报 PPT、相关图纸等。中标人提交的最终成果包括正式盖章的包括A3规格装订文本共计4套，全套成果电子文件1份。在未提交正式盖章成果文件期间，中标人应为甲方提供项目技术服务和支持。</w:t>
      </w:r>
    </w:p>
    <w:p w14:paraId="183B2946">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lang w:val="en-US" w:eastAsia="zh-CN"/>
        </w:rPr>
        <w:t>七</w:t>
      </w:r>
      <w:r>
        <w:rPr>
          <w:rFonts w:hint="eastAsia" w:ascii="仿宋_GB2312" w:hAnsi="仿宋_GB2312" w:eastAsia="仿宋_GB2312" w:cs="仿宋_GB2312"/>
          <w:b/>
          <w:sz w:val="28"/>
          <w:szCs w:val="28"/>
          <w:highlight w:val="none"/>
        </w:rPr>
        <w:t>、服务</w:t>
      </w:r>
      <w:r>
        <w:rPr>
          <w:rFonts w:hint="eastAsia" w:ascii="仿宋_GB2312" w:hAnsi="仿宋_GB2312" w:eastAsia="仿宋_GB2312" w:cs="仿宋_GB2312"/>
          <w:b/>
          <w:sz w:val="28"/>
          <w:szCs w:val="28"/>
          <w:highlight w:val="none"/>
          <w:lang w:val="en-US" w:eastAsia="zh-CN"/>
        </w:rPr>
        <w:t>期限</w:t>
      </w:r>
      <w:r>
        <w:rPr>
          <w:rFonts w:hint="eastAsia" w:ascii="仿宋_GB2312" w:hAnsi="仿宋_GB2312" w:eastAsia="仿宋_GB2312" w:cs="仿宋_GB2312"/>
          <w:b/>
          <w:sz w:val="28"/>
          <w:szCs w:val="28"/>
          <w:highlight w:val="none"/>
        </w:rPr>
        <w:t>和</w:t>
      </w:r>
      <w:r>
        <w:rPr>
          <w:rFonts w:hint="eastAsia" w:ascii="仿宋_GB2312" w:hAnsi="仿宋_GB2312" w:eastAsia="仿宋_GB2312" w:cs="仿宋_GB2312"/>
          <w:b/>
          <w:sz w:val="28"/>
          <w:szCs w:val="28"/>
          <w:highlight w:val="none"/>
          <w:lang w:val="en-US" w:eastAsia="zh-CN"/>
        </w:rPr>
        <w:t>服务</w:t>
      </w:r>
      <w:r>
        <w:rPr>
          <w:rFonts w:hint="eastAsia" w:ascii="仿宋_GB2312" w:hAnsi="仿宋_GB2312" w:eastAsia="仿宋_GB2312" w:cs="仿宋_GB2312"/>
          <w:b/>
          <w:sz w:val="28"/>
          <w:szCs w:val="28"/>
          <w:highlight w:val="none"/>
        </w:rPr>
        <w:t>地点</w:t>
      </w:r>
    </w:p>
    <w:p w14:paraId="1A79E01F">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本项目服务期限自合同签订之日起1年</w:t>
      </w:r>
      <w:r>
        <w:rPr>
          <w:rFonts w:hint="eastAsia" w:ascii="仿宋_GB2312" w:hAnsi="仿宋_GB2312" w:eastAsia="仿宋_GB2312" w:cs="仿宋_GB2312"/>
          <w:sz w:val="28"/>
          <w:szCs w:val="28"/>
          <w:highlight w:val="none"/>
          <w:lang w:eastAsia="zh-CN"/>
        </w:rPr>
        <w:t>（365个日历日）</w:t>
      </w:r>
      <w:r>
        <w:rPr>
          <w:rFonts w:hint="eastAsia" w:ascii="仿宋_GB2312" w:hAnsi="仿宋_GB2312" w:eastAsia="仿宋_GB2312" w:cs="仿宋_GB2312"/>
          <w:sz w:val="28"/>
          <w:szCs w:val="28"/>
          <w:highlight w:val="none"/>
          <w:lang w:val="en-US" w:eastAsia="zh-CN"/>
        </w:rPr>
        <w:t>，在陕西省西安市高新区管辖范围履行。</w:t>
      </w:r>
    </w:p>
    <w:p w14:paraId="52F06BE0">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textAlignment w:val="auto"/>
        <w:rPr>
          <w:rFonts w:hint="eastAsia" w:ascii="仿宋_GB2312" w:hAnsi="仿宋_GB2312" w:eastAsia="仿宋_GB2312" w:cs="仿宋_GB2312"/>
          <w:b/>
          <w:color w:val="000000"/>
          <w:sz w:val="28"/>
          <w:szCs w:val="28"/>
          <w:highlight w:val="none"/>
        </w:rPr>
      </w:pPr>
      <w:bookmarkStart w:id="0" w:name="_Toc519759134"/>
      <w:r>
        <w:rPr>
          <w:rFonts w:hint="eastAsia" w:ascii="仿宋_GB2312" w:hAnsi="仿宋_GB2312" w:eastAsia="仿宋_GB2312" w:cs="仿宋_GB2312"/>
          <w:b/>
          <w:color w:val="000000"/>
          <w:sz w:val="28"/>
          <w:szCs w:val="28"/>
          <w:highlight w:val="none"/>
          <w:lang w:val="en-US" w:eastAsia="zh-CN"/>
        </w:rPr>
        <w:t>八</w:t>
      </w:r>
      <w:r>
        <w:rPr>
          <w:rFonts w:hint="eastAsia" w:ascii="仿宋_GB2312" w:hAnsi="仿宋_GB2312" w:eastAsia="仿宋_GB2312" w:cs="仿宋_GB2312"/>
          <w:b/>
          <w:color w:val="000000"/>
          <w:sz w:val="28"/>
          <w:szCs w:val="28"/>
          <w:highlight w:val="none"/>
        </w:rPr>
        <w:t>、</w:t>
      </w:r>
      <w:bookmarkEnd w:id="0"/>
      <w:r>
        <w:rPr>
          <w:rFonts w:hint="eastAsia" w:ascii="仿宋_GB2312" w:hAnsi="仿宋_GB2312" w:eastAsia="仿宋_GB2312" w:cs="仿宋_GB2312"/>
          <w:b/>
          <w:color w:val="000000"/>
          <w:sz w:val="28"/>
          <w:szCs w:val="28"/>
          <w:highlight w:val="none"/>
        </w:rPr>
        <w:t>工作进度安排</w:t>
      </w:r>
    </w:p>
    <w:p w14:paraId="671FD9A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根据</w:t>
      </w:r>
      <w:r>
        <w:rPr>
          <w:rFonts w:hint="eastAsia" w:ascii="仿宋_GB2312" w:hAnsi="仿宋_GB2312" w:eastAsia="仿宋_GB2312" w:cs="仿宋_GB2312"/>
          <w:sz w:val="28"/>
          <w:szCs w:val="28"/>
          <w:highlight w:val="none"/>
          <w:lang w:eastAsia="zh-CN"/>
        </w:rPr>
        <w:t>《西安市人民政府办公厅关于印发西安市国土空间详细规划（城镇开发边界内）管理办法的通知》（市政办发[2025]86号）</w:t>
      </w:r>
      <w:r>
        <w:rPr>
          <w:rFonts w:hint="eastAsia" w:ascii="仿宋_GB2312" w:hAnsi="仿宋_GB2312" w:eastAsia="仿宋_GB2312" w:cs="仿宋_GB2312"/>
          <w:sz w:val="28"/>
          <w:szCs w:val="28"/>
          <w:highlight w:val="none"/>
        </w:rPr>
        <w:t>要求，确保按期完成规划编制任务。</w:t>
      </w:r>
    </w:p>
    <w:p w14:paraId="7C98C32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编制工作分为3个阶段。</w:t>
      </w:r>
    </w:p>
    <w:p w14:paraId="6A9C642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1、</w:t>
      </w:r>
      <w:r>
        <w:rPr>
          <w:rFonts w:hint="eastAsia" w:ascii="仿宋_GB2312" w:hAnsi="仿宋_GB2312" w:eastAsia="仿宋_GB2312" w:cs="仿宋_GB2312"/>
          <w:sz w:val="28"/>
          <w:szCs w:val="28"/>
          <w:highlight w:val="none"/>
        </w:rPr>
        <w:t>基础工作阶段</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开展并完成现状调研、资料收集整理、访谈踏勘等规划编制基础工作。</w:t>
      </w:r>
    </w:p>
    <w:p w14:paraId="28AD09C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val="en-US" w:eastAsia="zh-CN"/>
        </w:rPr>
        <w:t>2、</w:t>
      </w:r>
      <w:r>
        <w:rPr>
          <w:rFonts w:hint="eastAsia" w:ascii="仿宋_GB2312" w:hAnsi="仿宋_GB2312" w:eastAsia="仿宋_GB2312" w:cs="仿宋_GB2312"/>
          <w:sz w:val="28"/>
          <w:szCs w:val="28"/>
          <w:highlight w:val="none"/>
        </w:rPr>
        <w:t>编制阶段</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按照</w:t>
      </w:r>
      <w:r>
        <w:rPr>
          <w:rFonts w:hint="eastAsia" w:ascii="仿宋_GB2312" w:hAnsi="仿宋_GB2312" w:eastAsia="仿宋_GB2312" w:cs="仿宋_GB2312"/>
          <w:sz w:val="28"/>
          <w:szCs w:val="28"/>
          <w:highlight w:val="none"/>
        </w:rPr>
        <w:t>国家和地方相关技术规范标准及西安市现行政策，编制完成实施详细规划内容</w:t>
      </w:r>
      <w:r>
        <w:rPr>
          <w:rFonts w:hint="eastAsia" w:ascii="仿宋_GB2312" w:hAnsi="仿宋_GB2312" w:eastAsia="仿宋_GB2312" w:cs="仿宋_GB2312"/>
          <w:sz w:val="28"/>
          <w:szCs w:val="28"/>
          <w:highlight w:val="none"/>
          <w:lang w:eastAsia="zh-CN"/>
        </w:rPr>
        <w:t>。</w:t>
      </w:r>
    </w:p>
    <w:p w14:paraId="1E53D1AC">
      <w:pPr>
        <w:pStyle w:val="2"/>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3、报审阶段：形成</w:t>
      </w:r>
      <w:r>
        <w:rPr>
          <w:rFonts w:hint="eastAsia" w:ascii="仿宋_GB2312" w:hAnsi="仿宋_GB2312" w:eastAsia="仿宋_GB2312" w:cs="仿宋_GB2312"/>
          <w:sz w:val="28"/>
          <w:szCs w:val="28"/>
          <w:highlight w:val="none"/>
        </w:rPr>
        <w:t>最终成果</w:t>
      </w:r>
      <w:r>
        <w:rPr>
          <w:rFonts w:hint="eastAsia" w:ascii="仿宋_GB2312" w:hAnsi="仿宋_GB2312" w:eastAsia="仿宋_GB2312" w:cs="仿宋_GB2312"/>
          <w:sz w:val="28"/>
          <w:szCs w:val="28"/>
          <w:highlight w:val="none"/>
          <w:lang w:val="en-US" w:eastAsia="zh-CN"/>
        </w:rPr>
        <w:t>并开展</w:t>
      </w:r>
      <w:r>
        <w:rPr>
          <w:rFonts w:hint="eastAsia" w:ascii="仿宋_GB2312" w:hAnsi="仿宋_GB2312" w:eastAsia="仿宋_GB2312" w:cs="仿宋_GB2312"/>
          <w:sz w:val="28"/>
          <w:szCs w:val="28"/>
          <w:highlight w:val="none"/>
        </w:rPr>
        <w:t>报审</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公示、批准、入库等工作</w:t>
      </w:r>
      <w:r>
        <w:rPr>
          <w:rFonts w:hint="eastAsia" w:ascii="仿宋_GB2312" w:hAnsi="仿宋_GB2312" w:eastAsia="仿宋_GB2312" w:cs="仿宋_GB2312"/>
          <w:sz w:val="28"/>
          <w:szCs w:val="28"/>
          <w:highlight w:val="none"/>
        </w:rPr>
        <w:t>。</w:t>
      </w:r>
    </w:p>
    <w:p w14:paraId="7D5C84E2">
      <w:pPr>
        <w:pStyle w:val="2"/>
        <w:keepNext w:val="0"/>
        <w:keepLines w:val="0"/>
        <w:pageBreakBefore w:val="0"/>
        <w:widowControl w:val="0"/>
        <w:kinsoku/>
        <w:wordWrap/>
        <w:overflowPunct/>
        <w:topLinePunct w:val="0"/>
        <w:autoSpaceDE/>
        <w:autoSpaceDN/>
        <w:bidi w:val="0"/>
        <w:adjustRightInd w:val="0"/>
        <w:snapToGrid w:val="0"/>
        <w:spacing w:after="0" w:line="360" w:lineRule="auto"/>
        <w:ind w:firstLine="562" w:firstLineChars="200"/>
        <w:textAlignment w:val="auto"/>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九、验收</w:t>
      </w:r>
    </w:p>
    <w:p w14:paraId="7A264BB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双方本着科学、公正、实事求是的原则，约定按以下标准和方式对中标人提交的技术咨询成果进行验收：</w:t>
      </w:r>
    </w:p>
    <w:p w14:paraId="5D61D95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1、中标人完成技术工作的标准：应符合上位规划及现行的国家和地方技术规范要求。</w:t>
      </w:r>
    </w:p>
    <w:p w14:paraId="7CF980D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sz w:val="28"/>
          <w:szCs w:val="28"/>
          <w:highlight w:val="none"/>
        </w:rPr>
      </w:pPr>
      <w:r>
        <w:rPr>
          <w:rFonts w:hint="eastAsia" w:ascii="仿宋_GB2312" w:hAnsi="仿宋_GB2312" w:eastAsia="仿宋_GB2312" w:cs="仿宋_GB2312"/>
          <w:sz w:val="28"/>
          <w:szCs w:val="28"/>
          <w:highlight w:val="none"/>
          <w:lang w:val="en-US" w:eastAsia="zh-CN"/>
        </w:rPr>
        <w:t>2、技术工作成果的验收办法：采购人按程序组织技术及行政审查。</w:t>
      </w:r>
    </w:p>
    <w:p w14:paraId="1C0095B7">
      <w:pPr>
        <w:pStyle w:val="2"/>
        <w:keepNext w:val="0"/>
        <w:keepLines w:val="0"/>
        <w:pageBreakBefore w:val="0"/>
        <w:widowControl w:val="0"/>
        <w:kinsoku/>
        <w:wordWrap/>
        <w:overflowPunct/>
        <w:topLinePunct w:val="0"/>
        <w:autoSpaceDE/>
        <w:autoSpaceDN/>
        <w:bidi w:val="0"/>
        <w:adjustRightInd w:val="0"/>
        <w:snapToGrid w:val="0"/>
        <w:spacing w:after="0" w:line="360" w:lineRule="auto"/>
        <w:ind w:firstLine="562"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b/>
          <w:bCs/>
          <w:sz w:val="28"/>
          <w:szCs w:val="28"/>
          <w:highlight w:val="none"/>
          <w:lang w:val="en-US" w:eastAsia="zh-CN"/>
        </w:rPr>
        <w:t>十</w:t>
      </w:r>
      <w:r>
        <w:rPr>
          <w:rFonts w:hint="eastAsia" w:ascii="仿宋_GB2312" w:hAnsi="仿宋_GB2312" w:eastAsia="仿宋_GB2312" w:cs="仿宋_GB2312"/>
          <w:b/>
          <w:bCs/>
          <w:sz w:val="28"/>
          <w:szCs w:val="28"/>
          <w:highlight w:val="none"/>
        </w:rPr>
        <w:t>、知识产权</w:t>
      </w:r>
    </w:p>
    <w:p w14:paraId="747294A0">
      <w:pPr>
        <w:pStyle w:val="2"/>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1、</w:t>
      </w:r>
      <w:r>
        <w:rPr>
          <w:rFonts w:hint="eastAsia" w:ascii="仿宋_GB2312" w:hAnsi="仿宋_GB2312" w:eastAsia="仿宋_GB2312" w:cs="仿宋_GB2312"/>
          <w:sz w:val="28"/>
          <w:szCs w:val="28"/>
          <w:highlight w:val="none"/>
        </w:rPr>
        <w:t>完成本项研究所取得的研究成果和所搜集的资料归双方共同所有，未经同意不得向第三方提供，期限为相关规划项目完成；</w:t>
      </w:r>
    </w:p>
    <w:p w14:paraId="49C85FDA">
      <w:pPr>
        <w:pStyle w:val="2"/>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2、</w:t>
      </w:r>
      <w:r>
        <w:rPr>
          <w:rFonts w:hint="eastAsia" w:ascii="仿宋_GB2312" w:hAnsi="仿宋_GB2312" w:eastAsia="仿宋_GB2312" w:cs="仿宋_GB2312"/>
          <w:sz w:val="28"/>
          <w:szCs w:val="28"/>
          <w:highlight w:val="none"/>
        </w:rPr>
        <w:t>采购人为中标人在西安市开展调研工作提供协调、支持帮助；</w:t>
      </w:r>
    </w:p>
    <w:p w14:paraId="1CC99152">
      <w:pPr>
        <w:pStyle w:val="2"/>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textAlignment w:val="auto"/>
        <w:rPr>
          <w:rFonts w:hint="eastAsia" w:eastAsiaTheme="minorEastAsia"/>
          <w:sz w:val="28"/>
          <w:szCs w:val="28"/>
          <w:lang w:val="en-US" w:eastAsia="zh-CN"/>
        </w:rPr>
      </w:pPr>
      <w:r>
        <w:rPr>
          <w:rFonts w:hint="eastAsia" w:ascii="仿宋_GB2312" w:hAnsi="仿宋_GB2312" w:eastAsia="仿宋_GB2312" w:cs="仿宋_GB2312"/>
          <w:sz w:val="28"/>
          <w:szCs w:val="28"/>
          <w:highlight w:val="none"/>
          <w:lang w:val="en-US" w:eastAsia="zh-CN"/>
        </w:rPr>
        <w:t>3、</w:t>
      </w:r>
      <w:r>
        <w:rPr>
          <w:rFonts w:hint="eastAsia" w:ascii="仿宋_GB2312" w:hAnsi="仿宋_GB2312" w:eastAsia="仿宋_GB2312" w:cs="仿宋_GB2312"/>
          <w:sz w:val="28"/>
          <w:szCs w:val="28"/>
          <w:highlight w:val="none"/>
        </w:rPr>
        <w:t>科技成果及其形成的知识产权除保证国家利益和安全为目的以外，由项目主管单位、承担单位共同拥有，同时，可根据需要保留无偿使用和开发的权力。</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Arial Unicode MS"/>
    <w:panose1 w:val="02000000000000000000"/>
    <w:charset w:val="86"/>
    <w:family w:val="script"/>
    <w:pitch w:val="default"/>
    <w:sig w:usb0="00000000" w:usb1="00000000"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246134"/>
    <w:rsid w:val="682461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afterLines="0"/>
    </w:pPr>
  </w:style>
  <w:style w:type="character" w:customStyle="1" w:styleId="5">
    <w:name w:val="ca-2"/>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9</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2026-08-18T08:31:00Z</dcterms:created>
  <dc:creator>陕西华采招标有限公司</dc:creator>
  <cp:lastModifiedBy>陕西华采招标有限公司</cp:lastModifiedBy>
  <dcterms:modified xsi:type="dcterms:W3CDTF">2026-08-18T10:17:25Z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B23FDCE0204545B6803DEC6B143EA089_11</vt:lpwstr>
  </property>
  <property fmtid="{D5CDD505-2E9C-101B-9397-08002B2CF9AE}" pid="4" name="KSOTemplateDocerSaveRecord">
    <vt:lpwstr>eyJoZGlkIjoiZWMxNWU5MTM1NDJhMzM3NzZlNjAyMmRiMjcyMmY4OWYiLCJ1c2VySWQiOiI5MzY1NjA0ODAifQ==</vt:lpwstr>
  </property>
</Properties>
</file>