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版本号：SXBRT2026-DL-03220260902001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镇安县铁厂社区小型体育运动公园建设项目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SXBRT2026-DL-032</w:t>
      </w:r>
      <w:r>
        <w:br/>
      </w:r>
      <w:r>
        <w:br/>
      </w:r>
      <w:r>
        <w:br/>
      </w:r>
    </w:p>
    <w:p>
      <w:pPr>
        <w:pStyle w:val="null3"/>
        <w:jc w:val="center"/>
        <w:outlineLvl w:val="2"/>
      </w:pPr>
      <w:r>
        <w:rPr>
          <w:rFonts w:ascii="仿宋_GB2312" w:hAnsi="仿宋_GB2312" w:cs="仿宋_GB2312" w:eastAsia="仿宋_GB2312"/>
          <w:sz w:val="28"/>
          <w:b/>
        </w:rPr>
        <w:t>镇安县体育运动中心</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镇安县体育运动中心</w:t>
      </w:r>
      <w:r>
        <w:rPr>
          <w:rFonts w:ascii="仿宋_GB2312" w:hAnsi="仿宋_GB2312" w:cs="仿宋_GB2312" w:eastAsia="仿宋_GB2312"/>
        </w:rPr>
        <w:t>委托，拟对</w:t>
      </w:r>
      <w:r>
        <w:rPr>
          <w:rFonts w:ascii="仿宋_GB2312" w:hAnsi="仿宋_GB2312" w:cs="仿宋_GB2312" w:eastAsia="仿宋_GB2312"/>
        </w:rPr>
        <w:t>镇安县铁厂社区小型体育运动公园建设项目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SXBRT2026-DL-032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镇安县铁厂社区小型体育运动公园建设项目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铁厂镇地处镇安县东部，依托G345国道交通优势，是镇安东部农旅融合、产业发展的重要节点，当前正全力推进秦岭山水乡村、和美乡村建设，聚焦人居环境提升、公共服务完善、民生设施补短板。从镇域现状来看，现有基础设施存在诸多短板:河道沿岸未设置防护设施，存在行人落水、安全隐患突出问题;部分路面破损、平整度差，材质老旧;全镇缺乏连贯的健身休闲步道，群众日常健身、休闲散步无专属空间;公共健身器材匮乏，且品类单一，无法满足全年龄段、不同健身需求;体育活动场地缺失，笼式篮球场、羽毛球场等标准化运动场地空白，群众文体活动难以开展。 随着镇域经济发展和群众生活水平提升，居民对休闲健身、文体活动的需求日益增长。健身步道、体育器材、运动场地是满足群众健康生活、精神文化需求的核心载体。通过实地调研此次改造项目将河道护栏加装、路面整改、增加运动健身场地、增加透水混凝土步道。项目实施后将会切实提升群众生活幸福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采购包1（镇安县铁厂社区小型体育运动公园建设项目）：属于专门面向中小企业采购。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5、社会保障资金缴纳证明：供应商须提供磋商响应文件递交截止时间前一年内至少一个月的社会保障资金缴存单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6、承诺书：具有履行合同所必需的设备和专业技术能力（提供承诺书）</w:t>
      </w:r>
    </w:p>
    <w:p>
      <w:pPr>
        <w:pStyle w:val="null3"/>
      </w:pPr>
      <w:r>
        <w:rPr>
          <w:rFonts w:ascii="仿宋_GB2312" w:hAnsi="仿宋_GB2312" w:cs="仿宋_GB2312" w:eastAsia="仿宋_GB2312"/>
        </w:rPr>
        <w:t>7、书面声明：参加本次政府采购活动前3年内在经营活动中没有重大违法记录的书面声明</w:t>
      </w:r>
    </w:p>
    <w:p>
      <w:pPr>
        <w:pStyle w:val="null3"/>
      </w:pPr>
      <w:r>
        <w:rPr>
          <w:rFonts w:ascii="仿宋_GB2312" w:hAnsi="仿宋_GB2312" w:cs="仿宋_GB2312" w:eastAsia="仿宋_GB2312"/>
        </w:rPr>
        <w:t>8、企业资质：供应商须具有市政公用工程施工总承包三级(含三级)以上资质，具有建设行政主管部门颁发的安全生产许可证。</w:t>
      </w:r>
    </w:p>
    <w:p>
      <w:pPr>
        <w:pStyle w:val="null3"/>
      </w:pPr>
      <w:r>
        <w:rPr>
          <w:rFonts w:ascii="仿宋_GB2312" w:hAnsi="仿宋_GB2312" w:cs="仿宋_GB2312" w:eastAsia="仿宋_GB2312"/>
        </w:rPr>
        <w:t>9、项目经理：拟派项目经理须具有市政公用工程专业二级建造师注册证书及建设行政主管部门颁发的有效的安全生产考核合格证（建安B证），并在本单位注册且无在建工程；</w:t>
      </w:r>
    </w:p>
    <w:p>
      <w:pPr>
        <w:pStyle w:val="null3"/>
      </w:pPr>
      <w:r>
        <w:rPr>
          <w:rFonts w:ascii="仿宋_GB2312" w:hAnsi="仿宋_GB2312" w:cs="仿宋_GB2312" w:eastAsia="仿宋_GB2312"/>
        </w:rPr>
        <w:t>10、联合体：本项目不接受联合体投标（提供承诺书）</w:t>
      </w:r>
    </w:p>
    <w:p>
      <w:pPr>
        <w:pStyle w:val="null3"/>
      </w:pPr>
      <w:r>
        <w:rPr>
          <w:rFonts w:ascii="仿宋_GB2312" w:hAnsi="仿宋_GB2312" w:cs="仿宋_GB2312" w:eastAsia="仿宋_GB2312"/>
        </w:rPr>
        <w:t>11、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镇安县岭南路176号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毛照华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13098233020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029-65610807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采购包1：1,920,998.93元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 户名：陕西博锐特项目管理有限公司 税号：916106007663344342 地址：陕西省西安市高新区科技六路高新时代广场B座10楼 电话：029-65610807 开户行：招商银行陕西自贸试验区西安高新科技支行 银行账号：129907685610101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镇安县体育运动中心</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必须符合规定的工程质量标准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联系电话：029-65610807</w:t>
      </w:r>
    </w:p>
    <w:p>
      <w:pPr>
        <w:pStyle w:val="null3"/>
      </w:pPr>
      <w:r>
        <w:rPr>
          <w:rFonts w:ascii="仿宋_GB2312" w:hAnsi="仿宋_GB2312" w:cs="仿宋_GB2312" w:eastAsia="仿宋_GB2312"/>
        </w:rPr>
        <w:t>地址：西安高新区科技六路高新时代广场B座10楼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1,920,998.93</w:t>
      </w:r>
    </w:p>
    <w:p>
      <w:pPr>
        <w:pStyle w:val="null3"/>
      </w:pPr>
      <w:r>
        <w:rPr>
          <w:rFonts w:ascii="仿宋_GB2312" w:hAnsi="仿宋_GB2312" w:cs="仿宋_GB2312" w:eastAsia="仿宋_GB2312"/>
        </w:rPr>
        <w:t>采购包最高限价（元）: 1,920,998.93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镇安县铁厂社区小型体育运动公园建设项目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1,920,998.93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标的名称：镇安县铁厂社区小型体育运动公园建设项目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8"/>
              </w:rPr>
              <w:t>小型体育运动公园技术参数</w:t>
            </w:r>
          </w:p>
          <w:p>
            <w:pPr>
              <w:pStyle w:val="null3"/>
              <w:ind w:firstLine="280"/>
              <w:jc w:val="both"/>
            </w:pPr>
            <w:r>
              <w:rPr>
                <w:rFonts w:ascii="仿宋_GB2312" w:hAnsi="仿宋_GB2312" w:cs="仿宋_GB2312" w:eastAsia="仿宋_GB2312"/>
                <w:sz w:val="21"/>
              </w:rPr>
              <w:t xml:space="preserve">  </w:t>
            </w:r>
            <w:r>
              <w:rPr>
                <w:rFonts w:ascii="仿宋_GB2312" w:hAnsi="仿宋_GB2312" w:cs="仿宋_GB2312" w:eastAsia="仿宋_GB2312"/>
                <w:sz w:val="28"/>
              </w:rPr>
              <w:t>执行国标：</w:t>
            </w:r>
            <w:r>
              <w:rPr>
                <w:rFonts w:ascii="仿宋_GB2312" w:hAnsi="仿宋_GB2312" w:cs="仿宋_GB2312" w:eastAsia="仿宋_GB2312"/>
                <w:sz w:val="28"/>
              </w:rPr>
              <w:t>GB/T14833</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合成材料运动场地面层、</w:t>
            </w:r>
            <w:r>
              <w:rPr>
                <w:rFonts w:ascii="仿宋_GB2312" w:hAnsi="仿宋_GB2312" w:cs="仿宋_GB2312" w:eastAsia="仿宋_GB2312"/>
                <w:sz w:val="28"/>
              </w:rPr>
              <w:t>GB36246</w:t>
            </w:r>
            <w:r>
              <w:rPr>
                <w:rFonts w:ascii="仿宋_GB2312" w:hAnsi="仿宋_GB2312" w:cs="仿宋_GB2312" w:eastAsia="仿宋_GB2312"/>
                <w:sz w:val="28"/>
              </w:rPr>
              <w:t>‑</w:t>
            </w:r>
            <w:r>
              <w:rPr>
                <w:rFonts w:ascii="仿宋_GB2312" w:hAnsi="仿宋_GB2312" w:cs="仿宋_GB2312" w:eastAsia="仿宋_GB2312"/>
                <w:sz w:val="28"/>
              </w:rPr>
              <w:t>2018</w:t>
            </w:r>
            <w:r>
              <w:rPr>
                <w:rFonts w:ascii="仿宋_GB2312" w:hAnsi="仿宋_GB2312" w:cs="仿宋_GB2312" w:eastAsia="仿宋_GB2312"/>
                <w:sz w:val="28"/>
              </w:rPr>
              <w:t>中小学合成材料面层运动场地、</w:t>
            </w:r>
            <w:r>
              <w:rPr>
                <w:rFonts w:ascii="仿宋_GB2312" w:hAnsi="仿宋_GB2312" w:cs="仿宋_GB2312" w:eastAsia="仿宋_GB2312"/>
                <w:sz w:val="28"/>
              </w:rPr>
              <w:t>GB/T44092</w:t>
            </w:r>
            <w:r>
              <w:rPr>
                <w:rFonts w:ascii="仿宋_GB2312" w:hAnsi="仿宋_GB2312" w:cs="仿宋_GB2312" w:eastAsia="仿宋_GB2312"/>
                <w:sz w:val="28"/>
              </w:rPr>
              <w:t>-</w:t>
            </w:r>
            <w:r>
              <w:rPr>
                <w:rFonts w:ascii="仿宋_GB2312" w:hAnsi="仿宋_GB2312" w:cs="仿宋_GB2312" w:eastAsia="仿宋_GB2312"/>
                <w:sz w:val="28"/>
              </w:rPr>
              <w:t>2024</w:t>
            </w:r>
            <w:r>
              <w:rPr>
                <w:rFonts w:ascii="仿宋_GB2312" w:hAnsi="仿宋_GB2312" w:cs="仿宋_GB2312" w:eastAsia="仿宋_GB2312"/>
                <w:sz w:val="28"/>
              </w:rPr>
              <w:t>体育公园配置要求、</w:t>
            </w:r>
            <w:r>
              <w:rPr>
                <w:rFonts w:ascii="仿宋_GB2312" w:hAnsi="仿宋_GB2312" w:cs="仿宋_GB2312" w:eastAsia="仿宋_GB2312"/>
                <w:sz w:val="28"/>
              </w:rPr>
              <w:t>GB/T27791</w:t>
            </w:r>
            <w:r>
              <w:rPr>
                <w:rFonts w:ascii="仿宋_GB2312" w:hAnsi="仿宋_GB2312" w:cs="仿宋_GB2312" w:eastAsia="仿宋_GB2312"/>
                <w:sz w:val="28"/>
              </w:rPr>
              <w:t>-</w:t>
            </w:r>
            <w:r>
              <w:rPr>
                <w:rFonts w:ascii="仿宋_GB2312" w:hAnsi="仿宋_GB2312" w:cs="仿宋_GB2312" w:eastAsia="仿宋_GB2312"/>
                <w:sz w:val="28"/>
              </w:rPr>
              <w:t>2011</w:t>
            </w:r>
            <w:r>
              <w:rPr>
                <w:rFonts w:ascii="仿宋_GB2312" w:hAnsi="仿宋_GB2312" w:cs="仿宋_GB2312" w:eastAsia="仿宋_GB2312"/>
                <w:sz w:val="28"/>
              </w:rPr>
              <w:t>体育场围栏。</w:t>
            </w:r>
          </w:p>
          <w:p>
            <w:pPr>
              <w:pStyle w:val="null3"/>
              <w:ind w:firstLine="560"/>
              <w:jc w:val="both"/>
            </w:pPr>
            <w:r>
              <w:rPr>
                <w:rFonts w:ascii="仿宋_GB2312" w:hAnsi="仿宋_GB2312" w:cs="仿宋_GB2312" w:eastAsia="仿宋_GB2312"/>
                <w:sz w:val="28"/>
              </w:rPr>
              <w:t>一、项目总体建设要求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本项目为体育运动公园训练场建设，包含场地平整、混凝土基层、运动功能面层、笼式防护围网、运动器材、排水系统、场地照明、安全标识、场地划线。</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场地素土压实度≥</w:t>
            </w:r>
            <w:r>
              <w:rPr>
                <w:rFonts w:ascii="仿宋_GB2312" w:hAnsi="仿宋_GB2312" w:cs="仿宋_GB2312" w:eastAsia="仿宋_GB2312"/>
                <w:sz w:val="28"/>
              </w:rPr>
              <w:t>95%</w:t>
            </w:r>
            <w:r>
              <w:rPr>
                <w:rFonts w:ascii="仿宋_GB2312" w:hAnsi="仿宋_GB2312" w:cs="仿宋_GB2312" w:eastAsia="仿宋_GB2312"/>
                <w:sz w:val="28"/>
              </w:rPr>
              <w:t>，地基不得出现沉降、起砂、开裂；场地设置合理排水坡度</w:t>
            </w:r>
            <w:r>
              <w:rPr>
                <w:rFonts w:ascii="仿宋_GB2312" w:hAnsi="仿宋_GB2312" w:cs="仿宋_GB2312" w:eastAsia="仿宋_GB2312"/>
                <w:sz w:val="28"/>
              </w:rPr>
              <w:t>0.5%-1.0%</w:t>
            </w:r>
            <w:r>
              <w:rPr>
                <w:rFonts w:ascii="仿宋_GB2312" w:hAnsi="仿宋_GB2312" w:cs="仿宋_GB2312" w:eastAsia="仿宋_GB2312"/>
                <w:sz w:val="28"/>
              </w:rPr>
              <w:t>，无局部积水点。</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全部运动面层材料环保无毒，重金属、邻苯二甲酸酯、短链氯化石蜡、</w:t>
            </w:r>
            <w:r>
              <w:rPr>
                <w:rFonts w:ascii="仿宋_GB2312" w:hAnsi="仿宋_GB2312" w:cs="仿宋_GB2312" w:eastAsia="仿宋_GB2312"/>
                <w:sz w:val="28"/>
              </w:rPr>
              <w:t>TVOC</w:t>
            </w:r>
            <w:r>
              <w:rPr>
                <w:rFonts w:ascii="仿宋_GB2312" w:hAnsi="仿宋_GB2312" w:cs="仿宋_GB2312" w:eastAsia="仿宋_GB2312"/>
                <w:sz w:val="28"/>
              </w:rPr>
              <w:t>等有害物质满足国标限值，无刺激性气味。</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质保期：</w:t>
            </w:r>
            <w:r>
              <w:rPr>
                <w:rFonts w:ascii="仿宋_GB2312" w:hAnsi="仿宋_GB2312" w:cs="仿宋_GB2312" w:eastAsia="仿宋_GB2312"/>
                <w:sz w:val="28"/>
              </w:rPr>
              <w:t>1</w:t>
            </w:r>
            <w:r>
              <w:rPr>
                <w:rFonts w:ascii="仿宋_GB2312" w:hAnsi="仿宋_GB2312" w:cs="仿宋_GB2312" w:eastAsia="仿宋_GB2312"/>
                <w:sz w:val="28"/>
              </w:rPr>
              <w:t>年</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工期：</w:t>
            </w:r>
            <w:r>
              <w:rPr>
                <w:rFonts w:ascii="仿宋_GB2312" w:hAnsi="仿宋_GB2312" w:cs="仿宋_GB2312" w:eastAsia="仿宋_GB2312"/>
                <w:sz w:val="28"/>
              </w:rPr>
              <w:t>60</w:t>
            </w:r>
            <w:r>
              <w:rPr>
                <w:rFonts w:ascii="仿宋_GB2312" w:hAnsi="仿宋_GB2312" w:cs="仿宋_GB2312" w:eastAsia="仿宋_GB2312"/>
                <w:sz w:val="28"/>
              </w:rPr>
              <w:t>日历天，完成全部施工及安装内容。</w:t>
            </w:r>
          </w:p>
          <w:p>
            <w:pPr>
              <w:pStyle w:val="null3"/>
              <w:ind w:firstLine="560"/>
              <w:jc w:val="both"/>
            </w:pPr>
            <w:r>
              <w:rPr>
                <w:rFonts w:ascii="仿宋_GB2312" w:hAnsi="仿宋_GB2312" w:cs="仿宋_GB2312" w:eastAsia="仿宋_GB2312"/>
                <w:sz w:val="28"/>
              </w:rPr>
              <w:t>二、土建基础工程</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素土夯实，压实度≥</w:t>
            </w:r>
            <w:r>
              <w:rPr>
                <w:rFonts w:ascii="仿宋_GB2312" w:hAnsi="仿宋_GB2312" w:cs="仿宋_GB2312" w:eastAsia="仿宋_GB2312"/>
                <w:sz w:val="28"/>
              </w:rPr>
              <w:t>95%</w:t>
            </w:r>
            <w:r>
              <w:rPr>
                <w:rFonts w:ascii="仿宋_GB2312" w:hAnsi="仿宋_GB2312" w:cs="仿宋_GB2312" w:eastAsia="仿宋_GB2312"/>
                <w:sz w:val="28"/>
              </w:rPr>
              <w:t>；铺设级配碎石垫层厚度≥</w:t>
            </w:r>
            <w:r>
              <w:rPr>
                <w:rFonts w:ascii="仿宋_GB2312" w:hAnsi="仿宋_GB2312" w:cs="仿宋_GB2312" w:eastAsia="仿宋_GB2312"/>
                <w:sz w:val="28"/>
              </w:rPr>
              <w:t>100mm</w:t>
            </w:r>
            <w:r>
              <w:rPr>
                <w:rFonts w:ascii="仿宋_GB2312" w:hAnsi="仿宋_GB2312" w:cs="仿宋_GB2312" w:eastAsia="仿宋_GB2312"/>
                <w:sz w:val="28"/>
              </w:rPr>
              <w:t>；</w:t>
            </w:r>
            <w:r>
              <w:rPr>
                <w:rFonts w:ascii="仿宋_GB2312" w:hAnsi="仿宋_GB2312" w:cs="仿宋_GB2312" w:eastAsia="仿宋_GB2312"/>
                <w:sz w:val="28"/>
              </w:rPr>
              <w:t>C25</w:t>
            </w:r>
            <w:r>
              <w:rPr>
                <w:rFonts w:ascii="仿宋_GB2312" w:hAnsi="仿宋_GB2312" w:cs="仿宋_GB2312" w:eastAsia="仿宋_GB2312"/>
                <w:sz w:val="28"/>
              </w:rPr>
              <w:t>商品混凝土基层厚度≥</w:t>
            </w:r>
            <w:r>
              <w:rPr>
                <w:rFonts w:ascii="仿宋_GB2312" w:hAnsi="仿宋_GB2312" w:cs="仿宋_GB2312" w:eastAsia="仿宋_GB2312"/>
                <w:sz w:val="28"/>
              </w:rPr>
              <w:t>120mm</w:t>
            </w:r>
            <w:r>
              <w:rPr>
                <w:rFonts w:ascii="仿宋_GB2312" w:hAnsi="仿宋_GB2312" w:cs="仿宋_GB2312" w:eastAsia="仿宋_GB2312"/>
                <w:sz w:val="28"/>
              </w:rPr>
              <w:t>；混凝土表面平整，</w:t>
            </w:r>
            <w:r>
              <w:rPr>
                <w:rFonts w:ascii="仿宋_GB2312" w:hAnsi="仿宋_GB2312" w:cs="仿宋_GB2312" w:eastAsia="仿宋_GB2312"/>
                <w:sz w:val="28"/>
              </w:rPr>
              <w:t>3m</w:t>
            </w:r>
            <w:r>
              <w:rPr>
                <w:rFonts w:ascii="仿宋_GB2312" w:hAnsi="仿宋_GB2312" w:cs="仿宋_GB2312" w:eastAsia="仿宋_GB2312"/>
                <w:sz w:val="28"/>
              </w:rPr>
              <w:t>靠尺误差≤</w:t>
            </w:r>
            <w:r>
              <w:rPr>
                <w:rFonts w:ascii="仿宋_GB2312" w:hAnsi="仿宋_GB2312" w:cs="仿宋_GB2312" w:eastAsia="仿宋_GB2312"/>
                <w:sz w:val="28"/>
              </w:rPr>
              <w:t>3mm</w:t>
            </w:r>
            <w:r>
              <w:rPr>
                <w:rFonts w:ascii="仿宋_GB2312" w:hAnsi="仿宋_GB2312" w:cs="仿宋_GB2312" w:eastAsia="仿宋_GB2312"/>
                <w:sz w:val="28"/>
              </w:rPr>
              <w:t>，无起砂、裂缝、空鼓 。</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场地四周设置环形排水沟，沟体混凝土浇筑，配套雨水篦子，雨水接入就近排水管网，杜绝场地内积水。</w:t>
            </w:r>
          </w:p>
          <w:p>
            <w:pPr>
              <w:pStyle w:val="null3"/>
              <w:ind w:firstLine="560"/>
              <w:jc w:val="both"/>
            </w:pPr>
            <w:r>
              <w:rPr>
                <w:rFonts w:ascii="仿宋_GB2312" w:hAnsi="仿宋_GB2312" w:cs="仿宋_GB2312" w:eastAsia="仿宋_GB2312"/>
                <w:sz w:val="28"/>
              </w:rPr>
              <w:t xml:space="preserve">3. </w:t>
            </w:r>
            <w:r>
              <w:rPr>
                <w:rFonts w:ascii="仿宋_GB2312" w:hAnsi="仿宋_GB2312" w:cs="仿宋_GB2312" w:eastAsia="仿宋_GB2312"/>
                <w:sz w:val="28"/>
              </w:rPr>
              <w:t>所有钢结构预埋件、围网立柱基础采用</w:t>
            </w:r>
            <w:r>
              <w:rPr>
                <w:rFonts w:ascii="仿宋_GB2312" w:hAnsi="仿宋_GB2312" w:cs="仿宋_GB2312" w:eastAsia="仿宋_GB2312"/>
                <w:sz w:val="28"/>
              </w:rPr>
              <w:t>C25</w:t>
            </w:r>
            <w:r>
              <w:rPr>
                <w:rFonts w:ascii="仿宋_GB2312" w:hAnsi="仿宋_GB2312" w:cs="仿宋_GB2312" w:eastAsia="仿宋_GB2312"/>
                <w:sz w:val="28"/>
              </w:rPr>
              <w:t>混凝土浇筑，基础尺寸≥</w:t>
            </w:r>
            <w:r>
              <w:rPr>
                <w:rFonts w:ascii="仿宋_GB2312" w:hAnsi="仿宋_GB2312" w:cs="仿宋_GB2312" w:eastAsia="仿宋_GB2312"/>
                <w:sz w:val="28"/>
              </w:rPr>
              <w:t>600</w:t>
            </w:r>
            <w:r>
              <w:rPr>
                <w:rFonts w:ascii="仿宋_GB2312" w:hAnsi="仿宋_GB2312" w:cs="仿宋_GB2312" w:eastAsia="仿宋_GB2312"/>
                <w:sz w:val="28"/>
              </w:rPr>
              <w:t>×</w:t>
            </w:r>
            <w:r>
              <w:rPr>
                <w:rFonts w:ascii="仿宋_GB2312" w:hAnsi="仿宋_GB2312" w:cs="仿宋_GB2312" w:eastAsia="仿宋_GB2312"/>
                <w:sz w:val="28"/>
              </w:rPr>
              <w:t>600</w:t>
            </w:r>
            <w:r>
              <w:rPr>
                <w:rFonts w:ascii="仿宋_GB2312" w:hAnsi="仿宋_GB2312" w:cs="仿宋_GB2312" w:eastAsia="仿宋_GB2312"/>
                <w:sz w:val="28"/>
              </w:rPr>
              <w:t>×</w:t>
            </w:r>
            <w:r>
              <w:rPr>
                <w:rFonts w:ascii="仿宋_GB2312" w:hAnsi="仿宋_GB2312" w:cs="仿宋_GB2312" w:eastAsia="仿宋_GB2312"/>
                <w:sz w:val="28"/>
              </w:rPr>
              <w:t>800mm</w:t>
            </w:r>
            <w:r>
              <w:rPr>
                <w:rFonts w:ascii="仿宋_GB2312" w:hAnsi="仿宋_GB2312" w:cs="仿宋_GB2312" w:eastAsia="仿宋_GB2312"/>
                <w:sz w:val="28"/>
              </w:rPr>
              <w:t>，做好防腐防锈。</w:t>
            </w:r>
          </w:p>
          <w:p>
            <w:pPr>
              <w:pStyle w:val="null3"/>
              <w:ind w:firstLine="560"/>
              <w:jc w:val="both"/>
            </w:pPr>
            <w:r>
              <w:rPr>
                <w:rFonts w:ascii="仿宋_GB2312" w:hAnsi="仿宋_GB2312" w:cs="仿宋_GB2312" w:eastAsia="仿宋_GB2312"/>
                <w:sz w:val="28"/>
              </w:rPr>
              <w:t>三、训练场运动面层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总厚度≥</w:t>
            </w:r>
            <w:r>
              <w:rPr>
                <w:rFonts w:ascii="仿宋_GB2312" w:hAnsi="仿宋_GB2312" w:cs="仿宋_GB2312" w:eastAsia="仿宋_GB2312"/>
                <w:sz w:val="28"/>
              </w:rPr>
              <w:t>5mm</w:t>
            </w:r>
            <w:r>
              <w:rPr>
                <w:rFonts w:ascii="仿宋_GB2312" w:hAnsi="仿宋_GB2312" w:cs="仿宋_GB2312" w:eastAsia="仿宋_GB2312"/>
                <w:sz w:val="28"/>
              </w:rPr>
              <w:t>；底层弹性层</w:t>
            </w:r>
            <w:r>
              <w:rPr>
                <w:rFonts w:ascii="仿宋_GB2312" w:hAnsi="仿宋_GB2312" w:cs="仿宋_GB2312" w:eastAsia="仿宋_GB2312"/>
                <w:sz w:val="28"/>
              </w:rPr>
              <w:t>+</w:t>
            </w:r>
            <w:r>
              <w:rPr>
                <w:rFonts w:ascii="仿宋_GB2312" w:hAnsi="仿宋_GB2312" w:cs="仿宋_GB2312" w:eastAsia="仿宋_GB2312"/>
                <w:sz w:val="28"/>
              </w:rPr>
              <w:t>耐磨面漆层。</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执行</w:t>
            </w:r>
            <w:r>
              <w:rPr>
                <w:rFonts w:ascii="仿宋_GB2312" w:hAnsi="仿宋_GB2312" w:cs="仿宋_GB2312" w:eastAsia="仿宋_GB2312"/>
                <w:sz w:val="28"/>
              </w:rPr>
              <w:t>GB/T14833</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；冲击吸收</w:t>
            </w:r>
            <w:r>
              <w:rPr>
                <w:rFonts w:ascii="仿宋_GB2312" w:hAnsi="仿宋_GB2312" w:cs="仿宋_GB2312" w:eastAsia="仿宋_GB2312"/>
                <w:sz w:val="28"/>
              </w:rPr>
              <w:t>35</w:t>
            </w:r>
            <w:r>
              <w:rPr>
                <w:rFonts w:ascii="仿宋_GB2312" w:hAnsi="仿宋_GB2312" w:cs="仿宋_GB2312" w:eastAsia="仿宋_GB2312"/>
                <w:sz w:val="28"/>
              </w:rPr>
              <w:t>‑</w:t>
            </w:r>
            <w:r>
              <w:rPr>
                <w:rFonts w:ascii="仿宋_GB2312" w:hAnsi="仿宋_GB2312" w:cs="仿宋_GB2312" w:eastAsia="仿宋_GB2312"/>
                <w:sz w:val="28"/>
              </w:rPr>
              <w:t>50%</w:t>
            </w:r>
            <w:r>
              <w:rPr>
                <w:rFonts w:ascii="仿宋_GB2312" w:hAnsi="仿宋_GB2312" w:cs="仿宋_GB2312" w:eastAsia="仿宋_GB2312"/>
                <w:sz w:val="28"/>
              </w:rPr>
              <w:t>；垂直变形</w:t>
            </w:r>
            <w:r>
              <w:rPr>
                <w:rFonts w:ascii="仿宋_GB2312" w:hAnsi="仿宋_GB2312" w:cs="仿宋_GB2312" w:eastAsia="仿宋_GB2312"/>
                <w:sz w:val="28"/>
              </w:rPr>
              <w:t>0.6</w:t>
            </w:r>
            <w:r>
              <w:rPr>
                <w:rFonts w:ascii="仿宋_GB2312" w:hAnsi="仿宋_GB2312" w:cs="仿宋_GB2312" w:eastAsia="仿宋_GB2312"/>
                <w:sz w:val="28"/>
              </w:rPr>
              <w:t>‑</w:t>
            </w:r>
            <w:r>
              <w:rPr>
                <w:rFonts w:ascii="仿宋_GB2312" w:hAnsi="仿宋_GB2312" w:cs="仿宋_GB2312" w:eastAsia="仿宋_GB2312"/>
                <w:sz w:val="28"/>
              </w:rPr>
              <w:t>3.0mm</w:t>
            </w:r>
            <w:r>
              <w:rPr>
                <w:rFonts w:ascii="仿宋_GB2312" w:hAnsi="仿宋_GB2312" w:cs="仿宋_GB2312" w:eastAsia="仿宋_GB2312"/>
                <w:sz w:val="28"/>
              </w:rPr>
              <w:t>；拉伸强度≥</w:t>
            </w:r>
            <w:r>
              <w:rPr>
                <w:rFonts w:ascii="仿宋_GB2312" w:hAnsi="仿宋_GB2312" w:cs="仿宋_GB2312" w:eastAsia="仿宋_GB2312"/>
                <w:sz w:val="28"/>
              </w:rPr>
              <w:t>0.7MPa</w:t>
            </w:r>
            <w:r>
              <w:rPr>
                <w:rFonts w:ascii="仿宋_GB2312" w:hAnsi="仿宋_GB2312" w:cs="仿宋_GB2312" w:eastAsia="仿宋_GB2312"/>
                <w:sz w:val="28"/>
              </w:rPr>
              <w:t>；阻燃等级</w:t>
            </w:r>
            <w:r>
              <w:rPr>
                <w:rFonts w:ascii="仿宋_GB2312" w:hAnsi="仿宋_GB2312" w:cs="仿宋_GB2312" w:eastAsia="仿宋_GB2312"/>
                <w:sz w:val="28"/>
              </w:rPr>
              <w:t>B1</w:t>
            </w:r>
            <w:r>
              <w:rPr>
                <w:rFonts w:ascii="仿宋_GB2312" w:hAnsi="仿宋_GB2312" w:cs="仿宋_GB2312" w:eastAsia="仿宋_GB2312"/>
                <w:sz w:val="28"/>
              </w:rPr>
              <w:t>级。</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表面防滑耐磨，耐紫外线老化；场地划线采用专用体育场地漆，不掉色、不起皮。</w:t>
            </w:r>
          </w:p>
          <w:p>
            <w:pPr>
              <w:pStyle w:val="null3"/>
              <w:ind w:firstLine="560"/>
              <w:jc w:val="both"/>
            </w:pPr>
            <w:r>
              <w:rPr>
                <w:rFonts w:ascii="仿宋_GB2312" w:hAnsi="仿宋_GB2312" w:cs="仿宋_GB2312" w:eastAsia="仿宋_GB2312"/>
                <w:sz w:val="28"/>
              </w:rPr>
              <w:t>四、笼式防护围网（训练场围挡）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围网总高度≥</w:t>
            </w:r>
            <w:r>
              <w:rPr>
                <w:rFonts w:ascii="仿宋_GB2312" w:hAnsi="仿宋_GB2312" w:cs="仿宋_GB2312" w:eastAsia="仿宋_GB2312"/>
                <w:sz w:val="28"/>
              </w:rPr>
              <w:t>4.5m</w:t>
            </w:r>
            <w:r>
              <w:rPr>
                <w:rFonts w:ascii="仿宋_GB2312" w:hAnsi="仿宋_GB2312" w:cs="仿宋_GB2312" w:eastAsia="仿宋_GB2312"/>
                <w:sz w:val="28"/>
              </w:rPr>
              <w:t>；立柱</w:t>
            </w:r>
            <w:r>
              <w:rPr>
                <w:rFonts w:ascii="仿宋_GB2312" w:hAnsi="仿宋_GB2312" w:cs="仿宋_GB2312" w:eastAsia="仿宋_GB2312"/>
                <w:sz w:val="28"/>
              </w:rPr>
              <w:t>Q235</w:t>
            </w:r>
            <w:r>
              <w:rPr>
                <w:rFonts w:ascii="仿宋_GB2312" w:hAnsi="仿宋_GB2312" w:cs="仿宋_GB2312" w:eastAsia="仿宋_GB2312"/>
                <w:sz w:val="28"/>
              </w:rPr>
              <w:t>热镀锌钢管，立柱φ≥</w:t>
            </w:r>
            <w:r>
              <w:rPr>
                <w:rFonts w:ascii="仿宋_GB2312" w:hAnsi="仿宋_GB2312" w:cs="仿宋_GB2312" w:eastAsia="仿宋_GB2312"/>
                <w:sz w:val="28"/>
              </w:rPr>
              <w:t>114mm</w:t>
            </w:r>
            <w:r>
              <w:rPr>
                <w:rFonts w:ascii="仿宋_GB2312" w:hAnsi="仿宋_GB2312" w:cs="仿宋_GB2312" w:eastAsia="仿宋_GB2312"/>
                <w:sz w:val="28"/>
              </w:rPr>
              <w:t>，壁厚≥</w:t>
            </w:r>
            <w:r>
              <w:rPr>
                <w:rFonts w:ascii="仿宋_GB2312" w:hAnsi="仿宋_GB2312" w:cs="仿宋_GB2312" w:eastAsia="仿宋_GB2312"/>
                <w:sz w:val="28"/>
              </w:rPr>
              <w:t>3.0mm</w:t>
            </w:r>
            <w:r>
              <w:rPr>
                <w:rFonts w:ascii="仿宋_GB2312" w:hAnsi="仿宋_GB2312" w:cs="仿宋_GB2312" w:eastAsia="仿宋_GB2312"/>
                <w:sz w:val="28"/>
              </w:rPr>
              <w:t>；横杆壁厚≥</w:t>
            </w:r>
            <w:r>
              <w:rPr>
                <w:rFonts w:ascii="仿宋_GB2312" w:hAnsi="仿宋_GB2312" w:cs="仿宋_GB2312" w:eastAsia="仿宋_GB2312"/>
                <w:sz w:val="28"/>
              </w:rPr>
              <w:t>2.5mm</w:t>
            </w:r>
            <w:r>
              <w:rPr>
                <w:rFonts w:ascii="仿宋_GB2312" w:hAnsi="仿宋_GB2312" w:cs="仿宋_GB2312" w:eastAsia="仿宋_GB2312"/>
                <w:sz w:val="28"/>
              </w:rPr>
              <w:t>；网丝直径≥</w:t>
            </w:r>
            <w:r>
              <w:rPr>
                <w:rFonts w:ascii="仿宋_GB2312" w:hAnsi="仿宋_GB2312" w:cs="仿宋_GB2312" w:eastAsia="仿宋_GB2312"/>
                <w:sz w:val="28"/>
              </w:rPr>
              <w:t>4.0mm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工艺：热浸锌打底</w:t>
            </w:r>
            <w:r>
              <w:rPr>
                <w:rFonts w:ascii="仿宋_GB2312" w:hAnsi="仿宋_GB2312" w:cs="仿宋_GB2312" w:eastAsia="仿宋_GB2312"/>
                <w:sz w:val="28"/>
              </w:rPr>
              <w:t>+</w:t>
            </w:r>
            <w:r>
              <w:rPr>
                <w:rFonts w:ascii="仿宋_GB2312" w:hAnsi="仿宋_GB2312" w:cs="仿宋_GB2312" w:eastAsia="仿宋_GB2312"/>
                <w:sz w:val="28"/>
              </w:rPr>
              <w:t>户外</w:t>
            </w:r>
            <w:r>
              <w:rPr>
                <w:rFonts w:ascii="仿宋_GB2312" w:hAnsi="仿宋_GB2312" w:cs="仿宋_GB2312" w:eastAsia="仿宋_GB2312"/>
                <w:sz w:val="28"/>
              </w:rPr>
              <w:t>PE</w:t>
            </w:r>
            <w:r>
              <w:rPr>
                <w:rFonts w:ascii="仿宋_GB2312" w:hAnsi="仿宋_GB2312" w:cs="仿宋_GB2312" w:eastAsia="仿宋_GB2312"/>
                <w:sz w:val="28"/>
              </w:rPr>
              <w:t>静电喷塑双重防腐；耐盐雾≥</w:t>
            </w:r>
            <w:r>
              <w:rPr>
                <w:rFonts w:ascii="仿宋_GB2312" w:hAnsi="仿宋_GB2312" w:cs="仿宋_GB2312" w:eastAsia="仿宋_GB2312"/>
                <w:sz w:val="28"/>
              </w:rPr>
              <w:t>2000h</w:t>
            </w:r>
            <w:r>
              <w:rPr>
                <w:rFonts w:ascii="仿宋_GB2312" w:hAnsi="仿宋_GB2312" w:cs="仿宋_GB2312" w:eastAsia="仿宋_GB2312"/>
                <w:sz w:val="28"/>
              </w:rPr>
              <w:t>，抗球类冲击，防攀爬。</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设置检修设备门，门洞宽度≥</w:t>
            </w:r>
            <w:r>
              <w:rPr>
                <w:rFonts w:ascii="仿宋_GB2312" w:hAnsi="仿宋_GB2312" w:cs="仿宋_GB2312" w:eastAsia="仿宋_GB2312"/>
                <w:sz w:val="28"/>
              </w:rPr>
              <w:t>1.4m</w:t>
            </w:r>
            <w:r>
              <w:rPr>
                <w:rFonts w:ascii="仿宋_GB2312" w:hAnsi="仿宋_GB2312" w:cs="仿宋_GB2312" w:eastAsia="仿宋_GB2312"/>
                <w:sz w:val="28"/>
              </w:rPr>
              <w:t>；场地四角圆弧化处理，消除尖锐棱角，保障运动安全 。</w:t>
            </w:r>
          </w:p>
          <w:p>
            <w:pPr>
              <w:pStyle w:val="null3"/>
              <w:ind w:firstLine="560"/>
              <w:jc w:val="both"/>
            </w:pPr>
            <w:r>
              <w:rPr>
                <w:rFonts w:ascii="仿宋_GB2312" w:hAnsi="仿宋_GB2312" w:cs="仿宋_GB2312" w:eastAsia="仿宋_GB2312"/>
                <w:sz w:val="28"/>
              </w:rPr>
              <w:t xml:space="preserve">4. </w:t>
            </w:r>
            <w:r>
              <w:rPr>
                <w:rFonts w:ascii="仿宋_GB2312" w:hAnsi="仿宋_GB2312" w:cs="仿宋_GB2312" w:eastAsia="仿宋_GB2312"/>
                <w:sz w:val="28"/>
              </w:rPr>
              <w:t>立柱间距不大于</w:t>
            </w:r>
            <w:r>
              <w:rPr>
                <w:rFonts w:ascii="仿宋_GB2312" w:hAnsi="仿宋_GB2312" w:cs="仿宋_GB2312" w:eastAsia="仿宋_GB2312"/>
                <w:sz w:val="28"/>
              </w:rPr>
              <w:t>3</w:t>
            </w:r>
            <w:r>
              <w:rPr>
                <w:rFonts w:ascii="仿宋_GB2312" w:hAnsi="仿宋_GB2312" w:cs="仿宋_GB2312" w:eastAsia="仿宋_GB2312"/>
                <w:sz w:val="28"/>
              </w:rPr>
              <w:t>米，基础混凝土浇筑牢固，抗风抗撞击。</w:t>
            </w:r>
          </w:p>
          <w:p>
            <w:pPr>
              <w:pStyle w:val="null3"/>
              <w:ind w:firstLine="560"/>
              <w:jc w:val="both"/>
            </w:pPr>
            <w:r>
              <w:rPr>
                <w:rFonts w:ascii="仿宋_GB2312" w:hAnsi="仿宋_GB2312" w:cs="仿宋_GB2312" w:eastAsia="仿宋_GB2312"/>
                <w:sz w:val="28"/>
              </w:rPr>
              <w:t>五、训练场配套器材</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室外篮球架满足</w:t>
            </w:r>
            <w:r>
              <w:rPr>
                <w:rFonts w:ascii="仿宋_GB2312" w:hAnsi="仿宋_GB2312" w:cs="仿宋_GB2312" w:eastAsia="仿宋_GB2312"/>
                <w:sz w:val="28"/>
              </w:rPr>
              <w:t>GB/T19851.3</w:t>
            </w:r>
            <w:r>
              <w:rPr>
                <w:rFonts w:ascii="仿宋_GB2312" w:hAnsi="仿宋_GB2312" w:cs="仿宋_GB2312" w:eastAsia="仿宋_GB2312"/>
                <w:sz w:val="28"/>
              </w:rPr>
              <w:t>标准；主立柱壁厚≥</w:t>
            </w:r>
            <w:r>
              <w:rPr>
                <w:rFonts w:ascii="仿宋_GB2312" w:hAnsi="仿宋_GB2312" w:cs="仿宋_GB2312" w:eastAsia="仿宋_GB2312"/>
                <w:sz w:val="28"/>
              </w:rPr>
              <w:t>3.0mm</w:t>
            </w:r>
            <w:r>
              <w:rPr>
                <w:rFonts w:ascii="仿宋_GB2312" w:hAnsi="仿宋_GB2312" w:cs="仿宋_GB2312" w:eastAsia="仿宋_GB2312"/>
                <w:sz w:val="28"/>
              </w:rPr>
              <w:t>；钢化防爆玻璃篮板；配置防撞保护护套；抗冲击，户外防锈喷塑处理。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室外乒乓球台、训练辅助健身器材；器材全部符合</w:t>
            </w:r>
            <w:r>
              <w:rPr>
                <w:rFonts w:ascii="仿宋_GB2312" w:hAnsi="仿宋_GB2312" w:cs="仿宋_GB2312" w:eastAsia="仿宋_GB2312"/>
                <w:sz w:val="28"/>
              </w:rPr>
              <w:t>GB19272</w:t>
            </w:r>
            <w:r>
              <w:rPr>
                <w:rFonts w:ascii="仿宋_GB2312" w:hAnsi="仿宋_GB2312" w:cs="仿宋_GB2312" w:eastAsia="仿宋_GB2312"/>
                <w:sz w:val="28"/>
              </w:rPr>
              <w:t>‑</w:t>
            </w:r>
            <w:r>
              <w:rPr>
                <w:rFonts w:ascii="仿宋_GB2312" w:hAnsi="仿宋_GB2312" w:cs="仿宋_GB2312" w:eastAsia="仿宋_GB2312"/>
                <w:sz w:val="28"/>
              </w:rPr>
              <w:t>2024</w:t>
            </w:r>
            <w:r>
              <w:rPr>
                <w:rFonts w:ascii="仿宋_GB2312" w:hAnsi="仿宋_GB2312" w:cs="仿宋_GB2312" w:eastAsia="仿宋_GB2312"/>
                <w:sz w:val="28"/>
              </w:rPr>
              <w:t>室外健身器材安全通用要求。</w:t>
            </w:r>
          </w:p>
          <w:p>
            <w:pPr>
              <w:pStyle w:val="null3"/>
              <w:ind w:firstLine="560"/>
              <w:jc w:val="both"/>
            </w:pPr>
            <w:r>
              <w:rPr>
                <w:rFonts w:ascii="仿宋_GB2312" w:hAnsi="仿宋_GB2312" w:cs="仿宋_GB2312" w:eastAsia="仿宋_GB2312"/>
                <w:sz w:val="28"/>
              </w:rPr>
              <w:t>六、标识与安全配套</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设置训练场安全警示牌、运动须知标识、场地名称标识；镀锌钢板</w:t>
            </w:r>
            <w:r>
              <w:rPr>
                <w:rFonts w:ascii="仿宋_GB2312" w:hAnsi="仿宋_GB2312" w:cs="仿宋_GB2312" w:eastAsia="仿宋_GB2312"/>
                <w:sz w:val="28"/>
              </w:rPr>
              <w:t>+</w:t>
            </w:r>
            <w:r>
              <w:rPr>
                <w:rFonts w:ascii="仿宋_GB2312" w:hAnsi="仿宋_GB2312" w:cs="仿宋_GB2312" w:eastAsia="仿宋_GB2312"/>
                <w:sz w:val="28"/>
              </w:rPr>
              <w:t>户外</w:t>
            </w:r>
            <w:r>
              <w:rPr>
                <w:rFonts w:ascii="仿宋_GB2312" w:hAnsi="仿宋_GB2312" w:cs="仿宋_GB2312" w:eastAsia="仿宋_GB2312"/>
                <w:sz w:val="28"/>
              </w:rPr>
              <w:t>UV</w:t>
            </w:r>
            <w:r>
              <w:rPr>
                <w:rFonts w:ascii="仿宋_GB2312" w:hAnsi="仿宋_GB2312" w:cs="仿宋_GB2312" w:eastAsia="仿宋_GB2312"/>
                <w:sz w:val="28"/>
              </w:rPr>
              <w:t>喷绘，耐日晒雨淋不脱落。</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训练场出入口无障碍处理，无尖锐构件，做好安全防护。</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严格按照国家、地方及行业相关规范、规程、标准及采购人相关要求执行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1、报价说明：本项目工程量清单由广联达软件生成的清单组成。 2、工期：自合同签订之日起60天。 3、质保期：质量保修期为自工程验收合格之日起 1年。 4、工程质量：符合国家、地方及行业相关规范、规程、标准及采购人相关要求。 5、支付方式： (1)合同签订后支付合同总价款30%作为预付款:施工进度款按工程实际进度按月支付，支付至合同价的97%后暂停支付;竣工验收合格后成交供应商报送结算资料，质保期满后支付剩余价款。 6、成交供应商在开标结束后3个工作日内向代理机构提供纸质版竞争性磋商响应文件，竞争性磋商响应文件为正本1份，副本2份，电子U盘1份 （U盘内容包括Word版本及PDF版本）。纸质竞争性磋商响应文件均须A4纸打印、胶装，并与电子版内容完全一致。 7.广联达版本号：7.5000.23.3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供应商须具有市政公用工程施工总承包三级(含三级)以上资质，具有建设行政主管部门颁发的安全生产许可证。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拟派项目经理须具有市政公用工程专业二级建造师注册证书及建设行政主管部门颁发的有效的安全生产考核合格证（建安B证），并在本单位注册且无在建工程；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（1）报价表填写符合唯一性要求及采购文件要求；（2）计量单位、报价货币均符合采购文件要求；（3）报价未超出采购预算或采购文件规定的最高限价。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供应商近三年（2023年1月至今）具有类似项目业绩，一项得3分，最高9分。（需提供合同复印件并加盖公章，时间以合同签订时间为准，无签订时间的无效）。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内容至少包括①质量管理流程；②工程质量保障方案；③工程质量控制体系；④材料和构配件的质量控制等； 评审标准：1、完善性： 方案必须全面，对评审内容中的各项要求有详细阐 述；2、可实施性：切合本 项目实际情况，提出步骤 清晰、合理的方案；3、针对性：方案能够紧扣项目 实际情况，内容科学合理。 上述 4 项评审内容全满 足评审标准得8分，每有 一个评审内容缺项扣2分，每有一项评审内容存在缺陷，扣0.5分，扣完为止，不计负分。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内容至少包括：①施工总平面布置图、施工进度表或施工网络图；②施工准备及进度安排;③施工方法；④重点难点工程分析及解决措施；⑤影响正常施工外在因素分析及对应预案等。 评审标准： 1、完善性：方案必须全面，对评审内容中的各项要求有详细阐述；2、可实施性：切合本项目实际情况，提出步骤清晰、合理的方案；3、针对性：方案能够紧扣项目实际情况，内容科学合理。 上述5项评审内容全部满足评审标准得15分，每有一个评审内容缺项扣3分，每有一项评审内容存在缺陷，扣0.5分，扣完为止，不计负分。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内容至少包括：①安全生产管理制度；②配置安全组织机构；③安全隐患排查、整改制度；④应急救援方案等。 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内容至少包括：①文明施工及环境保护管理制度； ②防尘降噪措施；③节能减排措施；④治污减霾措施； 评审标准：1、完善性：方案必须全面，对评审内容中的各项要求有详细阐述；2、可实施性：切合本项目实际情况，提出步骤清晰、合理的方案；3、针对性：方案能够紧扣项目实际情况，内容科学合理。上述4项评审内容全部满足评审标准得 8分，每有一个评审内容缺项扣2分，每有一项评审内容存在缺陷，扣0.5分，扣完为止，不计负分。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内容至少包括：①项目成员配置清单 ②配备人员的资质证书及 经验③人员组织结构与岗位职责④人员响应时间； 评审标准：1 、完善性：方案必须全面，对评 审内容中的各项要求有详 细阐述；2 、可实施性： 切合本项目实际情况，提出步骤清晰、合理的方案； 3 、针对性：方案能够紧 扣项目实际情况，内容科学合理。 上述 4 项评审内容全部满足评审标准得8分，每有一个评审内容缺项扣2分，每有一项评审内容存在缺陷，扣0.5分， 扣完为止，不计负分。（项目组配备人员须提供相关人员证书等） 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内容至少包括①施工进度安排；②工期目标控制和保证措施；③材料供应措施； ④成品、半成品保护监管措 施等。 评审标准：1、完善性：方案必须全面，对评审内容中的各项要求有详细阐述；2、可实施性：切合本项目实际情况，提出步骤清晰、合理的方案； 3、针对性：方案能够紧扣项目实际情况，内容科学合理。上述 4项评审内容全部满足评审标准得8分，每有一个评审内容缺项扣2分，每有一项评审内容存在缺陷，扣0.5分，扣完为止，不计负分。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内容至少包括①施工机械配置计划；②施工材料投入计划；③施工机械的维护保 养和材料的贮存； 评审标准：1、完善性：方案必须全面，对评审内容中 技术方案的各项要求有详细阐述；2、可实施性：切合本项目实际情况，提出步骤清晰、合理的方案；3、针对性：方案能够紧扣项目实际情况，内容科学合理。 上述4项评审内容全部满足评审标准得6分，每有一个 评审内容缺项扣2分，每有一项评审内容存在缺陷，扣0.5分，扣完为止，不计负分。 说明：缺陷是指内容粗略、逻辑混乱、描述过于简单、与项目特点不匹配、逻辑漏洞、出现常识性错误、存在不适用项目实际情况的情形或只有标题没有实质性内容等。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满足磋商文件要求且最后报价最低的供应商的价格为磋商基准价，其价格分为满分30分。其他供应商的价格分统一按照下列公式计算：磋商报价得分=（磋商基准价/最后磋商报价）×价格权值（即30%）×100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