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D9948B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采购需求</w:t>
      </w:r>
    </w:p>
    <w:p w14:paraId="1F7E9D7B">
      <w:pPr>
        <w:numPr>
          <w:ilvl w:val="0"/>
          <w:numId w:val="1"/>
        </w:numPr>
        <w:ind w:firstLine="643" w:firstLineChars="200"/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  <w:t>项目概况</w:t>
      </w:r>
    </w:p>
    <w:p w14:paraId="2016AC99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（1）项目名称: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延川县紧密</w:t>
      </w:r>
      <w:r>
        <w:rPr>
          <w:rFonts w:hint="eastAsia" w:ascii="仿宋_GB2312" w:hAnsi="仿宋_GB2312" w:eastAsia="仿宋_GB2312" w:cs="仿宋_GB2312"/>
          <w:sz w:val="32"/>
          <w:szCs w:val="32"/>
        </w:rPr>
        <w:t>型县域医共体建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设以奖代补项目</w:t>
      </w:r>
    </w:p>
    <w:p w14:paraId="55D6870D">
      <w:pPr>
        <w:numPr>
          <w:ilvl w:val="0"/>
          <w:numId w:val="0"/>
        </w:numPr>
        <w:ind w:left="630" w:leftChars="0" w:firstLine="0" w:firstLineChars="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（2）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交货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时间：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自合同签订之日起15个日历日</w:t>
      </w:r>
    </w:p>
    <w:p w14:paraId="21AD1130">
      <w:pPr>
        <w:numPr>
          <w:ilvl w:val="0"/>
          <w:numId w:val="0"/>
        </w:numPr>
        <w:ind w:left="63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（3）</w:t>
      </w:r>
      <w:r>
        <w:rPr>
          <w:rFonts w:hint="eastAsia" w:ascii="仿宋_GB2312" w:hAnsi="仿宋_GB2312" w:eastAsia="仿宋_GB2312" w:cs="仿宋_GB2312"/>
          <w:sz w:val="32"/>
          <w:szCs w:val="32"/>
        </w:rPr>
        <w:t>地    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：延川县人民医院</w:t>
      </w:r>
      <w:r>
        <w:rPr>
          <w:rFonts w:hint="eastAsia" w:ascii="仿宋_GB2312" w:hAnsi="仿宋_GB2312" w:eastAsia="仿宋_GB2312" w:cs="仿宋_GB2312"/>
          <w:sz w:val="32"/>
          <w:szCs w:val="32"/>
        </w:rPr>
        <w:t>指定地点。</w:t>
      </w:r>
    </w:p>
    <w:p w14:paraId="65F86D6A">
      <w:pPr>
        <w:numPr>
          <w:ilvl w:val="0"/>
          <w:numId w:val="0"/>
        </w:numPr>
        <w:ind w:firstLine="643" w:firstLineChars="200"/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  <w:t>二、货物清单</w:t>
      </w:r>
    </w:p>
    <w:tbl>
      <w:tblPr>
        <w:tblStyle w:val="4"/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1542"/>
        <w:gridCol w:w="5543"/>
        <w:gridCol w:w="658"/>
        <w:gridCol w:w="658"/>
      </w:tblGrid>
      <w:tr w14:paraId="7F920F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14B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序号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E83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名称</w:t>
            </w:r>
          </w:p>
        </w:tc>
        <w:tc>
          <w:tcPr>
            <w:tcW w:w="34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539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技术规格配置</w:t>
            </w:r>
          </w:p>
        </w:tc>
        <w:tc>
          <w:tcPr>
            <w:tcW w:w="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7B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2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68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</w:tr>
      <w:tr w14:paraId="67300F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FF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F2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县医院</w:t>
            </w: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防火墙</w:t>
            </w: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（10-50万）</w:t>
            </w: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问诊量</w:t>
            </w:r>
          </w:p>
        </w:tc>
        <w:tc>
          <w:tcPr>
            <w:tcW w:w="34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B0A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1、性能要求：防火墙吞吐量≥35Gbps，最大并发连接数≥2000万，每秒新建连接数≥50万；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2、接口要求：万兆光口≥8个，千兆光口≥8个，千兆电接口≥4个；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3、芯片要求：采用国产化芯片(CPU)；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4、路由要求：支持IPv4组播协议，IGMP、MSDP、PIM-DM、PIM-SM，支持IPv6协议栈、IPV6穿越技术、IPV6路由协议，支持静态路由、策略路由、RIP、OSPF、BGP、ISIS等路由协议；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5、功能要求：支持全面NAT功能，对多种应用层协议支持ALG功能，包括DNS、FTP、H323、MSN、Netbios、PPTP、RSH、RTSP、SIP、SQLnet等，支持VPN及QOS功能；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6、选路要求：可根据目的地址智能优选运营商链路，支持主备接口配置以及按比例分配的负载分担方式；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7、防护要求：支持数据防泄露，对传输的文件和内容进行识别过滤；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8、配置要求：电源模块≥2块，硬盘≥960G，威胁防护升级（包含IPS, URL, AV, Web防护）≥3年，万兆单模光模块≥8个,万兆多模光模块≥2个，千兆单模光模块≥8个，原厂硬件维保≥3年。</w:t>
            </w:r>
          </w:p>
        </w:tc>
        <w:tc>
          <w:tcPr>
            <w:tcW w:w="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94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78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517AA5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A7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0A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防火墙</w:t>
            </w: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（中医院及妇幼保健院）</w:t>
            </w:r>
          </w:p>
        </w:tc>
        <w:tc>
          <w:tcPr>
            <w:tcW w:w="34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DF1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1、性能要求：防火墙吞吐量≥25Gbps，最大并发连接数≥1000万，每秒新建连接数≥25万；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2、接口要求：万兆光口≥6个，千兆光口≥4个，千兆电接口≥4个；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3、芯片要求：采用国产化芯片(CPU)；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4、路由要求：支持IPv4组播协议，IGMP、MSDP、PIM-DM、PIM-SM，支持IPv6协议栈、IPV6穿越技术、IPV6路由协议，支持静态路由、策略路由、RIP、OSPF、BGP、ISIS等路由协议；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5、功能要求：支持全面NAT功能，对多种应用层协议支持ALG功能，包括DNS、FTP、H323、MSN、Netbios、PPTP、RSH、RTSP、SIP、SQLnet等，支持VPN及QOS功能；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6、选路要求：可根据目的地址智能优选运营商链路，支持主备接口配置以及按比例分配的负载分担方式；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7、防护要求：支持数据防泄露，对传输的文件和内容进行识别过滤；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8、配置要求：电源模块≥2块，硬盘≥960G，威胁防护升级（包含IPS, URL, AV, Web防护）≥3年，万兆多模光模块≥2个，万兆单模光模块≥6个,千兆单模光模块≥4个，原厂硬件维保≥3年。</w:t>
            </w:r>
          </w:p>
        </w:tc>
        <w:tc>
          <w:tcPr>
            <w:tcW w:w="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8E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FE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1B1701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0" w:hRule="atLeast"/>
        </w:trPr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CD6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49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核心交换机</w:t>
            </w:r>
          </w:p>
        </w:tc>
        <w:tc>
          <w:tcPr>
            <w:tcW w:w="34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F81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1.性能要求：交换容量≥68Tbps，包转发率≥51000Mpps；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2.架构要求：主控板槽位≥2，业务板槽位数≥4；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3.芯片要求：采用国产CPU芯片；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4.协议要求：支持IEEE 802.1d(STP)、 802.w(RSTP)、 802.1s(MSTP)；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5.功能要求：支持 BGP-EVPN 协议实现 VxLAN 隧道动态建立；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6.配置要求：主控板≥2块，电源模块≥2块，万兆光口≥48个，千兆电口≥48个，万兆单模光模块≥48个，千兆单模光模块≥24个，原厂硬件质保≥3年。</w:t>
            </w:r>
          </w:p>
        </w:tc>
        <w:tc>
          <w:tcPr>
            <w:tcW w:w="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C06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E19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262230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0" w:hRule="atLeast"/>
        </w:trPr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B0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389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接入交换器</w:t>
            </w:r>
          </w:p>
        </w:tc>
        <w:tc>
          <w:tcPr>
            <w:tcW w:w="34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B18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1.接口要求：千兆电口≥24个，10G/GE自适应光口≥4个，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2.芯片要求：采用国产关键芯片(CPU)；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3.可靠性要求：支持G.8032（ERPS）标准以太环网协议，故障倒换收敛时间小于50ms；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4.管理要求：支持统一用户管理功能，支持802.1X/MAC/Portal等多种认证方式，支持1024认证用户同时在线。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5.配置要求：万兆单模光模块≥4个，原厂硬件质保≥3年。</w:t>
            </w:r>
          </w:p>
        </w:tc>
        <w:tc>
          <w:tcPr>
            <w:tcW w:w="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31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2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49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0EAC66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243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AD9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灾备服务器  （县医院）</w:t>
            </w:r>
          </w:p>
        </w:tc>
        <w:tc>
          <w:tcPr>
            <w:tcW w:w="34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A04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配置要求，CPU≥32核；运行内存≥96G；硬盘：≥2块480GSATASSD，≥1块8TB SATA HDD 含灾备软件（国产数据库）原厂硬件质保≥3年。</w:t>
            </w:r>
          </w:p>
        </w:tc>
        <w:tc>
          <w:tcPr>
            <w:tcW w:w="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5B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5B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6DCF53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5F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12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灾备服务器（妇保院）</w:t>
            </w:r>
          </w:p>
        </w:tc>
        <w:tc>
          <w:tcPr>
            <w:tcW w:w="34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18E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配置要求，CPU≥24核；运行内存≥96G；硬盘：≥2块480G SATA SSD，≥1块8TB SATA HDD 含灾备软件（国产数据库）原厂硬件质保≥3年。</w:t>
            </w:r>
          </w:p>
        </w:tc>
        <w:tc>
          <w:tcPr>
            <w:tcW w:w="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3D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A4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005B63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CB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A1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安全软件</w:t>
            </w:r>
          </w:p>
        </w:tc>
        <w:tc>
          <w:tcPr>
            <w:tcW w:w="34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825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支持漏洞修复 终端发现 设备管理 可视化控制中心 安全分析报告</w:t>
            </w:r>
            <w:bookmarkStart w:id="15" w:name="_GoBack"/>
            <w:bookmarkEnd w:id="15"/>
          </w:p>
        </w:tc>
        <w:tc>
          <w:tcPr>
            <w:tcW w:w="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27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2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D3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3DBFD0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93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5F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桌面运维</w:t>
            </w: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系统</w:t>
            </w:r>
          </w:p>
        </w:tc>
        <w:tc>
          <w:tcPr>
            <w:tcW w:w="34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4C6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桌面运维系统</w:t>
            </w:r>
          </w:p>
        </w:tc>
        <w:tc>
          <w:tcPr>
            <w:tcW w:w="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6B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2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F27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643C25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C3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52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网络改造</w:t>
            </w:r>
          </w:p>
        </w:tc>
        <w:tc>
          <w:tcPr>
            <w:tcW w:w="34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D51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院内网络改造/线材/网络面板/小型千兆交换器/水晶头等</w:t>
            </w:r>
          </w:p>
        </w:tc>
        <w:tc>
          <w:tcPr>
            <w:tcW w:w="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71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F30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次</w:t>
            </w:r>
          </w:p>
        </w:tc>
      </w:tr>
      <w:tr w14:paraId="01CFE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F8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DF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准入控制</w:t>
            </w:r>
          </w:p>
        </w:tc>
        <w:tc>
          <w:tcPr>
            <w:tcW w:w="34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09B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准入控制系统</w:t>
            </w:r>
          </w:p>
        </w:tc>
        <w:tc>
          <w:tcPr>
            <w:tcW w:w="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06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B7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673CB3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24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AB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电脑升级改造</w:t>
            </w:r>
          </w:p>
        </w:tc>
        <w:tc>
          <w:tcPr>
            <w:tcW w:w="34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E53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CPU:≥6核  内存:≥8G  硬盘：≥500G 显卡：≥2G  网卡：1000兆/显示器24寸/分辨率1920*1080/刷新率100Hz/HDMI+VGA/以上配件视情况而定用于电脑升级</w:t>
            </w:r>
          </w:p>
        </w:tc>
        <w:tc>
          <w:tcPr>
            <w:tcW w:w="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6A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2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D0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</w:tbl>
    <w:p w14:paraId="4D035946">
      <w:pPr>
        <w:numPr>
          <w:ilvl w:val="0"/>
          <w:numId w:val="0"/>
        </w:numPr>
        <w:ind w:firstLine="643" w:firstLineChars="200"/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  <w:t>三、项目建设要求：</w:t>
      </w:r>
    </w:p>
    <w:p w14:paraId="4A5D25AA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项目建设达到正常使用的时间：合同中商议决定。</w:t>
      </w:r>
    </w:p>
    <w:p w14:paraId="483E969D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付款方式：合同中商议决定。</w:t>
      </w:r>
    </w:p>
    <w:p w14:paraId="2710B934">
      <w:pPr>
        <w:numPr>
          <w:ilvl w:val="0"/>
          <w:numId w:val="0"/>
        </w:numPr>
        <w:ind w:firstLine="643" w:firstLineChars="200"/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  <w:t>四、验收</w:t>
      </w:r>
      <w:bookmarkStart w:id="0" w:name="_Toc167712843"/>
      <w:bookmarkStart w:id="1" w:name="_Toc167714041"/>
      <w:bookmarkStart w:id="2" w:name="_Toc167715238"/>
      <w:r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  <w:t>:</w:t>
      </w:r>
      <w:r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  <w:tab/>
      </w:r>
    </w:p>
    <w:p w14:paraId="548082F0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（1） 项目验收分初验和终验:</w:t>
      </w:r>
      <w:bookmarkEnd w:id="0"/>
      <w:bookmarkEnd w:id="1"/>
      <w:bookmarkEnd w:id="2"/>
      <w:bookmarkStart w:id="3" w:name="_Toc167714042"/>
      <w:bookmarkStart w:id="4" w:name="_Toc167712844"/>
      <w:bookmarkStart w:id="5" w:name="_Toc167715239"/>
    </w:p>
    <w:bookmarkEnd w:id="3"/>
    <w:bookmarkEnd w:id="4"/>
    <w:bookmarkEnd w:id="5"/>
    <w:p w14:paraId="216A14E4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bookmarkStart w:id="6" w:name="_Toc167715241"/>
      <w:bookmarkStart w:id="7" w:name="_Toc167714044"/>
      <w:bookmarkStart w:id="8" w:name="_Toc167712846"/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初验：项目建设好后，由使用单位根据合同对货物名称、品牌、规格、型号、等进行检查。</w:t>
      </w:r>
    </w:p>
    <w:p w14:paraId="5566837D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终验：项目建设完毕，正常使用10个日历日后，由采购人、使用单位进行终验（最终验收），合格后签发《终验合格单》。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cr/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   （2）验收不合格的成交供应商，必须在接到通知后7个日历日内确保通过验收。如接到通知后7个日历日内验收仍不合格，采购人可提出索赔或取消其服务合同。采购代理机构将把成交资格授予评审排序下一名的成交供应商。</w:t>
      </w:r>
    </w:p>
    <w:p w14:paraId="376AD60D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（3）验收依据</w:t>
      </w:r>
      <w:bookmarkEnd w:id="6"/>
      <w:bookmarkEnd w:id="7"/>
      <w:bookmarkEnd w:id="8"/>
      <w:bookmarkStart w:id="9" w:name="_Toc167715242"/>
      <w:bookmarkStart w:id="10" w:name="_Toc167712847"/>
      <w:bookmarkStart w:id="11" w:name="_Toc167714045"/>
    </w:p>
    <w:p w14:paraId="7F1929CB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1.合同文本及合同补充文件（条款）</w:t>
      </w:r>
      <w:bookmarkEnd w:id="9"/>
      <w:bookmarkEnd w:id="10"/>
      <w:bookmarkEnd w:id="11"/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。 </w:t>
      </w:r>
    </w:p>
    <w:p w14:paraId="6B04A950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2.产品的合法来源渠道证明文件。</w:t>
      </w:r>
    </w:p>
    <w:p w14:paraId="632CC3DC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3.磋商文件。</w:t>
      </w:r>
    </w:p>
    <w:p w14:paraId="1CAD0D1B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4.成交供应商的竞争性磋商响应文件。</w:t>
      </w:r>
    </w:p>
    <w:p w14:paraId="5277AB69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5.合同货物清单。</w:t>
      </w:r>
    </w:p>
    <w:p w14:paraId="7E29621F">
      <w:pPr>
        <w:numPr>
          <w:ilvl w:val="0"/>
          <w:numId w:val="0"/>
        </w:numPr>
        <w:ind w:firstLine="643" w:firstLineChars="200"/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</w:pPr>
      <w:bookmarkStart w:id="12" w:name="_Toc167712849"/>
      <w:bookmarkStart w:id="13" w:name="_Toc167714047"/>
      <w:bookmarkStart w:id="14" w:name="_Toc167715244"/>
      <w:r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  <w:t>五</w:t>
      </w:r>
      <w:bookmarkEnd w:id="12"/>
      <w:bookmarkEnd w:id="13"/>
      <w:bookmarkEnd w:id="14"/>
      <w:r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  <w:t>、合同实施：</w:t>
      </w:r>
    </w:p>
    <w:p w14:paraId="40821167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（1）成交人应在合同签订后2个日历日内安排人员与使用单位就平台建设等工作进行安排、部署。</w:t>
      </w:r>
    </w:p>
    <w:p w14:paraId="4448F31F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（2）若未能完成合同规定的义务，由此对采购人造成的延误和一切损失，由成交人承担和赔偿。</w:t>
      </w:r>
    </w:p>
    <w:p w14:paraId="2F400AE4">
      <w:pPr>
        <w:numPr>
          <w:ilvl w:val="0"/>
          <w:numId w:val="0"/>
        </w:numPr>
        <w:ind w:firstLine="643" w:firstLineChars="200"/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  <w:t>六、违约责任：</w:t>
      </w:r>
    </w:p>
    <w:p w14:paraId="47EB0B76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（1）按《中华人民共和国合同法》中的相关条款执行。</w:t>
      </w:r>
    </w:p>
    <w:p w14:paraId="60B5062B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（2）未按合同要求提供平台或平台质量不能满足技术要求，采购人有权终止合同，并对供方违约行为进行追究，同时按《政府采购法》的有关规定进行处罚。</w:t>
      </w:r>
    </w:p>
    <w:p w14:paraId="0706BF49">
      <w:pPr>
        <w:numPr>
          <w:ilvl w:val="0"/>
          <w:numId w:val="0"/>
        </w:numPr>
        <w:ind w:firstLine="643" w:firstLineChars="200"/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  <w:t>七、质量保证：</w:t>
      </w:r>
    </w:p>
    <w:p w14:paraId="25DE18CC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（1）设备性能稳定、具有较好的使用效果，质量保证措施完善，符合国家相关标准。</w:t>
      </w:r>
    </w:p>
    <w:p w14:paraId="209433E2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（2）设备的质保期为设备验收合格后三年</w:t>
      </w:r>
    </w:p>
    <w:p w14:paraId="57F3BDDC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（3）成交单位必须按照合同要求，将货物送到指定地点，完成安装、调试、培训等任务，协助采购人共同对设备进行验收。</w:t>
      </w:r>
    </w:p>
    <w:p w14:paraId="39DE73B9">
      <w:pPr>
        <w:numPr>
          <w:ilvl w:val="0"/>
          <w:numId w:val="0"/>
        </w:numPr>
        <w:ind w:firstLine="640" w:firstLineChars="200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sectPr>
      <w:pgSz w:w="11906" w:h="16838"/>
      <w:pgMar w:top="2098" w:right="1474" w:bottom="1247" w:left="1587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87D4F6"/>
    <w:multiLevelType w:val="singleLevel"/>
    <w:tmpl w:val="5787D4F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D95131"/>
    <w:rsid w:val="05FB1C36"/>
    <w:rsid w:val="07A5719C"/>
    <w:rsid w:val="133A442E"/>
    <w:rsid w:val="1CEB11B0"/>
    <w:rsid w:val="1CFE2984"/>
    <w:rsid w:val="28302C16"/>
    <w:rsid w:val="29E928DF"/>
    <w:rsid w:val="370C1231"/>
    <w:rsid w:val="4A5E657A"/>
    <w:rsid w:val="4D241354"/>
    <w:rsid w:val="53586A19"/>
    <w:rsid w:val="55182591"/>
    <w:rsid w:val="55C4407D"/>
    <w:rsid w:val="57B43C7D"/>
    <w:rsid w:val="62DE55FE"/>
    <w:rsid w:val="6ED95131"/>
    <w:rsid w:val="70B34A97"/>
    <w:rsid w:val="7A4D1FE3"/>
    <w:rsid w:val="7A6335B5"/>
    <w:rsid w:val="7EE2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2105</Words>
  <Characters>2520</Characters>
  <Lines>0</Lines>
  <Paragraphs>0</Paragraphs>
  <TotalTime>2</TotalTime>
  <ScaleCrop>false</ScaleCrop>
  <LinksUpToDate>false</LinksUpToDate>
  <CharactersWithSpaces>2564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2026-07-02T01:59:00Z</dcterms:created>
  <dc:creator>special.</dc:creator>
  <cp:lastModifiedBy>WPS_1659620716</cp:lastModifiedBy>
  <cp:lastPrinted>2026-07-07T07:51:00Z</cp:lastPrinted>
  <dcterms:modified xsi:type="dcterms:W3CDTF">2026-07-07T08:09:36Z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B19F8621C05E48DE957DAEAF060F0871_13</vt:lpwstr>
  </property>
  <property fmtid="{D5CDD505-2E9C-101B-9397-08002B2CF9AE}" pid="4" name="KSOTemplateDocerSaveRecord">
    <vt:lpwstr>eyJoZGlkIjoiYmFmMmMxOTAzYThlNDA1NDJkMTM4M2UyNmFlNDg1ZTEiLCJ1c2VySWQiOiIxMzkzOTQxMTE1In0=</vt:lpwstr>
  </property>
</Properties>
</file>