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版本号：HXCT-2026-025号20260719002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2026-2027学年校方责任保险服务采购项目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HXCT-2026-025号</w:t>
      </w:r>
      <w:r>
        <w:br/>
      </w:r>
      <w:r>
        <w:br/>
      </w:r>
      <w:r>
        <w:br/>
      </w:r>
    </w:p>
    <w:p>
      <w:pPr>
        <w:pStyle w:val="null3"/>
        <w:jc w:val="center"/>
        <w:outlineLvl w:val="2"/>
      </w:pPr>
      <w:r>
        <w:rPr>
          <w:rFonts w:ascii="仿宋_GB2312" w:hAnsi="仿宋_GB2312" w:cs="仿宋_GB2312" w:eastAsia="仿宋_GB2312"/>
          <w:sz w:val="28"/>
          <w:b/>
        </w:rPr>
        <w:t>韩城市教育体育局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韩城市教育体育局</w:t>
      </w:r>
      <w:r>
        <w:rPr>
          <w:rFonts w:ascii="仿宋_GB2312" w:hAnsi="仿宋_GB2312" w:cs="仿宋_GB2312" w:eastAsia="仿宋_GB2312"/>
        </w:rPr>
        <w:t>委托，拟对</w:t>
      </w:r>
      <w:r>
        <w:rPr>
          <w:rFonts w:ascii="仿宋_GB2312" w:hAnsi="仿宋_GB2312" w:cs="仿宋_GB2312" w:eastAsia="仿宋_GB2312"/>
        </w:rPr>
        <w:t>2026-2027学年校方责任保险服务采购项目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HXCT-2026-025号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2026-2027学年校方责任保险服务采购项目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2026-2027学年校方责任保险服务采购项目，面向全市学校统一投保，覆盖在校学生61685人、教职工5975人，采购一学年校方责任保险及配套服务。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资质证书：供应商必须具有国家金融监督管理总局（原银保监会、原保监会）核发的有效《经营保险业务许可证》或新版《金融许可证》，本项目仅允许有承保意愿的保险总公司或授权的一个分支机构参与投标；</w:t>
      </w:r>
    </w:p>
    <w:p>
      <w:pPr>
        <w:pStyle w:val="null3"/>
      </w:pPr>
      <w:r>
        <w:rPr>
          <w:rFonts w:ascii="仿宋_GB2312" w:hAnsi="仿宋_GB2312" w:cs="仿宋_GB2312" w:eastAsia="仿宋_GB2312"/>
        </w:rPr>
        <w:t>3、供应商授权合法的人员参加磋商全过程：法定代表人直接参加投标，须提交法定代表人身份证明书和身份证。法定代表人授权代表参加投标的，须出具法定代表人授权书和授权代表身份证及社保缴纳凭证（非法人单位的负责人均参照执行）；</w:t>
      </w:r>
    </w:p>
    <w:p>
      <w:pPr>
        <w:pStyle w:val="null3"/>
      </w:pPr>
      <w:r>
        <w:rPr>
          <w:rFonts w:ascii="仿宋_GB2312" w:hAnsi="仿宋_GB2312" w:cs="仿宋_GB2312" w:eastAsia="仿宋_GB2312"/>
        </w:rPr>
        <w:t>4、财务状况报告：提供注册会计师行业统一监管平台(网址http://acc.mof.gov.cn)赋码可查询的2025年度审计报告或开标前六个月内其基本账户开户银行出具的资信证明及基本存款账户开户许可证或基本存款账户信息；</w:t>
      </w:r>
    </w:p>
    <w:p>
      <w:pPr>
        <w:pStyle w:val="null3"/>
      </w:pPr>
      <w:r>
        <w:rPr>
          <w:rFonts w:ascii="仿宋_GB2312" w:hAnsi="仿宋_GB2312" w:cs="仿宋_GB2312" w:eastAsia="仿宋_GB2312"/>
        </w:rPr>
        <w:t>5、社会保障资金缴纳证明：供应商提供截止至开标时间前6个月内任一月份的缴费凭据或提供社保部门出具的社保证明，依法不需要缴纳社会保障资金的应提供相关文件证明；</w:t>
      </w:r>
    </w:p>
    <w:p>
      <w:pPr>
        <w:pStyle w:val="null3"/>
      </w:pPr>
      <w:r>
        <w:rPr>
          <w:rFonts w:ascii="仿宋_GB2312" w:hAnsi="仿宋_GB2312" w:cs="仿宋_GB2312" w:eastAsia="仿宋_GB2312"/>
        </w:rPr>
        <w:t>6、税收缴纳凭证：提供截止至开标时间前6个月内任一月份的缴费凭据或提供税务部门出具的纳税证明，依法免税的单位应提供相关证明材料；</w:t>
      </w:r>
    </w:p>
    <w:p>
      <w:pPr>
        <w:pStyle w:val="null3"/>
      </w:pPr>
      <w:r>
        <w:rPr>
          <w:rFonts w:ascii="仿宋_GB2312" w:hAnsi="仿宋_GB2312" w:cs="仿宋_GB2312" w:eastAsia="仿宋_GB2312"/>
        </w:rPr>
        <w:t>7、供应商信用：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8、承诺：提供具有履行合同所必需的设备和专业技术能力的承诺。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韩城市新城区太史大街政务服务大厅5楼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樊能栋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0913-5218500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韩城市西峙路与普照路十字德兴商务六楼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0913-5207458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采购包1：792,230.00元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发改价格〔2015〕299号，市场自主协商定价。参照《国家计委印发&lt;招标代理服务费收取管理暂行办法&gt;的通知》(计价格【2002】1980号)和发改委办公厅颁发的《关于招标代理服务费收费有关问题的通知》(发改价格2011]534号)规定的工程招标代理取费标准下浮10%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韩城市教育体育局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1.侵权责任：供方提供的保险条款、系统、方案、物料不得侵权第三方知识产权;一旦产生纠纷与赔偿，全部由中标供方负责，采购人概不担责。 2.项目新增成果归属：为本项目量身定制的承保方案、特别约定、理赔细则、定制系统文件等所有新增知识产权，所有权归采购人。 3.费用包干：如需使用第三方知识产权，相关授权费用全部包含在投标总价里，采购人不再另行付费。 4.违约处理：供方违约的，采购人可直接解约、扣罚保证金，并追偿全部损失。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联系人：田思</w:t>
      </w:r>
    </w:p>
    <w:p>
      <w:pPr>
        <w:pStyle w:val="null3"/>
      </w:pPr>
      <w:r>
        <w:rPr>
          <w:rFonts w:ascii="仿宋_GB2312" w:hAnsi="仿宋_GB2312" w:cs="仿宋_GB2312" w:eastAsia="仿宋_GB2312"/>
        </w:rPr>
        <w:t>联系电话：0913-5207458</w:t>
      </w:r>
    </w:p>
    <w:p>
      <w:pPr>
        <w:pStyle w:val="null3"/>
      </w:pPr>
      <w:r>
        <w:rPr>
          <w:rFonts w:ascii="仿宋_GB2312" w:hAnsi="仿宋_GB2312" w:cs="仿宋_GB2312" w:eastAsia="仿宋_GB2312"/>
        </w:rPr>
        <w:t>地址：韩城市西峙路与普照路十字德兴商务608室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2026-2027学年校方责任保险服务采购项目，面向全市学校统一投保，覆盖在校学生61685人、教职工5975人，采购一学年校方责任保险及配套服务。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792,230.00</w:t>
      </w:r>
    </w:p>
    <w:p>
      <w:pPr>
        <w:pStyle w:val="null3"/>
      </w:pPr>
      <w:r>
        <w:rPr>
          <w:rFonts w:ascii="仿宋_GB2312" w:hAnsi="仿宋_GB2312" w:cs="仿宋_GB2312" w:eastAsia="仿宋_GB2312"/>
        </w:rPr>
        <w:t>采购包最高限价（元）: 792,230.00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2026-2027学年校方责任保险服务采购项目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792,230.00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标的名称：2026-2027学年校方责任保险服务采购项目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一、中小学校（园）方责任险</w:t>
            </w:r>
          </w:p>
          <w:p>
            <w:pPr>
              <w:pStyle w:val="null3"/>
              <w:ind w:firstLine="400"/>
              <w:jc w:val="both"/>
            </w:pPr>
            <w:r>
              <w:rPr>
                <w:rFonts w:ascii="仿宋_GB2312" w:hAnsi="仿宋_GB2312" w:cs="仿宋_GB2312" w:eastAsia="仿宋_GB2312"/>
                <w:sz w:val="20"/>
              </w:rPr>
              <w:t>（一）保险方案</w:t>
            </w:r>
          </w:p>
          <w:tbl>
            <w:tblPr>
              <w:tblInd w:type="dxa" w:w="300"/>
              <w:tblBorders>
                <w:top w:val="none" w:color="000000" w:sz="4"/>
                <w:left w:val="none" w:color="000000" w:sz="4"/>
                <w:bottom w:val="none" w:color="000000" w:sz="4"/>
                <w:right w:val="none" w:color="000000" w:sz="4"/>
                <w:insideH w:val="none"/>
                <w:insideV w:val="none"/>
              </w:tblBorders>
            </w:tblPr>
            <w:tblGrid>
              <w:gridCol w:w="603"/>
              <w:gridCol w:w="484"/>
              <w:gridCol w:w="484"/>
              <w:gridCol w:w="484"/>
              <w:gridCol w:w="484"/>
            </w:tblGrid>
            <w:tr>
              <w:tc>
                <w:tcPr>
                  <w:tcW w:type="dxa" w:w="60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保险项目</w:t>
                  </w:r>
                </w:p>
              </w:tc>
              <w:tc>
                <w:tcPr>
                  <w:tcW w:type="dxa" w:w="48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每生每年赔偿限额（万元）</w:t>
                  </w:r>
                </w:p>
              </w:tc>
              <w:tc>
                <w:tcPr>
                  <w:tcW w:type="dxa" w:w="48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每校每次事故赔偿限额（万元）</w:t>
                  </w:r>
                </w:p>
              </w:tc>
              <w:tc>
                <w:tcPr>
                  <w:tcW w:type="dxa" w:w="48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每校每年累计赔偿限额（万元）</w:t>
                  </w:r>
                </w:p>
              </w:tc>
              <w:tc>
                <w:tcPr>
                  <w:tcW w:type="dxa" w:w="48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最高限价保费</w:t>
                  </w:r>
                </w:p>
              </w:tc>
            </w:tr>
            <w:tr>
              <w:tc>
                <w:tcPr>
                  <w:tcW w:type="dxa" w:w="6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校方责任保险</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≧40</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≧500</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≧1000</w:t>
                  </w:r>
                </w:p>
              </w:tc>
              <w:tc>
                <w:tcPr>
                  <w:tcW w:type="dxa" w:w="48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8元/生·学年</w:t>
                  </w:r>
                </w:p>
              </w:tc>
            </w:tr>
            <w:tr>
              <w:tc>
                <w:tcPr>
                  <w:tcW w:type="dxa" w:w="6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附加研学旅行保险</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≧40</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≧500</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≧1000</w:t>
                  </w:r>
                </w:p>
              </w:tc>
              <w:tc>
                <w:tcPr>
                  <w:tcW w:type="dxa" w:w="484"/>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附加境外活动责任保险</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≧40</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≧500</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≧1000</w:t>
                  </w:r>
                </w:p>
              </w:tc>
              <w:tc>
                <w:tcPr>
                  <w:tcW w:type="dxa" w:w="484"/>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附加无过失责任保险</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≧100</w:t>
                  </w:r>
                </w:p>
              </w:tc>
              <w:tc>
                <w:tcPr>
                  <w:tcW w:type="dxa" w:w="4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≧500</w:t>
                  </w:r>
                </w:p>
              </w:tc>
              <w:tc>
                <w:tcPr>
                  <w:tcW w:type="dxa" w:w="484"/>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（二）主险保险责任</w:t>
            </w:r>
          </w:p>
          <w:p>
            <w:pPr>
              <w:pStyle w:val="null3"/>
              <w:ind w:firstLine="400"/>
              <w:jc w:val="both"/>
            </w:pPr>
            <w:r>
              <w:rPr>
                <w:rFonts w:ascii="仿宋_GB2312" w:hAnsi="仿宋_GB2312" w:cs="仿宋_GB2312" w:eastAsia="仿宋_GB2312"/>
                <w:sz w:val="20"/>
              </w:rPr>
              <w:t>在保险期间内，被保险人在其校（园）内或由其统一组织并带领下的校（园）外活动中，因下列原因导致其注册学生、来自其他教育机构的交流学生或者借读生人身伤亡，依照中华人民共和国法律（港、澳、台地区除外）应由被保险人承担的经济赔偿责任，保险人按照本保险合同的约定负责赔偿：</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被保险人的校舍、场地、其他公共设施，以及提供给学生使用的学具、教育教学和生活设施、设备不符合国家规定的标准，或者有明显不安全因素；</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被保险人的安全保卫、消防、设施设备管理等安全管理制度有疏漏，或者管理混乱、存在安全隐患，而未及时采取措施；</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被保险人向学生提供的药品、食品、饮用水以及玩具、文具或者其他物品不符合国家、行业和被保险人所在地市的卫生、安全标准；</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被保险人组织学生参加教育教学活动或者校外活动，未按规定对学生进行必要的安全教育，并未在可预见的范围内采取必要的安全措施；</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被保险人的教师或者其他工作人员患有不适宜担任教学工作的疾病，但被保险人未采取必要措施；</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被保险人违反有关规定，组织或者安排未成年学生从事不宜未成年人参加的劳动、体育运动或者其他活动；</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学生有特异体质或特定疾病，不宜参加某种教学活动，被保险人知道或者应当知道，但未予以必要注意；</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学生在校期间突发疾病或者受到伤害，被保险人发现，但未根据实际情况及时采取相应措施，导致不良后果加重；</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教师或者其他工作人员在负有组织、管理未成年学生的职责期间，发现学生行为具有危险性，但未进行必要的管理、告诫或者制止；</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教师或者其他工作人员殴打、体罚或者变相体罚学生</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教师或者其他工作人员擅离工作岗位，不履行职责，或者虽在工作岗位但未履行职责，或者违反工作要求、操作规程或职业道德；</w:t>
            </w:r>
          </w:p>
          <w:p>
            <w:pPr>
              <w:pStyle w:val="null3"/>
              <w:ind w:firstLine="400"/>
              <w:jc w:val="both"/>
            </w:pPr>
            <w:r>
              <w:rPr>
                <w:rFonts w:ascii="仿宋_GB2312" w:hAnsi="仿宋_GB2312" w:cs="仿宋_GB2312" w:eastAsia="仿宋_GB2312"/>
                <w:sz w:val="20"/>
              </w:rPr>
              <w:t>12、</w:t>
            </w:r>
            <w:r>
              <w:rPr>
                <w:rFonts w:ascii="仿宋_GB2312" w:hAnsi="仿宋_GB2312" w:cs="仿宋_GB2312" w:eastAsia="仿宋_GB2312"/>
                <w:sz w:val="20"/>
              </w:rPr>
              <w:t>对未成年学生擅自离校等与学生人身安全直接相关的信息，被保险人发现或者知道，但未及时告知未成年学生的监护人，导致未成年学生因脱离监护人的保护而发生伤害；</w:t>
            </w:r>
          </w:p>
          <w:p>
            <w:pPr>
              <w:pStyle w:val="null3"/>
              <w:ind w:firstLine="400"/>
              <w:jc w:val="both"/>
            </w:pPr>
            <w:r>
              <w:rPr>
                <w:rFonts w:ascii="仿宋_GB2312" w:hAnsi="仿宋_GB2312" w:cs="仿宋_GB2312" w:eastAsia="仿宋_GB2312"/>
                <w:sz w:val="20"/>
              </w:rPr>
              <w:t>13、</w:t>
            </w:r>
            <w:r>
              <w:rPr>
                <w:rFonts w:ascii="仿宋_GB2312" w:hAnsi="仿宋_GB2312" w:cs="仿宋_GB2312" w:eastAsia="仿宋_GB2312"/>
                <w:sz w:val="20"/>
              </w:rPr>
              <w:t>被保险人知道或者应当知道学生患有传染性疾病，未采取必要的防范措施导致其他学生感染；</w:t>
            </w:r>
          </w:p>
          <w:p>
            <w:pPr>
              <w:pStyle w:val="null3"/>
              <w:ind w:firstLine="400"/>
              <w:jc w:val="both"/>
            </w:pPr>
            <w:r>
              <w:rPr>
                <w:rFonts w:ascii="仿宋_GB2312" w:hAnsi="仿宋_GB2312" w:cs="仿宋_GB2312" w:eastAsia="仿宋_GB2312"/>
                <w:sz w:val="20"/>
              </w:rPr>
              <w:t>14、</w:t>
            </w:r>
            <w:r>
              <w:rPr>
                <w:rFonts w:ascii="仿宋_GB2312" w:hAnsi="仿宋_GB2312" w:cs="仿宋_GB2312" w:eastAsia="仿宋_GB2312"/>
                <w:sz w:val="20"/>
              </w:rPr>
              <w:t>被保险人有未依法履行职责的其他情形。</w:t>
            </w:r>
          </w:p>
          <w:p>
            <w:pPr>
              <w:pStyle w:val="null3"/>
              <w:ind w:firstLine="400"/>
              <w:jc w:val="both"/>
            </w:pPr>
            <w:r>
              <w:rPr>
                <w:rFonts w:ascii="仿宋_GB2312" w:hAnsi="仿宋_GB2312" w:cs="仿宋_GB2312" w:eastAsia="仿宋_GB2312"/>
                <w:sz w:val="20"/>
              </w:rPr>
              <w:t>保险事故发生后，被保险人因保险事故而被提起仲裁或者诉讼的，对应由被保险人支付的仲裁或诉讼费用以及事先经保险人书面同意支付的其他必要的、合理的法律费用（以下简称法律费用），保险人按照本保险合同的约定负责赔偿。</w:t>
            </w:r>
          </w:p>
          <w:p>
            <w:pPr>
              <w:pStyle w:val="null3"/>
              <w:ind w:firstLine="400"/>
              <w:jc w:val="both"/>
            </w:pPr>
            <w:r>
              <w:rPr>
                <w:rFonts w:ascii="仿宋_GB2312" w:hAnsi="仿宋_GB2312" w:cs="仿宋_GB2312" w:eastAsia="仿宋_GB2312"/>
                <w:sz w:val="20"/>
              </w:rPr>
              <w:t>（三）附加险保险责任</w:t>
            </w:r>
          </w:p>
          <w:p>
            <w:pPr>
              <w:pStyle w:val="null3"/>
              <w:ind w:firstLine="400"/>
              <w:jc w:val="both"/>
            </w:pPr>
            <w:r>
              <w:rPr>
                <w:rFonts w:ascii="仿宋_GB2312" w:hAnsi="仿宋_GB2312" w:cs="仿宋_GB2312" w:eastAsia="仿宋_GB2312"/>
                <w:sz w:val="20"/>
              </w:rPr>
              <w:t>1、附加研学旅行责任保险条款：被保险人的注册学生、交流学生或借读生由被保险人安排或者经被保险人批准，通过集体旅行、集中食宿方式开展的研究性学习和旅行体验（以下简称研学旅行）的校外教育活动过程中，因发生意外事故导致人身伤亡，依照中华人民共和国法律（港、澳、台地区除外） 应由被保险人承担的经济赔偿责任，保险人按照本附加险合同约定负责赔偿。</w:t>
            </w:r>
          </w:p>
          <w:p>
            <w:pPr>
              <w:pStyle w:val="null3"/>
              <w:ind w:firstLine="400"/>
              <w:jc w:val="both"/>
            </w:pPr>
            <w:r>
              <w:rPr>
                <w:rFonts w:ascii="仿宋_GB2312" w:hAnsi="仿宋_GB2312" w:cs="仿宋_GB2312" w:eastAsia="仿宋_GB2312"/>
                <w:sz w:val="20"/>
              </w:rPr>
              <w:t>2、附加境外活动责任保险条款：被保险人的注册学生、交流学生或借读生经被保险人批准，参加由被保险人或被保险人认可的境外机构组织的学术交流、 参观访问、社会实践、教育培训等境外活动过程中，因发生意外事故导致人身伤亡，依照中华人民共和国法律（港、澳、台地区除外）应由被保险人承当的经济赔偿责任，保险人按照本附加险合同约定负责赔偿。</w:t>
            </w:r>
          </w:p>
          <w:p>
            <w:pPr>
              <w:pStyle w:val="null3"/>
              <w:ind w:firstLine="400"/>
              <w:jc w:val="both"/>
            </w:pPr>
            <w:r>
              <w:rPr>
                <w:rFonts w:ascii="仿宋_GB2312" w:hAnsi="仿宋_GB2312" w:cs="仿宋_GB2312" w:eastAsia="仿宋_GB2312"/>
                <w:sz w:val="20"/>
              </w:rPr>
              <w:t>3、附加无过失责任保险条款：因发生主险或其他附加险责任范围内的事故造成学生人身伤亡，尽管被保险人已经履行了相应职责、行为并无不当，但依据判决、裁决、司法调解或行政调解，被保险人仍需对受伤害学生给予经济补偿时，保险人按照本保险合同的约定负责赔偿。</w:t>
            </w:r>
          </w:p>
          <w:p>
            <w:pPr>
              <w:pStyle w:val="null3"/>
              <w:ind w:firstLine="400"/>
              <w:jc w:val="both"/>
            </w:pPr>
            <w:r>
              <w:rPr>
                <w:rFonts w:ascii="仿宋_GB2312" w:hAnsi="仿宋_GB2312" w:cs="仿宋_GB2312" w:eastAsia="仿宋_GB2312"/>
                <w:sz w:val="20"/>
              </w:rPr>
              <w:t>二、教职工校方责任险</w:t>
            </w:r>
          </w:p>
          <w:p>
            <w:pPr>
              <w:pStyle w:val="null3"/>
              <w:ind w:firstLine="400"/>
              <w:jc w:val="both"/>
            </w:pPr>
            <w:r>
              <w:rPr>
                <w:rFonts w:ascii="仿宋_GB2312" w:hAnsi="仿宋_GB2312" w:cs="仿宋_GB2312" w:eastAsia="仿宋_GB2312"/>
                <w:sz w:val="20"/>
              </w:rPr>
              <w:t>（一）保险方案</w:t>
            </w:r>
          </w:p>
          <w:tbl>
            <w:tblPr>
              <w:tblInd w:type="dxa" w:w="210"/>
              <w:tblBorders>
                <w:top w:val="none" w:color="000000" w:sz="4"/>
                <w:left w:val="none" w:color="000000" w:sz="4"/>
                <w:bottom w:val="none" w:color="000000" w:sz="4"/>
                <w:right w:val="none" w:color="000000" w:sz="4"/>
                <w:insideH w:val="none"/>
                <w:insideV w:val="none"/>
              </w:tblBorders>
            </w:tblPr>
            <w:tblGrid>
              <w:gridCol w:w="448"/>
              <w:gridCol w:w="419"/>
              <w:gridCol w:w="369"/>
              <w:gridCol w:w="434"/>
              <w:gridCol w:w="441"/>
              <w:gridCol w:w="441"/>
            </w:tblGrid>
            <w:tr>
              <w:tc>
                <w:tcPr>
                  <w:tcW w:type="dxa" w:w="44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每人伤亡责任</w:t>
                  </w:r>
                </w:p>
                <w:p>
                  <w:pPr>
                    <w:pStyle w:val="null3"/>
                    <w:jc w:val="center"/>
                  </w:pPr>
                  <w:r>
                    <w:rPr>
                      <w:rFonts w:ascii="仿宋_GB2312" w:hAnsi="仿宋_GB2312" w:cs="仿宋_GB2312" w:eastAsia="仿宋_GB2312"/>
                      <w:sz w:val="20"/>
                    </w:rPr>
                    <w:t>限额（万元）</w:t>
                  </w:r>
                </w:p>
              </w:tc>
              <w:tc>
                <w:tcPr>
                  <w:tcW w:type="dxa" w:w="41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每人医疗责任</w:t>
                  </w:r>
                </w:p>
                <w:p>
                  <w:pPr>
                    <w:pStyle w:val="null3"/>
                    <w:jc w:val="center"/>
                  </w:pPr>
                  <w:r>
                    <w:rPr>
                      <w:rFonts w:ascii="仿宋_GB2312" w:hAnsi="仿宋_GB2312" w:cs="仿宋_GB2312" w:eastAsia="仿宋_GB2312"/>
                      <w:sz w:val="20"/>
                    </w:rPr>
                    <w:t>限额（万元）</w:t>
                  </w:r>
                </w:p>
              </w:tc>
              <w:tc>
                <w:tcPr>
                  <w:tcW w:type="dxa" w:w="3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法律费用</w:t>
                  </w:r>
                </w:p>
                <w:p>
                  <w:pPr>
                    <w:pStyle w:val="null3"/>
                    <w:jc w:val="center"/>
                  </w:pPr>
                  <w:r>
                    <w:rPr>
                      <w:rFonts w:ascii="仿宋_GB2312" w:hAnsi="仿宋_GB2312" w:cs="仿宋_GB2312" w:eastAsia="仿宋_GB2312"/>
                      <w:sz w:val="20"/>
                    </w:rPr>
                    <w:t>限额（万元）</w:t>
                  </w:r>
                </w:p>
              </w:tc>
              <w:tc>
                <w:tcPr>
                  <w:tcW w:type="dxa" w:w="43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每次事故责任</w:t>
                  </w:r>
                </w:p>
                <w:p>
                  <w:pPr>
                    <w:pStyle w:val="null3"/>
                    <w:jc w:val="center"/>
                  </w:pPr>
                  <w:r>
                    <w:rPr>
                      <w:rFonts w:ascii="仿宋_GB2312" w:hAnsi="仿宋_GB2312" w:cs="仿宋_GB2312" w:eastAsia="仿宋_GB2312"/>
                      <w:sz w:val="20"/>
                    </w:rPr>
                    <w:t>限额（万元）</w:t>
                  </w:r>
                </w:p>
              </w:tc>
              <w:tc>
                <w:tcPr>
                  <w:tcW w:type="dxa" w:w="44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累计责任限额</w:t>
                  </w:r>
                </w:p>
                <w:p>
                  <w:pPr>
                    <w:pStyle w:val="null3"/>
                    <w:jc w:val="center"/>
                  </w:pPr>
                  <w:r>
                    <w:rPr>
                      <w:rFonts w:ascii="仿宋_GB2312" w:hAnsi="仿宋_GB2312" w:cs="仿宋_GB2312" w:eastAsia="仿宋_GB2312"/>
                      <w:sz w:val="20"/>
                    </w:rPr>
                    <w:t>（万元）</w:t>
                  </w:r>
                </w:p>
              </w:tc>
              <w:tc>
                <w:tcPr>
                  <w:tcW w:type="dxa" w:w="44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最高限价保费</w:t>
                  </w:r>
                </w:p>
              </w:tc>
            </w:tr>
            <w:tr>
              <w:tc>
                <w:tcPr>
                  <w:tcW w:type="dxa" w:w="4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00"/>
                    <w:jc w:val="both"/>
                  </w:pPr>
                  <w:r>
                    <w:rPr>
                      <w:rFonts w:ascii="仿宋_GB2312" w:hAnsi="仿宋_GB2312" w:cs="仿宋_GB2312" w:eastAsia="仿宋_GB2312"/>
                      <w:sz w:val="20"/>
                    </w:rPr>
                    <w:t>≧40</w:t>
                  </w:r>
                </w:p>
              </w:tc>
              <w:tc>
                <w:tcPr>
                  <w:tcW w:type="dxa" w:w="4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00"/>
                    <w:jc w:val="both"/>
                  </w:pPr>
                  <w:r>
                    <w:rPr>
                      <w:rFonts w:ascii="仿宋_GB2312" w:hAnsi="仿宋_GB2312" w:cs="仿宋_GB2312" w:eastAsia="仿宋_GB2312"/>
                      <w:sz w:val="20"/>
                    </w:rPr>
                    <w:t xml:space="preserve"> ≧4</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00"/>
                    <w:jc w:val="both"/>
                  </w:pPr>
                  <w:r>
                    <w:rPr>
                      <w:rFonts w:ascii="仿宋_GB2312" w:hAnsi="仿宋_GB2312" w:cs="仿宋_GB2312" w:eastAsia="仿宋_GB2312"/>
                      <w:sz w:val="20"/>
                    </w:rPr>
                    <w:t>≧50</w:t>
                  </w:r>
                </w:p>
              </w:tc>
              <w:tc>
                <w:tcPr>
                  <w:tcW w:type="dxa" w:w="4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00"/>
                    <w:jc w:val="both"/>
                  </w:pPr>
                  <w:r>
                    <w:rPr>
                      <w:rFonts w:ascii="仿宋_GB2312" w:hAnsi="仿宋_GB2312" w:cs="仿宋_GB2312" w:eastAsia="仿宋_GB2312"/>
                      <w:sz w:val="20"/>
                    </w:rPr>
                    <w:t>≧300</w:t>
                  </w:r>
                </w:p>
              </w:tc>
              <w:tc>
                <w:tcPr>
                  <w:tcW w:type="dxa" w:w="4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00"/>
                    <w:jc w:val="both"/>
                  </w:pPr>
                  <w:r>
                    <w:rPr>
                      <w:rFonts w:ascii="仿宋_GB2312" w:hAnsi="仿宋_GB2312" w:cs="仿宋_GB2312" w:eastAsia="仿宋_GB2312"/>
                      <w:sz w:val="20"/>
                    </w:rPr>
                    <w:t>≧2000</w:t>
                  </w:r>
                </w:p>
              </w:tc>
              <w:tc>
                <w:tcPr>
                  <w:tcW w:type="dxa" w:w="4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00"/>
                    <w:jc w:val="both"/>
                  </w:pPr>
                  <w:r>
                    <w:rPr>
                      <w:rFonts w:ascii="仿宋_GB2312" w:hAnsi="仿宋_GB2312" w:cs="仿宋_GB2312" w:eastAsia="仿宋_GB2312"/>
                      <w:sz w:val="20"/>
                    </w:rPr>
                    <w:t>50元/人·学年</w:t>
                  </w:r>
                </w:p>
              </w:tc>
            </w:tr>
          </w:tbl>
          <w:p>
            <w:pPr>
              <w:pStyle w:val="null3"/>
              <w:ind w:firstLine="400"/>
              <w:jc w:val="both"/>
            </w:pPr>
            <w:r>
              <w:rPr>
                <w:rFonts w:ascii="仿宋_GB2312" w:hAnsi="仿宋_GB2312" w:cs="仿宋_GB2312" w:eastAsia="仿宋_GB2312"/>
                <w:sz w:val="20"/>
              </w:rPr>
              <w:t>（二）保险责任</w:t>
            </w:r>
          </w:p>
          <w:p>
            <w:pPr>
              <w:pStyle w:val="null3"/>
              <w:ind w:firstLine="400"/>
              <w:jc w:val="both"/>
            </w:pPr>
            <w:r>
              <w:rPr>
                <w:rFonts w:ascii="仿宋_GB2312" w:hAnsi="仿宋_GB2312" w:cs="仿宋_GB2312" w:eastAsia="仿宋_GB2312"/>
                <w:sz w:val="20"/>
              </w:rPr>
              <w:t>1、在工作时间和工作场所内，因工作原因受到事故伤害；</w:t>
            </w:r>
          </w:p>
          <w:p>
            <w:pPr>
              <w:pStyle w:val="null3"/>
              <w:ind w:firstLine="400"/>
              <w:jc w:val="both"/>
            </w:pPr>
            <w:r>
              <w:rPr>
                <w:rFonts w:ascii="仿宋_GB2312" w:hAnsi="仿宋_GB2312" w:cs="仿宋_GB2312" w:eastAsia="仿宋_GB2312"/>
                <w:sz w:val="20"/>
              </w:rPr>
              <w:t>2、工作时间前后在工作场所内，从事与工作有关的预备性或者收尾性工作受到事故伤害；</w:t>
            </w:r>
          </w:p>
          <w:p>
            <w:pPr>
              <w:pStyle w:val="null3"/>
              <w:ind w:firstLine="400"/>
              <w:jc w:val="both"/>
            </w:pPr>
            <w:r>
              <w:rPr>
                <w:rFonts w:ascii="仿宋_GB2312" w:hAnsi="仿宋_GB2312" w:cs="仿宋_GB2312" w:eastAsia="仿宋_GB2312"/>
                <w:sz w:val="20"/>
              </w:rPr>
              <w:t>3、在工作时间和工作场所内，因履行工作职责受到暴力等意外伤害；</w:t>
            </w:r>
          </w:p>
          <w:p>
            <w:pPr>
              <w:pStyle w:val="null3"/>
              <w:ind w:firstLine="400"/>
              <w:jc w:val="both"/>
            </w:pPr>
            <w:r>
              <w:rPr>
                <w:rFonts w:ascii="仿宋_GB2312" w:hAnsi="仿宋_GB2312" w:cs="仿宋_GB2312" w:eastAsia="仿宋_GB2312"/>
                <w:sz w:val="20"/>
              </w:rPr>
              <w:t>4、因工外出期间，由于工作原因受到伤害或者发生事故下落不明；</w:t>
            </w:r>
          </w:p>
          <w:p>
            <w:pPr>
              <w:pStyle w:val="null3"/>
              <w:ind w:firstLine="400"/>
              <w:jc w:val="both"/>
            </w:pPr>
            <w:r>
              <w:rPr>
                <w:rFonts w:ascii="仿宋_GB2312" w:hAnsi="仿宋_GB2312" w:cs="仿宋_GB2312" w:eastAsia="仿宋_GB2312"/>
                <w:sz w:val="20"/>
              </w:rPr>
              <w:t>5、在上下班途中，受到非本人主要责任的交通事故或者城市轨道交通、客运轮渡、火车事故伤害；</w:t>
            </w:r>
          </w:p>
          <w:p>
            <w:pPr>
              <w:pStyle w:val="null3"/>
              <w:ind w:firstLine="400"/>
              <w:jc w:val="both"/>
            </w:pPr>
            <w:r>
              <w:rPr>
                <w:rFonts w:ascii="仿宋_GB2312" w:hAnsi="仿宋_GB2312" w:cs="仿宋_GB2312" w:eastAsia="仿宋_GB2312"/>
                <w:sz w:val="20"/>
              </w:rPr>
              <w:t>6、在工作时间和工作岗位，突发疾病死亡或者在48小时之内经抢救无效死亡；</w:t>
            </w:r>
          </w:p>
          <w:p>
            <w:pPr>
              <w:pStyle w:val="null3"/>
              <w:ind w:firstLine="400"/>
              <w:jc w:val="both"/>
            </w:pPr>
            <w:r>
              <w:rPr>
                <w:rFonts w:ascii="仿宋_GB2312" w:hAnsi="仿宋_GB2312" w:cs="仿宋_GB2312" w:eastAsia="仿宋_GB2312"/>
                <w:sz w:val="20"/>
              </w:rPr>
              <w:t>7、在抢险救灾等维护国家利益、公共利益活动中受到伤害；</w:t>
            </w:r>
          </w:p>
          <w:p>
            <w:pPr>
              <w:pStyle w:val="null3"/>
              <w:ind w:firstLine="400"/>
              <w:jc w:val="both"/>
            </w:pPr>
            <w:r>
              <w:rPr>
                <w:rFonts w:ascii="仿宋_GB2312" w:hAnsi="仿宋_GB2312" w:cs="仿宋_GB2312" w:eastAsia="仿宋_GB2312"/>
                <w:sz w:val="20"/>
              </w:rPr>
              <w:t>8、原在军队服役，因战、因公负伤致残，已取得革命伤残军人证，到用人单位后旧伤复发；</w:t>
            </w:r>
          </w:p>
          <w:p>
            <w:pPr>
              <w:pStyle w:val="null3"/>
            </w:pPr>
            <w:r>
              <w:rPr>
                <w:rFonts w:ascii="仿宋_GB2312" w:hAnsi="仿宋_GB2312" w:cs="仿宋_GB2312" w:eastAsia="仿宋_GB2312"/>
                <w:sz w:val="20"/>
              </w:rPr>
              <w:t>9、法律、行政法规规定应当认定为工伤的其他情形。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乙方应根据本项目校方责任险采购及管理细则服务要求，制定详实、精确、可落地的专项服务标准与理赔服务规范，经甲方审定通过后严格遵照实施，全面实现校方责任险承保、理赔、风控、应急服务标准化、常态化、规范化管理。 2. 对于甲方及各学校日常管理、安全检查、专项排查、事故处置、迎检审计、应急保障等临时性、突发性、机动性工作任务，乙方驻场及专项服务工作人员须无条件全力配合、服从甲方统一指派与调度，不得推诿、拖延、拒绝。</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项目完成后，乙方准备验收资料，向甲方提出验收申请，甲方组织相关人员进行验收。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本合同在履行中如发生争议，双方应协商解决，协商不成时，可以依法向人民法院起诉。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成交供应商在领取成交通知书时提供一正两副纸质磋商响应文件。装订：纸质响应文件采用书籍（胶装）方式装订成册，与电子响应文件一致的签字、盖章的完整版本。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注册会计师行业统一监管平台(网址http://acc.mof.gov.cn)赋码可查询的2025年度审计报告或开标前六个月内其基本账户开户银行出具的资信证明及基本存款账户开户许可证或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供应商必须具有国家金融监督管理总局（原银保监会、原保监会）核发的有效《经营保险业务许可证》或新版《金融许可证》，本项目仅允许有承保意愿的保险总公司或授权的一个分支机构参与投标；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法定代表人直接参加投标，须提交法定代表人身份证明书和身份证。法定代表人授权代表参加投标的，须出具法定代表人授权书和授权代表身份证及社保缴纳凭证（非法人单位的负责人均参照执行）；</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提供注册会计师行业统一监管平台(网址http://acc.mof.gov.cn)赋码可查询的2025年度审计报告或开标前六个月内其基本账户开户银行出具的资信证明及基本存款账户开户许可证或基本存款账户信息；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供应商提供截止至开标时间前6个月内任一月份的缴费凭据或提供社保部门出具的社保证明，依法不需要缴纳社会保障资金的应提供相关文件证明；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提供截止至开标时间前6个月内任一月份的缴费凭据或提供税务部门出具的纳税证明，依法免税的单位应提供相关证明材料；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均按采购文件要求签字、盖章</w:t>
            </w:r>
          </w:p>
        </w:tc>
        <w:tc>
          <w:tcPr>
            <w:tcW w:type="dxa" w:w="1661"/>
          </w:tcPr>
          <w:p>
            <w:pPr>
              <w:pStyle w:val="null3"/>
            </w:pPr>
            <w:r>
              <w:rPr>
                <w:rFonts w:ascii="仿宋_GB2312" w:hAnsi="仿宋_GB2312" w:cs="仿宋_GB2312" w:eastAsia="仿宋_GB2312"/>
              </w:rPr>
              <w:t>报价一览表.docx 投标方案.docx 中小企业声明函 商务应答表 供应商声明.docx 服务内容及服务要求应答表 报价表 响应文件封面 投标人应提交的相关资格证明材料.docx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报价要求</w:t>
            </w:r>
          </w:p>
        </w:tc>
        <w:tc>
          <w:tcPr>
            <w:tcW w:type="dxa" w:w="3322"/>
          </w:tcPr>
          <w:p>
            <w:pPr>
              <w:pStyle w:val="null3"/>
            </w:pPr>
            <w:r>
              <w:rPr>
                <w:rFonts w:ascii="仿宋_GB2312" w:hAnsi="仿宋_GB2312" w:cs="仿宋_GB2312" w:eastAsia="仿宋_GB2312"/>
              </w:rPr>
              <w:t>只能有一个有效报价，不得提交选择性报价，且报价不超过采购文件规定的预算或最高限价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保额</w:t>
            </w:r>
          </w:p>
        </w:tc>
        <w:tc>
          <w:tcPr>
            <w:tcW w:type="dxa" w:w="2492"/>
          </w:tcPr>
          <w:p>
            <w:pPr>
              <w:pStyle w:val="null3"/>
            </w:pPr>
            <w:r>
              <w:rPr>
                <w:rFonts w:ascii="仿宋_GB2312" w:hAnsi="仿宋_GB2312" w:cs="仿宋_GB2312" w:eastAsia="仿宋_GB2312"/>
              </w:rPr>
              <w:t>1、中小学校(园)方责任险（11分）：①校方责任保险（基本保额/生/学年40万元）：每增加2万元得0.8分，最高得4分；②附加研学旅行保险（基本保额40万元/生/学年）：每增加2万元得0.6分，最高得3分；③附加境外活动责任保险（基本保额40万元/生/学年）：每增加2万元得0.5分，最高得2.5分；④附加无过失责任保险（基本保额10万元/生/学年）：每增加2万元得0.5分，最高得1.5分；2、教职工校方责任险（4分）：①伤亡责任保险（基本保额40万元/人/学年）：每增加1万元得0.6分，最高得3分；②医疗责任保险（基本保额4万元/人/学年）：每增加0.5万元得0.5分，最高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项目整体服务方案适配性：结合中小学校（园）办学特点，针对教职工责任险，中小学生学校（园）方责任险，制定完整、贴合校园场景的保险服务方案，包含①承保服务和理赔服务方案②理赔时效方案③对被保险人提供理赔材料有欠缺的协助处理方案④服务流程方案⑤保额方案⑥保密服务方案。以上内容综合描述详细合理，措施科学、合理、完善可行，有很强的针对性和可操作性、完全能够根据实际需求保证项目质量的,得12分；每缺一项内容扣2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2、根据竞争性磋商文件要求，保障范围全面，包含①校园日常教学、活动、课间②研学旅行保③境外活动责任保险④无过失责任保险。以上内容综合描述详细合理，措施科学、合理、完善可行，有很强的针对性和可操作性、完全能够根据实际需求保证项目质量的,得12分；每缺一项内容扣3分，若上述内容存在缺陷，每出现一处缺陷扣1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3、结合本项目实际需求，对本项目的分析及理解包含①项目背景、目标及定位②国家相关领域政策及标准③本项目需求分析及理解。以上内容综合描述详细合理，措施科学、合理、完善可行，有很强的针对性和可操作性、完全能够根据实际需求保证项目质量的,得6分；每缺一项内容扣2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详细评审</w:t>
            </w:r>
          </w:p>
        </w:tc>
        <w:tc>
          <w:tcPr>
            <w:tcW w:type="dxa" w:w="2492"/>
          </w:tcPr>
          <w:p>
            <w:pPr>
              <w:pStyle w:val="null3"/>
            </w:pPr>
            <w:r>
              <w:rPr>
                <w:rFonts w:ascii="仿宋_GB2312" w:hAnsi="仿宋_GB2312" w:cs="仿宋_GB2312" w:eastAsia="仿宋_GB2312"/>
              </w:rPr>
              <w:t>1.项目负责人（4分）：①具备本科及以上学历，提供学历证明得2分，未提供不得分。②项目负责人具备5年以上校园保险服务经验，提供单位盖章证明文件得2分，未提供不得分。备注：项目负责人需提供开标前六个月内连续三个月的社保缴纳凭证，未提供此项不得分。 2.其他人员（4分）：包括专属客户经理、专职理赔人员、法务调节、风控安全，提供完整的得4分，缺少1人扣1分。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商务综合实力</w:t>
            </w:r>
          </w:p>
        </w:tc>
        <w:tc>
          <w:tcPr>
            <w:tcW w:type="dxa" w:w="2492"/>
          </w:tcPr>
          <w:p>
            <w:pPr>
              <w:pStyle w:val="null3"/>
            </w:pPr>
            <w:r>
              <w:rPr>
                <w:rFonts w:ascii="仿宋_GB2312" w:hAnsi="仿宋_GB2312" w:cs="仿宋_GB2312" w:eastAsia="仿宋_GB2312"/>
              </w:rPr>
              <w:t>1、偿付能力：供应商提供完整最新季度偿付能力报告，综合偿付能力充足率≥200%、风险评级A类及以上得10分；偿付能力充足率 150%-199%，风险评级A得6分；偿付能力充足率 100%-149%，无监管负面记录得3分；无法提供当期偿付能力报告、风险评级B及以下不得分。佐证资料：银保监会公示偿付能力报告或保险行业协会网站公布的总公司偿付能力报告复印件加盖公章；2、同类项目业绩：近三年（2023年1月1日至磋商响应文件截止时间）供应商曾参与过类似服务项目的业绩的情况，须提供合同复印件或正式保单等证明材料（所提供的合同可以不牵涉到金额等相关商业机密信息，但必须提供合同双方签署页及合同签署双方的完整信息进行评审）。每提供一个有效业绩证明材料得1分，最高5分。3、荣誉资质：①保险行业服务星级荣誉②ISO风险管理体系认证，最高4分；满足一项的得2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供应商针对本项目应对突发事件的处理方案，包括以下内容：①响应时效②应急处置流程③应急档案管理④应急保障物资与人员储备，以上内容综合描述详细合理，措施科学、合理、完善可行，有很强的针对性和可操作性、完全能够根据实际需求保证项目质量的得8分；每缺一项内容扣2分，若上述内容存在缺陷，每出现一处缺陷扣1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其他服务与优惠</w:t>
            </w:r>
          </w:p>
        </w:tc>
        <w:tc>
          <w:tcPr>
            <w:tcW w:type="dxa" w:w="2492"/>
          </w:tcPr>
          <w:p>
            <w:pPr>
              <w:pStyle w:val="null3"/>
            </w:pPr>
            <w:r>
              <w:rPr>
                <w:rFonts w:ascii="仿宋_GB2312" w:hAnsi="仿宋_GB2312" w:cs="仿宋_GB2312" w:eastAsia="仿宋_GB2312"/>
              </w:rPr>
              <w:t>其他增值服务：在满足本项目必备险种且保费不变的基础上，每新增1项保险项目（赔付内容清晰、赔付限额明确）得1分，最高得10分。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满足竞争性磋商文件投标报价最低为评标基准价，其报价分为满分。其他投标供应商的报价分值统一按照下列公式计算：投标报价得分=（评标基准价/投标报价）×价格权值x100。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