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版本号：SXZCZB2026-ZCCS-084120260902001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山阳第二初级中学改造项目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SXZCZB2026-ZCCS-0841</w:t>
      </w:r>
      <w:r>
        <w:br/>
      </w:r>
      <w:r>
        <w:br/>
      </w:r>
      <w:r>
        <w:br/>
      </w:r>
    </w:p>
    <w:p>
      <w:pPr>
        <w:pStyle w:val="null3"/>
        <w:jc w:val="center"/>
        <w:outlineLvl w:val="2"/>
      </w:pPr>
      <w:r>
        <w:rPr>
          <w:rFonts w:ascii="仿宋_GB2312" w:hAnsi="仿宋_GB2312" w:cs="仿宋_GB2312" w:eastAsia="仿宋_GB2312"/>
          <w:sz w:val="28"/>
          <w:b/>
        </w:rPr>
        <w:t>山阳县第二初级中学</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山阳县第二初级中学</w:t>
      </w:r>
      <w:r>
        <w:rPr>
          <w:rFonts w:ascii="仿宋_GB2312" w:hAnsi="仿宋_GB2312" w:cs="仿宋_GB2312" w:eastAsia="仿宋_GB2312"/>
        </w:rPr>
        <w:t>委托，拟对</w:t>
      </w:r>
      <w:r>
        <w:rPr>
          <w:rFonts w:ascii="仿宋_GB2312" w:hAnsi="仿宋_GB2312" w:cs="仿宋_GB2312" w:eastAsia="仿宋_GB2312"/>
        </w:rPr>
        <w:t>山阳第二初级中学改造项目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SXZCZB2026-ZCCS-0841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山阳第二初级中学改造项目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山阳第二初级中学改造项目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采购包1（山阳第二初级中学改造项目）：属于专门面向中小企业采购。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1、营业执照等主体资格证明⽂件：提供合格有效的法人或者其他组织的营业执照等证明文件，自然人的身份证明；</w:t>
      </w:r>
    </w:p>
    <w:p>
      <w:pPr>
        <w:pStyle w:val="null3"/>
      </w:pPr>
      <w:r>
        <w:rPr>
          <w:rFonts w:ascii="仿宋_GB2312" w:hAnsi="仿宋_GB2312" w:cs="仿宋_GB2312" w:eastAsia="仿宋_GB2312"/>
        </w:rPr>
        <w:t>2、法定代表⼈委托书：提供法定代表人授权书(附法定代表人、被授权人身份证复印件及授权代表本单位证明(养老保险缴纳证明)，(法定代表人直接参加投标，须提供法定代表人身份证明及身份证复印件)；</w:t>
      </w:r>
    </w:p>
    <w:p>
      <w:pPr>
        <w:pStyle w:val="null3"/>
      </w:pPr>
      <w:r>
        <w:rPr>
          <w:rFonts w:ascii="仿宋_GB2312" w:hAnsi="仿宋_GB2312" w:cs="仿宋_GB2312" w:eastAsia="仿宋_GB2312"/>
        </w:rPr>
        <w:t>3、财务状况：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4、税收缴纳证明：提供递交磋商响应文件截止日前一年内已缴纳的至少一个月的纳税证明或完税证明（任意税种），依法免税的单位应提供相关证明材料；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6、企业资质：供应商须具备【建筑工程施工总承包三级】及以上资质或【建筑装修装饰工程专业承包二级】及以上资质，并提供有效的安全生产许可证；</w:t>
      </w:r>
    </w:p>
    <w:p>
      <w:pPr>
        <w:pStyle w:val="null3"/>
      </w:pPr>
      <w:r>
        <w:rPr>
          <w:rFonts w:ascii="仿宋_GB2312" w:hAnsi="仿宋_GB2312" w:cs="仿宋_GB2312" w:eastAsia="仿宋_GB2312"/>
        </w:rPr>
        <w:t>7、项目经理：供应商拟派项目经理须具备建筑工程专业二级及以上注册建造师资质、具有安全生产考核合格证（B证），且无在建工程（提供无在建承诺书）；</w:t>
      </w:r>
    </w:p>
    <w:p>
      <w:pPr>
        <w:pStyle w:val="null3"/>
      </w:pPr>
      <w:r>
        <w:rPr>
          <w:rFonts w:ascii="仿宋_GB2312" w:hAnsi="仿宋_GB2312" w:cs="仿宋_GB2312" w:eastAsia="仿宋_GB2312"/>
        </w:rPr>
        <w:t>8、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9、⽆重⼤违法声明：参加政府采购活动前3年内，在经营活动中没有重大违法记录的书面声明；</w:t>
      </w:r>
    </w:p>
    <w:p>
      <w:pPr>
        <w:pStyle w:val="null3"/>
      </w:pPr>
      <w:r>
        <w:rPr>
          <w:rFonts w:ascii="仿宋_GB2312" w:hAnsi="仿宋_GB2312" w:cs="仿宋_GB2312" w:eastAsia="仿宋_GB2312"/>
        </w:rPr>
        <w:t>10、专业技术能⼒承诺：提供具有履行合同所必需的设备和专业技术能力的书面承诺；</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13、⾮联合体投标：本项目不接受联合体投标（提供承诺书）。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山阳县第二初级中学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山阳县城关街道卜吉沟社区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726499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13991562318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康乐、常瑛、孙洋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山阳县财政局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王虎、樊文静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0914--8322477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采购包1：1,074,794.02元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办法》（计价格〔2002〕1980号）及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山阳县第二初级中学</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山阳县第二初级中学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山阳县第二初级中学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1,074,794.02</w:t>
      </w:r>
    </w:p>
    <w:p>
      <w:pPr>
        <w:pStyle w:val="null3"/>
      </w:pPr>
      <w:r>
        <w:rPr>
          <w:rFonts w:ascii="仿宋_GB2312" w:hAnsi="仿宋_GB2312" w:cs="仿宋_GB2312" w:eastAsia="仿宋_GB2312"/>
        </w:rPr>
        <w:t>采购包最高限价（元）: 1,074,794.02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1074794.02</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1,074,794.02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标的名称：1074794.02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一、工程概况</w:t>
            </w:r>
          </w:p>
          <w:p>
            <w:pPr>
              <w:pStyle w:val="null3"/>
              <w:ind w:firstLine="560"/>
              <w:jc w:val="both"/>
            </w:pPr>
            <w:r>
              <w:rPr>
                <w:rFonts w:ascii="仿宋_GB2312" w:hAnsi="仿宋_GB2312" w:cs="仿宋_GB2312" w:eastAsia="仿宋_GB2312"/>
                <w:sz w:val="28"/>
              </w:rPr>
              <w:t>本工程为山阳县第二初级中学改造项目，具体改造内容为教学楼的一层室外合阶及无障碍坡道改为花岗岩板面层，载学楼三楼的</w:t>
            </w:r>
            <w:r>
              <w:rPr>
                <w:rFonts w:ascii="仿宋_GB2312" w:hAnsi="仿宋_GB2312" w:cs="仿宋_GB2312" w:eastAsia="仿宋_GB2312"/>
                <w:sz w:val="28"/>
              </w:rPr>
              <w:t>8个教室内墙面和顶相重刷乳胶炼、楼面改为自流平环氧砂浆楼面，部室楼(琢玉阁)西侧的一层外挑走廊结构梁下部砌筑墙体、铲除原外墙部位的外墙饰面层及抹灰层材料,并重喷真石漆，修复教学楼及其他工程的外墙真石漆局部有凹陷破损的部位，部室楼(琢玉阁)屋面重做防水，学校大门外侧与城市道路街接部位的室外路面改为沥青地面，学校大门内侧拆除局部花坛绿化、围墙、车棚及教师餐厅(活动板房)等项目,并硬化拆除后的场地地面，场地局部地面硬化,清理并外运场地内的建筑垃圾。</w:t>
            </w:r>
          </w:p>
          <w:p>
            <w:pPr>
              <w:pStyle w:val="null3"/>
              <w:ind w:firstLine="560"/>
              <w:jc w:val="both"/>
            </w:pPr>
            <w:r>
              <w:rPr>
                <w:rFonts w:ascii="仿宋_GB2312" w:hAnsi="仿宋_GB2312" w:cs="仿宋_GB2312" w:eastAsia="仿宋_GB2312"/>
                <w:sz w:val="28"/>
              </w:rPr>
              <w:t>二、编制范围</w:t>
            </w:r>
          </w:p>
          <w:p>
            <w:pPr>
              <w:pStyle w:val="null3"/>
              <w:ind w:firstLine="560"/>
              <w:jc w:val="both"/>
            </w:pPr>
            <w:r>
              <w:rPr>
                <w:rFonts w:ascii="仿宋_GB2312" w:hAnsi="仿宋_GB2312" w:cs="仿宋_GB2312" w:eastAsia="仿宋_GB2312"/>
                <w:sz w:val="28"/>
              </w:rPr>
              <w:t>山阳县第二初级中学改造项目（详见工程量清单）</w:t>
            </w:r>
          </w:p>
          <w:p>
            <w:pPr>
              <w:pStyle w:val="null3"/>
              <w:ind w:firstLine="560"/>
              <w:jc w:val="both"/>
            </w:pPr>
            <w:r>
              <w:rPr>
                <w:rFonts w:ascii="仿宋_GB2312" w:hAnsi="仿宋_GB2312" w:cs="仿宋_GB2312" w:eastAsia="仿宋_GB2312"/>
                <w:sz w:val="28"/>
              </w:rPr>
              <w:t>三、编制依据</w:t>
            </w:r>
          </w:p>
          <w:p>
            <w:pPr>
              <w:pStyle w:val="null3"/>
              <w:ind w:firstLine="560"/>
              <w:jc w:val="both"/>
            </w:pPr>
            <w:r>
              <w:rPr>
                <w:rFonts w:ascii="仿宋_GB2312" w:hAnsi="仿宋_GB2312" w:cs="仿宋_GB2312" w:eastAsia="仿宋_GB2312"/>
                <w:sz w:val="28"/>
              </w:rPr>
              <w:t>（一）山阳县第二初级中学改造项目工程施工图。</w:t>
            </w:r>
          </w:p>
          <w:p>
            <w:pPr>
              <w:pStyle w:val="null3"/>
              <w:ind w:firstLine="560"/>
              <w:jc w:val="both"/>
            </w:pPr>
            <w:r>
              <w:rPr>
                <w:rFonts w:ascii="仿宋_GB2312" w:hAnsi="仿宋_GB2312" w:cs="仿宋_GB2312" w:eastAsia="仿宋_GB2312"/>
                <w:sz w:val="28"/>
              </w:rPr>
              <w:t>（二）《陕西省建设工程费用规则（</w:t>
            </w:r>
            <w:r>
              <w:rPr>
                <w:rFonts w:ascii="仿宋_GB2312" w:hAnsi="仿宋_GB2312" w:cs="仿宋_GB2312" w:eastAsia="仿宋_GB2312"/>
                <w:sz w:val="28"/>
              </w:rPr>
              <w:t>2025）》《陕西省房屋建筑与装饰工程工程量计算标准（2025）》、《陕西省建建设工程工程量清单计价标准（2025）》、《陕西省房屋建筑与装饰工程消耗量定额（2025）》、《陕西省房屋建筑与装饰工程基价表（2025）》、《施工机械台班费用定额（2025）》、《仪器仪表台班费用定额（2025）及其他相关计价依据和办法。</w:t>
            </w:r>
          </w:p>
          <w:p>
            <w:pPr>
              <w:pStyle w:val="null3"/>
              <w:ind w:firstLine="560"/>
              <w:jc w:val="both"/>
            </w:pPr>
            <w:r>
              <w:rPr>
                <w:rFonts w:ascii="仿宋_GB2312" w:hAnsi="仿宋_GB2312" w:cs="仿宋_GB2312" w:eastAsia="仿宋_GB2312"/>
                <w:sz w:val="28"/>
              </w:rPr>
              <w:t>（三）与本工程相关的标准、规范等技术资料；本工程适用的常规施工方案及与本工程有关的其他相关资料。</w:t>
            </w:r>
          </w:p>
          <w:p>
            <w:pPr>
              <w:pStyle w:val="null3"/>
              <w:ind w:firstLine="560"/>
              <w:jc w:val="both"/>
            </w:pPr>
            <w:r>
              <w:rPr>
                <w:rFonts w:ascii="仿宋_GB2312" w:hAnsi="仿宋_GB2312" w:cs="仿宋_GB2312" w:eastAsia="仿宋_GB2312"/>
                <w:sz w:val="28"/>
              </w:rPr>
              <w:t>（四）本工程增值税销项税额按</w:t>
            </w:r>
            <w:r>
              <w:rPr>
                <w:rFonts w:ascii="仿宋_GB2312" w:hAnsi="仿宋_GB2312" w:cs="仿宋_GB2312" w:eastAsia="仿宋_GB2312"/>
                <w:sz w:val="28"/>
              </w:rPr>
              <w:t>9%计取。</w:t>
            </w:r>
          </w:p>
          <w:p>
            <w:pPr>
              <w:pStyle w:val="null3"/>
              <w:ind w:firstLine="560"/>
              <w:jc w:val="both"/>
            </w:pPr>
            <w:r>
              <w:rPr>
                <w:rFonts w:ascii="仿宋_GB2312" w:hAnsi="仿宋_GB2312" w:cs="仿宋_GB2312" w:eastAsia="仿宋_GB2312"/>
                <w:sz w:val="28"/>
              </w:rPr>
              <w:t>（五）商洛市《商洛工程造价管理信息》</w:t>
            </w:r>
            <w:r>
              <w:rPr>
                <w:rFonts w:ascii="仿宋_GB2312" w:hAnsi="仿宋_GB2312" w:cs="仿宋_GB2312" w:eastAsia="仿宋_GB2312"/>
                <w:sz w:val="28"/>
              </w:rPr>
              <w:t>2026年第一期信息价及当地现行市场价格。</w:t>
            </w:r>
          </w:p>
          <w:p>
            <w:pPr>
              <w:pStyle w:val="null3"/>
              <w:ind w:firstLine="560"/>
              <w:jc w:val="both"/>
            </w:pPr>
            <w:r>
              <w:rPr>
                <w:rFonts w:ascii="仿宋_GB2312" w:hAnsi="仿宋_GB2312" w:cs="仿宋_GB2312" w:eastAsia="仿宋_GB2312"/>
                <w:sz w:val="28"/>
              </w:rPr>
              <w:t>四、本工程工程量清单采用广联达</w:t>
            </w:r>
            <w:r>
              <w:rPr>
                <w:rFonts w:ascii="仿宋_GB2312" w:hAnsi="仿宋_GB2312" w:cs="仿宋_GB2312" w:eastAsia="仿宋_GB2312"/>
                <w:sz w:val="28"/>
              </w:rPr>
              <w:t>GCCP7.0(7.5000.23.3)计价软件编制。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符合本项目实施要求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工期：自合同签订之日起120日历天内完工；2、工程建设地点：采购人指定地点；3、供应商在施工中应妥善处理好与施工相关的各方面关系，自行解决施工遇到的各项问题及发生的纠纷，并承担由此产生的法律责任及费用。4、供应商应具有协调当地建设管理部门的能力和解决问题的能力。5、付款方式：①预付款，合同签订后，达到付款条件起10个工作日内，支付合同总金额的40.0%；②其他，工程竣工验收合格，结算审核报告出具且达到付款条件后，达到付款条件起10个工作日内，支付合同总金额的57.0%；③其他，缺陷责任期自工程竣工验收合格之日起计算，缺陷责任期满1年，达到付款条件起10个工作日内，支付合同总金额的3.0%（具体以合同签订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法定代表⼈委托书</w:t>
            </w:r>
          </w:p>
        </w:tc>
        <w:tc>
          <w:tcPr>
            <w:tcW w:type="dxa" w:w="3322"/>
          </w:tcPr>
          <w:p>
            <w:pPr>
              <w:pStyle w:val="null3"/>
            </w:pPr>
            <w:r>
              <w:rPr>
                <w:rFonts w:ascii="仿宋_GB2312" w:hAnsi="仿宋_GB2312" w:cs="仿宋_GB2312" w:eastAsia="仿宋_GB2312"/>
              </w:rPr>
              <w:t>提供法定代表人授权书(附法定代表人、被授权人身份证复印件及授权代表本单位证明(养老保险缴纳证明)，(法定代表人直接参加投标，须提供法定代表人身份证明及身份证复印件)；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提供递交磋商响应文件截止日前一年内已缴存的至少一个月的社会保障资金缴存单据或社保机构开具的社会保险参保缴费情况证明，依法不需要缴纳社会保障资金的单位应提供相关证明材料；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供应商须具备【建筑工程施工总承包三级】及以上资质或【建筑装修装饰工程专业承包二级】及以上资质，并提供有效的安全生产许可证；</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供应商拟派项目经理须具备建筑工程专业二级及以上注册建造师资质、具有安全生产考核合格证（B证），且无在建工程（提供无在建承诺书）；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专业技术能⼒承诺</w:t>
            </w:r>
          </w:p>
        </w:tc>
        <w:tc>
          <w:tcPr>
            <w:tcW w:type="dxa" w:w="3322"/>
          </w:tcPr>
          <w:p>
            <w:pPr>
              <w:pStyle w:val="null3"/>
            </w:pPr>
            <w:r>
              <w:rPr>
                <w:rFonts w:ascii="仿宋_GB2312" w:hAnsi="仿宋_GB2312" w:cs="仿宋_GB2312" w:eastAsia="仿宋_GB2312"/>
              </w:rPr>
              <w:t>提供具有履行合同所必需的设备和专业技术能力的书面承诺；</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 中小企业声明函 残疾人福利性单位声明函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竞争性磋商响应文件构成是否有重大缺项，是否按照竞争性磋商文件要求的格式编写竟争性磋商响应文件。</w:t>
            </w:r>
          </w:p>
        </w:tc>
        <w:tc>
          <w:tcPr>
            <w:tcW w:type="dxa" w:w="1661"/>
          </w:tcPr>
          <w:p>
            <w:pPr>
              <w:pStyle w:val="null3"/>
            </w:pPr>
            <w:r>
              <w:rPr>
                <w:rFonts w:ascii="仿宋_GB2312" w:hAnsi="仿宋_GB2312" w:cs="仿宋_GB2312" w:eastAsia="仿宋_GB2312"/>
              </w:rPr>
              <w:t>响应文件封面 1、特定资格证明文件.docx 已标价工程量清单 5、其它.docx 2、磋商项目技术、服务、商务及其他要求条款偏离表.docx 中小企业声明函 残疾人福利性单位声明函 4、陕西省政府采购供应商拒绝政府采购领域商业贿赂承诺书.docx 响应函 3、磋商方案.docx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已标价工程量清单 1、特定资格证明文件.docx 5、其它.docx 2、磋商项目技术、服务、商务及其他要求条款偏离表.docx 中小企业声明函 残疾人福利性单位声明函 4、陕西省政府采购供应商拒绝政府采购领域商业贿赂承诺书.docx 响应函 3、磋商方案.docx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产品的技术规格是否有重大偏离;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 已标价工程量清单 1、特定资格证明文件.docx 5、其它.docx 2、磋商项目技术、服务、商务及其他要求条款偏离表.docx 中小企业声明函 残疾人福利性单位声明函 4、陕西省政府采购供应商拒绝政府采购领域商业贿赂承诺书.docx 响应函 3、磋商方案.docx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 ①施工目标:成本目标、工期目标、质量目标； ②施工准备：技术准备、材料准备； 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 ①施工进度计划横道图； ②进度计划保证措施。 二、评审标准 1、完整性：方案必须全面，对评审内容中的各项要求有详细描述； 2、可实施性：切合本项目实际情况，提出步骤清晰、合理的方案； 3、针对性：方案能够紧扣项目实际情况，内容科学合理。 三、赋分标准（满分6分） ①施工进度计划图：每完全满足一个评审标准得1分，满分3分； ②进度计划保证措施：每完全满足一个评审标准得1分，满分3分。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 ①工程重难点及解决措施; ②工程施工方法; 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三、赋分标准（9分） ①工程重难点及解决措施：每完全满足一个评审标准得1分，满分3分； ②工程施工方法：每完全满足一个评审标准得1分，满分3分；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 ①质量目标管理体系; ②施工质量的检验制度; ③确保质量的技术组织措施; 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 ①安全文明施工目标及施工现场的临时管理措施; ②文明施工保障措施。 二、评审标准 1、完整性：方案必须全面，对评审内容中的各项要求有详细描述； 2、可实施性：切合本项目实际情况，提出步骤清晰、合理的方案； 3、针对性：方案能够紧扣项目实际情况，内容科学合理。 三、赋分标准（满分3分） ①安全文明施工目标及施工现场的临时管理措施：每完全满足一个评审标准得1分，满分3分； ②文明施工保障措施：每完全满足一个评审标准得1分，满分3分。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 ①环境保护管理体系; ②环保控制措施：污染物及废弃物处理的排放、噪音控制、防尘及扬尘的控制措施。 二、评审标准 1、完整性：方案必须全面，对评审内容中的各项要求有详细描述； 2、可实施性：切合本项目实际情况，提出步骤清晰、合理的方案； 3、针对性：方案能够紧扣项目实际情况，内容科学合理。 三、赋分标准（满分6分） ①环境保护管理体系：每完全满足一个评审标准得1分，满分3分； ②环保控制措施：每完全满足一个评审标准1分，满分3分。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项目部组成人员配备合理（配备岗位包括但不限于技术负责人、安全员、资料员、材料员、施工员），每提供 1 名符合要求人员得1分，本项最高得 5分，超出计分人数不再加分。 评审依据：提供身份证，职称证或建造师注册证或职业培训合格证等佐证材料。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施工机械配备</w:t>
            </w:r>
          </w:p>
        </w:tc>
        <w:tc>
          <w:tcPr>
            <w:tcW w:type="dxa" w:w="2492"/>
          </w:tcPr>
          <w:p>
            <w:pPr>
              <w:pStyle w:val="null3"/>
            </w:pPr>
            <w:r>
              <w:rPr>
                <w:rFonts w:ascii="仿宋_GB2312" w:hAnsi="仿宋_GB2312" w:cs="仿宋_GB2312" w:eastAsia="仿宋_GB2312"/>
              </w:rPr>
              <w:t>针对本项⽬提供①施工机械配备清单；每提供⼀项内容得3分，满分3分。不提供不得分。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针对本项目具有①工程施工承诺（主要体现不得拖欠施工人员工资、给施工人员缴纳保险、工程质量等）。 二、评审标准 1、完整性：方案必须全面，对评审内容中的各项要求有详细描述； 2、可实施性：切合本项目实际情况，提出步骤清晰、合理的方案； 3、针对性：方案能够紧扣项目实际情况，内容科学合理。 三、赋分标准（满分3分） ①工程施工承诺：每完全满足一个评审标准得1分，满分3分。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供应商提供2023年8月起至今的类似业绩证明材料，时间以合同签订日期为准，（文件中附成交/中标通知书或合同复印件，原件备查），每提供一项上述业绩的得2分，最高得6分。不提供或缺项不得分。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满足磋商文件要求且最后报价最低的供应商的价格为磋商基准价得35分，其他各供应商的最后磋商报价得分按下列公式计算：（磋商基准价/最后磋商报价）×35%×100。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详见附件：2、磋商项目技术、服务、商务及其他要求条款偏离表.docx</w:t>
      </w:r>
    </w:p>
    <w:p>
      <w:pPr>
        <w:pStyle w:val="null3"/>
        <w:ind w:firstLine="960"/>
      </w:pPr>
      <w:r>
        <w:rPr>
          <w:rFonts w:ascii="仿宋_GB2312" w:hAnsi="仿宋_GB2312" w:cs="仿宋_GB2312" w:eastAsia="仿宋_GB2312"/>
        </w:rPr>
        <w:t>详见附件：3、磋商方案.docx</w:t>
      </w:r>
    </w:p>
    <w:p>
      <w:pPr>
        <w:pStyle w:val="null3"/>
        <w:ind w:firstLine="960"/>
      </w:pPr>
      <w:r>
        <w:rPr>
          <w:rFonts w:ascii="仿宋_GB2312" w:hAnsi="仿宋_GB2312" w:cs="仿宋_GB2312" w:eastAsia="仿宋_GB2312"/>
        </w:rPr>
        <w:t>详见附件：4、陕西省政府采购供应商拒绝政府采购领域商业贿赂承诺书.docx</w:t>
      </w:r>
    </w:p>
    <w:p>
      <w:pPr>
        <w:pStyle w:val="null3"/>
        <w:ind w:firstLine="960"/>
      </w:pPr>
      <w:r>
        <w:rPr>
          <w:rFonts w:ascii="仿宋_GB2312" w:hAnsi="仿宋_GB2312" w:cs="仿宋_GB2312" w:eastAsia="仿宋_GB2312"/>
        </w:rPr>
        <w:t>详见附件：5、其它.docx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