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版本号：TZZB-Z-2026180C20260717001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TZZB-Z-2026180C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院内环境提升改造项目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TZZB-Z-2026180C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院内环境提升改造项目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院内环境提升改造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采购包1（院内环境提升改造）：属于专门面向中小企业采购。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4、企业资质要求：供应商须具有行业主管部门颁发的建筑工程施工总承包三级及以上资质，并具有有效的安全生产许可证。</w:t>
      </w:r>
    </w:p>
    <w:p>
      <w:pPr>
        <w:pStyle w:val="null3"/>
      </w:pPr>
      <w:r>
        <w:rPr>
          <w:rFonts w:ascii="仿宋_GB2312" w:hAnsi="仿宋_GB2312" w:cs="仿宋_GB2312" w:eastAsia="仿宋_GB2312"/>
        </w:rPr>
        <w:t>5、项目经理资质要求：拟派本项目的项目经理须具备建筑工程专业二级及以上注册建造师，并具有有效的安全生产考核合格证书，且无在建工程(出具无在建承诺书）。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采购包1：495,151.95元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HDPE双壁波纹排水管、PE塑料管、混凝土</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495,151.95</w:t>
      </w:r>
    </w:p>
    <w:p>
      <w:pPr>
        <w:pStyle w:val="null3"/>
      </w:pPr>
      <w:r>
        <w:rPr>
          <w:rFonts w:ascii="仿宋_GB2312" w:hAnsi="仿宋_GB2312" w:cs="仿宋_GB2312" w:eastAsia="仿宋_GB2312"/>
        </w:rPr>
        <w:t>采购包最高限价（元）: 495,151.95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院内环境提升改造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495,151.95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标的名称：院内环境提升改造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一、工程概况</w:t>
            </w:r>
          </w:p>
          <w:p>
            <w:pPr>
              <w:pStyle w:val="null3"/>
              <w:ind w:firstLine="640"/>
              <w:jc w:val="left"/>
            </w:pPr>
            <w:r>
              <w:rPr>
                <w:rFonts w:ascii="仿宋_GB2312" w:hAnsi="仿宋_GB2312" w:cs="仿宋_GB2312" w:eastAsia="仿宋_GB2312"/>
                <w:sz w:val="21"/>
                <w:color w:val="000000"/>
              </w:rPr>
              <w:t>院内环境提升改造项目建设地点：汉中市南郑区。改造内容主要包括：对原有闲置空地进行整体整治利用,包含高差挡墙、排水系统、沥青硬化场地及配套绿化工程。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3"/>
              <w:jc w:val="both"/>
            </w:pPr>
            <w:r>
              <w:rPr>
                <w:rFonts w:ascii="仿宋_GB2312" w:hAnsi="仿宋_GB2312" w:cs="仿宋_GB2312" w:eastAsia="仿宋_GB2312"/>
                <w:sz w:val="21"/>
                <w:b/>
              </w:rPr>
              <w:t>二、编制依据</w:t>
            </w:r>
          </w:p>
          <w:p>
            <w:pPr>
              <w:pStyle w:val="null3"/>
              <w:ind w:firstLine="640"/>
              <w:jc w:val="left"/>
            </w:pPr>
            <w:r>
              <w:rPr>
                <w:rFonts w:ascii="仿宋_GB2312" w:hAnsi="仿宋_GB2312" w:cs="仿宋_GB2312" w:eastAsia="仿宋_GB2312"/>
                <w:sz w:val="21"/>
              </w:rPr>
              <w:t>1、院内环境提升改造项目施工图纸、设计说明及设计答疑所有内容；</w:t>
            </w:r>
          </w:p>
          <w:p>
            <w:pPr>
              <w:pStyle w:val="null3"/>
              <w:ind w:firstLine="640"/>
              <w:jc w:val="both"/>
            </w:pPr>
            <w:r>
              <w:rPr>
                <w:rFonts w:ascii="仿宋_GB2312" w:hAnsi="仿宋_GB2312" w:cs="仿宋_GB2312" w:eastAsia="仿宋_GB2312"/>
                <w:sz w:val="21"/>
              </w:rPr>
              <w:t>2、依据《陕西省建设工程工程量清单计价标准及计算标准2025》；</w:t>
            </w:r>
          </w:p>
          <w:p>
            <w:pPr>
              <w:pStyle w:val="null3"/>
              <w:ind w:firstLine="640"/>
              <w:jc w:val="both"/>
            </w:pPr>
            <w:r>
              <w:rPr>
                <w:rFonts w:ascii="仿宋_GB2312" w:hAnsi="仿宋_GB2312" w:cs="仿宋_GB2312" w:eastAsia="仿宋_GB2312"/>
                <w:sz w:val="21"/>
              </w:rPr>
              <w:t>3、依据《陕西省房屋建筑与装饰工程消耗量定额(2025)》、《陕西省通用安装工程消耗量定额(2025)》、《陕西市政工程消耗量定额(2025)》、《陕西省园林绿化工程消耗量定额(2025)》、《陕西省城市地下综合管廊工程消耗量定额(2025)》、《陕西绿色建筑工程消耗量定额(2025)》、《陕西省建设工程费用规则(2025)》及相关配套文件；</w:t>
            </w:r>
          </w:p>
          <w:p>
            <w:pPr>
              <w:pStyle w:val="null3"/>
              <w:ind w:firstLine="640"/>
              <w:jc w:val="both"/>
            </w:pPr>
            <w:r>
              <w:rPr>
                <w:rFonts w:ascii="仿宋_GB2312" w:hAnsi="仿宋_GB2312" w:cs="仿宋_GB2312" w:eastAsia="仿宋_GB2312"/>
                <w:sz w:val="21"/>
              </w:rPr>
              <w:t>4、依据陕建管发〔2025〕10号《陕西省住房和城乡建设厅关于印发2025陕西省建设工程费用规则等计价依据的通知》文件；</w:t>
            </w:r>
          </w:p>
          <w:p>
            <w:pPr>
              <w:pStyle w:val="null3"/>
              <w:ind w:firstLine="640"/>
              <w:jc w:val="both"/>
            </w:pPr>
            <w:r>
              <w:rPr>
                <w:rFonts w:ascii="仿宋_GB2312" w:hAnsi="仿宋_GB2312" w:cs="仿宋_GB2312" w:eastAsia="仿宋_GB2312"/>
                <w:sz w:val="21"/>
              </w:rPr>
              <w:t>5、材料价依据2026年5月汉中建设工程造价信息材料价格及市场价；</w:t>
            </w:r>
          </w:p>
          <w:p>
            <w:pPr>
              <w:pStyle w:val="null3"/>
              <w:ind w:firstLine="640"/>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 三、商务要求（本项为实质性响应要求，不得负偏离）</w:t>
            </w:r>
          </w:p>
          <w:p>
            <w:pPr>
              <w:pStyle w:val="null3"/>
              <w:jc w:val="both"/>
            </w:pPr>
            <w:r>
              <w:rPr>
                <w:rFonts w:ascii="仿宋_GB2312" w:hAnsi="仿宋_GB2312" w:cs="仿宋_GB2312" w:eastAsia="仿宋_GB2312"/>
                <w:sz w:val="21"/>
                <w:color w:val="000000"/>
              </w:rPr>
              <w:t>1. 工期：合同签订后45天内完工。</w:t>
            </w:r>
          </w:p>
          <w:p>
            <w:pPr>
              <w:pStyle w:val="null3"/>
              <w:jc w:val="both"/>
            </w:pPr>
            <w:r>
              <w:rPr>
                <w:rFonts w:ascii="仿宋_GB2312" w:hAnsi="仿宋_GB2312" w:cs="仿宋_GB2312" w:eastAsia="仿宋_GB2312"/>
                <w:sz w:val="21"/>
                <w:color w:val="000000"/>
              </w:rPr>
              <w:t>2. 质量要求：符合国家现行有关施工质量验收规范“合格”要求。</w:t>
            </w:r>
          </w:p>
          <w:p>
            <w:pPr>
              <w:pStyle w:val="null3"/>
              <w:jc w:val="both"/>
            </w:pPr>
            <w:r>
              <w:rPr>
                <w:rFonts w:ascii="仿宋_GB2312" w:hAnsi="仿宋_GB2312" w:cs="仿宋_GB2312" w:eastAsia="仿宋_GB2312"/>
                <w:sz w:val="21"/>
                <w:color w:val="000000"/>
              </w:rPr>
              <w:t>3. 缺陷责任期：工程验收合格后两年；质量保修期：自竣工验收合格之日起满两年。</w:t>
            </w:r>
          </w:p>
          <w:p>
            <w:pPr>
              <w:pStyle w:val="null3"/>
              <w:jc w:val="both"/>
            </w:pPr>
            <w:r>
              <w:rPr>
                <w:rFonts w:ascii="仿宋_GB2312" w:hAnsi="仿宋_GB2312" w:cs="仿宋_GB2312" w:eastAsia="仿宋_GB2312"/>
                <w:sz w:val="21"/>
                <w:color w:val="000000"/>
              </w:rPr>
              <w:t>4. 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color w:val="000000"/>
              </w:rPr>
              <w:t>5.合同支付约定：</w:t>
            </w:r>
          </w:p>
          <w:p>
            <w:pPr>
              <w:pStyle w:val="null3"/>
            </w:pPr>
            <w:r>
              <w:rPr>
                <w:rFonts w:ascii="仿宋_GB2312" w:hAnsi="仿宋_GB2312" w:cs="仿宋_GB2312" w:eastAsia="仿宋_GB2312"/>
                <w:sz w:val="21"/>
                <w:color w:val="000000"/>
              </w:rPr>
              <w:t>5.1进度款，项目验收后，达到付款条件起20个工作日内，支付合同总金额的97.0%</w:t>
            </w:r>
          </w:p>
          <w:p>
            <w:pPr>
              <w:pStyle w:val="null3"/>
            </w:pPr>
            <w:r>
              <w:rPr>
                <w:rFonts w:ascii="仿宋_GB2312" w:hAnsi="仿宋_GB2312" w:cs="仿宋_GB2312" w:eastAsia="仿宋_GB2312"/>
                <w:sz w:val="21"/>
                <w:color w:val="000000"/>
              </w:rPr>
              <w:t>5.2进度款，质保满一年，达到付款条件起20个工作日内，支付合同总金额的3.0%</w:t>
            </w:r>
          </w:p>
          <w:p>
            <w:pPr>
              <w:pStyle w:val="null3"/>
            </w:pPr>
            <w:r>
              <w:rPr>
                <w:rFonts w:ascii="仿宋_GB2312" w:hAnsi="仿宋_GB2312" w:cs="仿宋_GB2312" w:eastAsia="仿宋_GB2312"/>
                <w:sz w:val="21"/>
                <w:color w:val="000000"/>
              </w:rPr>
              <w:t>6.施工要求：</w:t>
            </w:r>
          </w:p>
          <w:p>
            <w:pPr>
              <w:pStyle w:val="null3"/>
              <w:jc w:val="both"/>
            </w:pPr>
            <w:r>
              <w:rPr>
                <w:rFonts w:ascii="仿宋_GB2312" w:hAnsi="仿宋_GB2312" w:cs="仿宋_GB2312" w:eastAsia="仿宋_GB2312"/>
                <w:sz w:val="21"/>
                <w:color w:val="000000"/>
              </w:rPr>
              <w:t>6.1 遵守国家相关法律、法规，遵守国家相关技术规范；</w:t>
            </w:r>
          </w:p>
          <w:p>
            <w:pPr>
              <w:pStyle w:val="null3"/>
              <w:jc w:val="both"/>
            </w:pPr>
            <w:r>
              <w:rPr>
                <w:rFonts w:ascii="仿宋_GB2312" w:hAnsi="仿宋_GB2312" w:cs="仿宋_GB2312" w:eastAsia="仿宋_GB2312"/>
                <w:sz w:val="21"/>
                <w:color w:val="000000"/>
              </w:rPr>
              <w:t>6.2 所选材料必须保证质量可靠、进货渠道正常，符合国家环保等相关标准，满足施工要求；</w:t>
            </w:r>
          </w:p>
          <w:p>
            <w:pPr>
              <w:pStyle w:val="null3"/>
              <w:jc w:val="both"/>
            </w:pPr>
            <w:r>
              <w:rPr>
                <w:rFonts w:ascii="仿宋_GB2312" w:hAnsi="仿宋_GB2312" w:cs="仿宋_GB2312" w:eastAsia="仿宋_GB2312"/>
                <w:sz w:val="21"/>
                <w:color w:val="000000"/>
              </w:rPr>
              <w:t>6.3 工程质量符合国家有关规范，确保达到合格；</w:t>
            </w:r>
          </w:p>
          <w:p>
            <w:pPr>
              <w:pStyle w:val="null3"/>
              <w:jc w:val="both"/>
            </w:pPr>
            <w:r>
              <w:rPr>
                <w:rFonts w:ascii="仿宋_GB2312" w:hAnsi="仿宋_GB2312" w:cs="仿宋_GB2312" w:eastAsia="仿宋_GB2312"/>
                <w:sz w:val="21"/>
                <w:color w:val="000000"/>
              </w:rPr>
              <w:t>6.4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color w:val="000000"/>
              </w:rPr>
              <w:t>6.5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color w:val="000000"/>
              </w:rPr>
              <w:t>6.6 本工程不允许转包；</w:t>
            </w:r>
          </w:p>
          <w:p>
            <w:pPr>
              <w:pStyle w:val="null3"/>
              <w:jc w:val="both"/>
            </w:pPr>
            <w:r>
              <w:rPr>
                <w:rFonts w:ascii="仿宋_GB2312" w:hAnsi="仿宋_GB2312" w:cs="仿宋_GB2312" w:eastAsia="仿宋_GB2312"/>
                <w:sz w:val="21"/>
                <w:color w:val="000000"/>
              </w:rPr>
              <w:t>6.7 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1"/>
                <w:color w:val="000000"/>
              </w:rPr>
              <w:t>7.质量验收标准或规范：</w:t>
            </w:r>
          </w:p>
          <w:p>
            <w:pPr>
              <w:pStyle w:val="null3"/>
              <w:jc w:val="both"/>
            </w:pPr>
            <w:r>
              <w:rPr>
                <w:rFonts w:ascii="仿宋_GB2312" w:hAnsi="仿宋_GB2312" w:cs="仿宋_GB2312" w:eastAsia="仿宋_GB2312"/>
                <w:sz w:val="21"/>
                <w:color w:val="000000"/>
              </w:rPr>
              <w:t>7.1 国家现行有关法律、法规、环保和技术指标；</w:t>
            </w:r>
          </w:p>
          <w:p>
            <w:pPr>
              <w:pStyle w:val="null3"/>
              <w:jc w:val="both"/>
            </w:pPr>
            <w:r>
              <w:rPr>
                <w:rFonts w:ascii="仿宋_GB2312" w:hAnsi="仿宋_GB2312" w:cs="仿宋_GB2312" w:eastAsia="仿宋_GB2312"/>
                <w:sz w:val="21"/>
                <w:color w:val="000000"/>
              </w:rPr>
              <w:t>7.2 本项目施工合同；</w:t>
            </w:r>
          </w:p>
          <w:p>
            <w:pPr>
              <w:pStyle w:val="null3"/>
              <w:jc w:val="both"/>
            </w:pPr>
            <w:r>
              <w:rPr>
                <w:rFonts w:ascii="仿宋_GB2312" w:hAnsi="仿宋_GB2312" w:cs="仿宋_GB2312" w:eastAsia="仿宋_GB2312"/>
                <w:sz w:val="21"/>
                <w:color w:val="000000"/>
              </w:rPr>
              <w:t>7.3 经批准的设计文件及工程变更文件；</w:t>
            </w:r>
          </w:p>
          <w:p>
            <w:pPr>
              <w:pStyle w:val="null3"/>
              <w:jc w:val="both"/>
            </w:pPr>
            <w:r>
              <w:rPr>
                <w:rFonts w:ascii="仿宋_GB2312" w:hAnsi="仿宋_GB2312" w:cs="仿宋_GB2312" w:eastAsia="仿宋_GB2312"/>
                <w:sz w:val="21"/>
                <w:color w:val="000000"/>
              </w:rPr>
              <w:t>7.4 有关部政府部门的规定。</w:t>
            </w:r>
          </w:p>
          <w:p>
            <w:pPr>
              <w:pStyle w:val="null3"/>
              <w:jc w:val="both"/>
            </w:pPr>
            <w:r>
              <w:rPr>
                <w:rFonts w:ascii="仿宋_GB2312" w:hAnsi="仿宋_GB2312" w:cs="仿宋_GB2312" w:eastAsia="仿宋_GB2312"/>
                <w:sz w:val="21"/>
                <w:color w:val="000000"/>
              </w:rPr>
              <w:t>8.项目检验与验收：</w:t>
            </w:r>
          </w:p>
          <w:p>
            <w:pPr>
              <w:pStyle w:val="null3"/>
              <w:jc w:val="both"/>
            </w:pPr>
            <w:r>
              <w:rPr>
                <w:rFonts w:ascii="仿宋_GB2312" w:hAnsi="仿宋_GB2312" w:cs="仿宋_GB2312" w:eastAsia="仿宋_GB2312"/>
                <w:sz w:val="21"/>
                <w:color w:val="000000"/>
              </w:rPr>
              <w:t>8.1 成交供应商向采购人提交项目实施过程中的所有资料；</w:t>
            </w:r>
          </w:p>
          <w:p>
            <w:pPr>
              <w:pStyle w:val="null3"/>
              <w:jc w:val="both"/>
            </w:pPr>
            <w:r>
              <w:rPr>
                <w:rFonts w:ascii="仿宋_GB2312" w:hAnsi="仿宋_GB2312" w:cs="仿宋_GB2312" w:eastAsia="仿宋_GB2312"/>
                <w:sz w:val="21"/>
                <w:color w:val="000000"/>
              </w:rPr>
              <w:t>8.2 验收须以合同、磋商文件及响应文件、澄清、及国家相应的标准、规范等为依据。</w:t>
            </w:r>
          </w:p>
          <w:p>
            <w:pPr>
              <w:pStyle w:val="null3"/>
              <w:jc w:val="both"/>
            </w:pPr>
            <w:r>
              <w:rPr>
                <w:rFonts w:ascii="仿宋_GB2312" w:hAnsi="仿宋_GB2312" w:cs="仿宋_GB2312" w:eastAsia="仿宋_GB2312"/>
                <w:sz w:val="21"/>
                <w:color w:val="000000"/>
              </w:rPr>
              <w:t>9.合同的变更、中止、终止：合同一经签订，不得擅自变更、中止或者终止合同。对确需变更、调整或者中止、终止合同的，由双方协商解决。</w:t>
            </w:r>
          </w:p>
          <w:p>
            <w:pPr>
              <w:pStyle w:val="null3"/>
              <w:jc w:val="both"/>
            </w:pPr>
            <w:r>
              <w:rPr>
                <w:rFonts w:ascii="仿宋_GB2312" w:hAnsi="仿宋_GB2312" w:cs="仿宋_GB2312" w:eastAsia="仿宋_GB2312"/>
                <w:sz w:val="21"/>
                <w:color w:val="000000"/>
              </w:rPr>
              <w:t>10.合同争议的处理：合同在履行过程中发生的争议，当事人双方应协商解决，协商达不成一致时，可向采购方所在地仲裁委员会申请仲裁或者向人民法院提请诉讼。</w:t>
            </w:r>
          </w:p>
          <w:p>
            <w:pPr>
              <w:pStyle w:val="null3"/>
              <w:jc w:val="both"/>
            </w:pPr>
            <w:r>
              <w:rPr>
                <w:rFonts w:ascii="仿宋_GB2312" w:hAnsi="仿宋_GB2312" w:cs="仿宋_GB2312" w:eastAsia="仿宋_GB2312"/>
                <w:sz w:val="21"/>
                <w:color w:val="000000"/>
              </w:rPr>
              <w:t>11.违约责任：</w:t>
            </w:r>
          </w:p>
          <w:p>
            <w:pPr>
              <w:pStyle w:val="null3"/>
              <w:jc w:val="both"/>
            </w:pPr>
            <w:r>
              <w:rPr>
                <w:rFonts w:ascii="仿宋_GB2312" w:hAnsi="仿宋_GB2312" w:cs="仿宋_GB2312" w:eastAsia="仿宋_GB2312"/>
                <w:sz w:val="21"/>
                <w:color w:val="000000"/>
              </w:rPr>
              <w:t>11.1 按《中华人民共和国政府采购法》《中华人民共和国民法典》中的相关条款执行；</w:t>
            </w:r>
          </w:p>
          <w:p>
            <w:pPr>
              <w:pStyle w:val="null3"/>
            </w:pPr>
            <w:r>
              <w:rPr>
                <w:rFonts w:ascii="仿宋_GB2312" w:hAnsi="仿宋_GB2312" w:cs="仿宋_GB2312" w:eastAsia="仿宋_GB2312"/>
                <w:sz w:val="21"/>
                <w:color w:val="000000"/>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拟派本项目的项目经理须具备建筑工程专业二级及以上注册建造师，并具有有效的安全生产考核合格证书，且无在建工程(出具无在建承诺书）。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商务要求偏离表 已标价工程量清单 中小企业声明函 供应商应提交的相关资格证明材料 强制优先采购产品承诺函 响应文件封面 客观响应 主观响应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符合竞争性磋商文件内要求及给出的商务要求偏离表格式填写要求。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优先采购环境标志产品</w:t>
            </w:r>
          </w:p>
        </w:tc>
        <w:tc>
          <w:tcPr>
            <w:tcW w:type="dxa" w:w="3322"/>
          </w:tcPr>
          <w:p>
            <w:pPr>
              <w:pStyle w:val="null3"/>
            </w:pPr>
            <w:r>
              <w:rPr>
                <w:rFonts w:ascii="仿宋_GB2312" w:hAnsi="仿宋_GB2312" w:cs="仿宋_GB2312" w:eastAsia="仿宋_GB2312"/>
              </w:rPr>
              <w:t>符合磋商文件内要求</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一、评审内容：供应商提供2023年1月至今完成的类似项目业绩。 二、赋分标准：每提供一个合格业绩得2分，满分8分。未提供此项内容不得分。 注：业绩以中标（成交）通知书和合同（协议书)为准，响应文件内附扫描件。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所配备项目技术负责人、施工员、质检员（质量员）、安全员、材料员、资料员、劳务员、机械员具备相关专业技术职称或岗位证书。 二、评审标准： 全部满足得 12分，每缺少一人或相应人员无证书证件扣 1.5分，扣完为止。 响应文件内附相应人员证书证件复印件并签章。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2.针对性：上述内容针对性明确得2分；缺乏针对性得0分。 3.可实施性：上述内容可实施性合理得2分；缺乏可实施性得0分。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一、评审内容：针对本项目制定工程质量保证管理制度及措施：①工程质量保证管理制度；②工程质量保证管理措施。 二、赋分标准： 1.完整性：对上述各项内容均有描述，得2分；每缺1项扣1分，扣完为止。此项不提供不得分。 2.针对性：上述各项内容针对性明确，每项内容得2分；缺乏针对性，每项内容得0分。 3.可实施性：上述各项内容可实施性合理，每项内容得2分；缺乏可实施性，每项内容得0分。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