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677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政府采购合同格式</w:t>
      </w:r>
    </w:p>
    <w:p w14:paraId="26C175A1">
      <w:pPr>
        <w:pStyle w:val="3"/>
        <w:shd w:val="clear" w:color="auto" w:fill="auto"/>
        <w:jc w:val="center"/>
        <w:rPr>
          <w:rFonts w:hint="eastAsia" w:ascii="宋体" w:hAnsi="宋体" w:eastAsia="宋体" w:cs="宋体"/>
          <w:b/>
          <w:bCs/>
          <w:color w:val="auto"/>
          <w:sz w:val="52"/>
          <w:szCs w:val="40"/>
          <w:highlight w:val="none"/>
        </w:rPr>
      </w:pPr>
    </w:p>
    <w:p w14:paraId="5F9C3D16">
      <w:pPr>
        <w:pStyle w:val="3"/>
        <w:shd w:val="clear" w:color="auto" w:fill="auto"/>
        <w:rPr>
          <w:rFonts w:hint="eastAsia" w:ascii="宋体" w:hAnsi="宋体" w:eastAsia="宋体" w:cs="宋体"/>
          <w:color w:val="auto"/>
          <w:highlight w:val="none"/>
        </w:rPr>
      </w:pPr>
    </w:p>
    <w:p w14:paraId="74851DF7">
      <w:pPr>
        <w:shd w:val="clear" w:color="auto" w:fill="auto"/>
        <w:spacing w:line="360" w:lineRule="auto"/>
        <w:jc w:val="center"/>
        <w:rPr>
          <w:rFonts w:hint="eastAsia" w:ascii="宋体" w:hAnsi="宋体" w:eastAsia="宋体" w:cs="宋体"/>
          <w:b/>
          <w:bCs/>
          <w:color w:val="auto"/>
          <w:spacing w:val="-6"/>
          <w:kern w:val="0"/>
          <w:sz w:val="52"/>
          <w:szCs w:val="40"/>
          <w:highlight w:val="none"/>
          <w:lang w:eastAsia="zh-CN"/>
        </w:rPr>
      </w:pPr>
      <w:r>
        <w:rPr>
          <w:rFonts w:hint="eastAsia" w:ascii="宋体" w:hAnsi="宋体" w:eastAsia="宋体" w:cs="宋体"/>
          <w:b/>
          <w:bCs/>
          <w:color w:val="auto"/>
          <w:spacing w:val="-6"/>
          <w:kern w:val="0"/>
          <w:sz w:val="52"/>
          <w:szCs w:val="40"/>
          <w:highlight w:val="none"/>
          <w:lang w:eastAsia="zh-CN"/>
        </w:rPr>
        <w:t>2026年度蒲城县桥陵镇日光村</w:t>
      </w:r>
    </w:p>
    <w:p w14:paraId="65F1F79C">
      <w:pPr>
        <w:shd w:val="clear" w:color="auto" w:fill="auto"/>
        <w:spacing w:line="360" w:lineRule="auto"/>
        <w:jc w:val="center"/>
        <w:rPr>
          <w:rFonts w:hint="eastAsia" w:ascii="宋体" w:hAnsi="宋体" w:eastAsia="宋体" w:cs="宋体"/>
          <w:color w:val="auto"/>
          <w:spacing w:val="-6"/>
          <w:kern w:val="0"/>
          <w:highlight w:val="none"/>
          <w:lang w:eastAsia="zh-CN"/>
        </w:rPr>
      </w:pPr>
      <w:r>
        <w:rPr>
          <w:rFonts w:hint="eastAsia" w:ascii="宋体" w:hAnsi="宋体" w:eastAsia="宋体" w:cs="宋体"/>
          <w:b/>
          <w:bCs/>
          <w:color w:val="auto"/>
          <w:spacing w:val="-6"/>
          <w:kern w:val="0"/>
          <w:sz w:val="52"/>
          <w:szCs w:val="40"/>
          <w:highlight w:val="none"/>
          <w:lang w:eastAsia="zh-CN"/>
        </w:rPr>
        <w:t>产业园区生产配套设施项目</w:t>
      </w:r>
    </w:p>
    <w:p w14:paraId="1AFAE305">
      <w:pPr>
        <w:keepNext/>
        <w:keepLines/>
        <w:shd w:val="clear" w:color="auto" w:fill="auto"/>
        <w:rPr>
          <w:rFonts w:hint="eastAsia" w:ascii="宋体" w:hAnsi="宋体" w:eastAsia="宋体" w:cs="宋体"/>
          <w:color w:val="auto"/>
          <w:highlight w:val="none"/>
        </w:rPr>
      </w:pPr>
    </w:p>
    <w:p w14:paraId="27CA57CB">
      <w:pPr>
        <w:pStyle w:val="3"/>
        <w:shd w:val="clear" w:color="auto" w:fill="auto"/>
        <w:rPr>
          <w:rFonts w:hint="eastAsia" w:ascii="宋体" w:hAnsi="宋体" w:eastAsia="宋体" w:cs="宋体"/>
          <w:color w:val="auto"/>
          <w:highlight w:val="none"/>
        </w:rPr>
      </w:pPr>
    </w:p>
    <w:p w14:paraId="3EA3C8E5">
      <w:pPr>
        <w:rPr>
          <w:rFonts w:hint="eastAsia"/>
        </w:rPr>
      </w:pPr>
    </w:p>
    <w:p w14:paraId="70A62535">
      <w:pPr>
        <w:shd w:val="clear" w:color="auto" w:fill="auto"/>
        <w:rPr>
          <w:rFonts w:hint="eastAsia" w:ascii="宋体" w:hAnsi="宋体" w:eastAsia="宋体" w:cs="宋体"/>
          <w:color w:val="auto"/>
          <w:highlight w:val="none"/>
        </w:rPr>
      </w:pPr>
    </w:p>
    <w:p w14:paraId="7BB177C9">
      <w:pPr>
        <w:shd w:val="clear" w:color="auto" w:fill="auto"/>
        <w:adjustRightInd w:val="0"/>
        <w:snapToGrid w:val="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（示范文本，最终以签订为准）</w:t>
      </w:r>
    </w:p>
    <w:p w14:paraId="51B144ED">
      <w:pPr>
        <w:shd w:val="clear" w:color="auto" w:fill="auto"/>
        <w:ind w:firstLine="480"/>
        <w:rPr>
          <w:rFonts w:hint="eastAsia" w:ascii="宋体" w:hAnsi="宋体" w:eastAsia="宋体" w:cs="宋体"/>
          <w:color w:val="auto"/>
          <w:highlight w:val="none"/>
        </w:rPr>
      </w:pPr>
    </w:p>
    <w:p w14:paraId="4B66D64F">
      <w:pPr>
        <w:shd w:val="clear" w:color="auto" w:fill="auto"/>
        <w:ind w:firstLine="480"/>
        <w:rPr>
          <w:rFonts w:hint="eastAsia" w:ascii="宋体" w:hAnsi="宋体" w:eastAsia="宋体" w:cs="宋体"/>
          <w:color w:val="auto"/>
          <w:highlight w:val="none"/>
        </w:rPr>
      </w:pPr>
    </w:p>
    <w:p w14:paraId="0A699C1A">
      <w:pPr>
        <w:shd w:val="clear" w:color="auto" w:fill="auto"/>
        <w:ind w:firstLine="480"/>
        <w:rPr>
          <w:rFonts w:hint="eastAsia" w:ascii="宋体" w:hAnsi="宋体" w:eastAsia="宋体" w:cs="宋体"/>
          <w:color w:val="auto"/>
          <w:highlight w:val="none"/>
        </w:rPr>
      </w:pPr>
    </w:p>
    <w:p w14:paraId="398245F2">
      <w:pPr>
        <w:shd w:val="clear" w:color="auto" w:fill="auto"/>
        <w:spacing w:line="600" w:lineRule="auto"/>
        <w:ind w:firstLine="480"/>
        <w:rPr>
          <w:rFonts w:hint="eastAsia" w:ascii="宋体" w:hAnsi="宋体" w:eastAsia="宋体" w:cs="宋体"/>
          <w:color w:val="auto"/>
          <w:highlight w:val="none"/>
        </w:rPr>
      </w:pPr>
    </w:p>
    <w:p w14:paraId="70FF1895">
      <w:pPr>
        <w:pStyle w:val="3"/>
        <w:shd w:val="clear" w:color="auto" w:fill="auto"/>
        <w:rPr>
          <w:rFonts w:hint="eastAsia" w:ascii="宋体" w:hAnsi="宋体" w:eastAsia="宋体" w:cs="宋体"/>
          <w:color w:val="auto"/>
          <w:highlight w:val="none"/>
        </w:rPr>
      </w:pPr>
    </w:p>
    <w:p w14:paraId="3EBF3C46">
      <w:pPr>
        <w:pStyle w:val="3"/>
        <w:shd w:val="clear" w:color="auto" w:fill="auto"/>
        <w:rPr>
          <w:rFonts w:hint="eastAsia" w:ascii="宋体" w:hAnsi="宋体" w:eastAsia="宋体" w:cs="宋体"/>
          <w:color w:val="auto"/>
          <w:highlight w:val="none"/>
        </w:rPr>
      </w:pPr>
    </w:p>
    <w:p w14:paraId="48AE6160">
      <w:pPr>
        <w:shd w:val="clear" w:color="auto" w:fill="auto"/>
        <w:rPr>
          <w:rFonts w:hint="eastAsia" w:ascii="宋体" w:hAnsi="宋体" w:eastAsia="宋体" w:cs="宋体"/>
          <w:color w:val="auto"/>
          <w:highlight w:val="none"/>
        </w:rPr>
      </w:pPr>
    </w:p>
    <w:p w14:paraId="2B9B732A">
      <w:pPr>
        <w:pStyle w:val="3"/>
        <w:shd w:val="clear" w:color="auto" w:fill="auto"/>
        <w:rPr>
          <w:rFonts w:hint="eastAsia" w:ascii="宋体" w:hAnsi="宋体" w:eastAsia="宋体" w:cs="宋体"/>
          <w:color w:val="auto"/>
          <w:highlight w:val="none"/>
        </w:rPr>
      </w:pPr>
    </w:p>
    <w:p w14:paraId="01AFD421">
      <w:pPr>
        <w:shd w:val="clear" w:color="auto" w:fill="auto"/>
        <w:rPr>
          <w:rFonts w:hint="eastAsia" w:ascii="宋体" w:hAnsi="宋体" w:eastAsia="宋体" w:cs="宋体"/>
          <w:color w:val="auto"/>
          <w:highlight w:val="none"/>
        </w:rPr>
      </w:pPr>
    </w:p>
    <w:p w14:paraId="4E47AFD1">
      <w:pPr>
        <w:shd w:val="clear" w:color="auto" w:fill="auto"/>
        <w:spacing w:line="720" w:lineRule="auto"/>
        <w:ind w:left="1495" w:leftChars="100" w:hanging="1285" w:hangingChars="400"/>
        <w:jc w:val="left"/>
        <w:rPr>
          <w:rFonts w:hint="default"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甲方(委托方)：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6C9085B3">
      <w:pPr>
        <w:shd w:val="clear" w:color="auto" w:fill="auto"/>
        <w:spacing w:line="720" w:lineRule="auto"/>
        <w:ind w:left="1495" w:leftChars="100" w:hanging="1285" w:hangingChars="400"/>
        <w:jc w:val="left"/>
        <w:rPr>
          <w:rFonts w:hint="eastAsia" w:ascii="宋体" w:hAnsi="宋体" w:eastAsia="宋体" w:cs="宋体"/>
          <w:b/>
          <w:color w:val="auto"/>
          <w:kern w:val="0"/>
          <w:sz w:val="32"/>
          <w:szCs w:val="32"/>
          <w:highlight w:val="none"/>
          <w:u w:val="single"/>
        </w:rPr>
      </w:pPr>
      <w:r>
        <w:rPr>
          <w:rFonts w:hint="eastAsia" w:ascii="宋体" w:hAnsi="宋体" w:eastAsia="宋体" w:cs="宋体"/>
          <w:b/>
          <w:color w:val="auto"/>
          <w:kern w:val="0"/>
          <w:sz w:val="32"/>
          <w:szCs w:val="32"/>
          <w:highlight w:val="none"/>
        </w:rPr>
        <w:t>乙方(受托方)：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0AC2D316">
      <w:pPr>
        <w:shd w:val="clear" w:color="auto" w:fill="auto"/>
        <w:spacing w:line="360" w:lineRule="auto"/>
        <w:jc w:val="center"/>
        <w:rPr>
          <w:rFonts w:hint="eastAsia" w:ascii="宋体" w:hAnsi="宋体" w:eastAsia="宋体" w:cs="宋体"/>
          <w:b/>
          <w:color w:val="auto"/>
          <w:sz w:val="28"/>
          <w:szCs w:val="24"/>
          <w:highlight w:val="none"/>
          <w:lang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年</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rPr>
        <w:t>月</w:t>
      </w:r>
      <w:r>
        <w:rPr>
          <w:rFonts w:hint="eastAsia" w:ascii="宋体" w:hAnsi="宋体" w:eastAsia="宋体" w:cs="宋体"/>
          <w:color w:val="auto"/>
          <w:sz w:val="24"/>
          <w:highlight w:val="none"/>
        </w:rPr>
        <w:br w:type="page"/>
      </w:r>
      <w:r>
        <w:rPr>
          <w:rFonts w:hint="eastAsia" w:ascii="宋体" w:hAnsi="宋体" w:eastAsia="宋体" w:cs="宋体"/>
          <w:b/>
          <w:color w:val="auto"/>
          <w:sz w:val="28"/>
          <w:szCs w:val="24"/>
          <w:highlight w:val="none"/>
          <w:lang w:eastAsia="zh-CN"/>
        </w:rPr>
        <w:t>2026年度蒲城县桥陵镇日光村产业园区生产配套设施项目</w:t>
      </w:r>
    </w:p>
    <w:p w14:paraId="7C096E49">
      <w:pPr>
        <w:shd w:val="clear" w:color="auto" w:fill="auto"/>
        <w:spacing w:line="360" w:lineRule="auto"/>
        <w:jc w:val="center"/>
        <w:rPr>
          <w:rFonts w:hint="eastAsia" w:ascii="宋体" w:hAnsi="宋体" w:eastAsia="宋体" w:cs="宋体"/>
          <w:b/>
          <w:color w:val="auto"/>
          <w:sz w:val="28"/>
          <w:szCs w:val="24"/>
          <w:highlight w:val="red"/>
          <w:lang w:eastAsia="zh-CN"/>
        </w:rPr>
      </w:pPr>
      <w:r>
        <w:rPr>
          <w:rFonts w:hint="eastAsia" w:ascii="宋体" w:hAnsi="宋体" w:eastAsia="宋体" w:cs="宋体"/>
          <w:b/>
          <w:color w:val="auto"/>
          <w:sz w:val="28"/>
          <w:szCs w:val="24"/>
          <w:highlight w:val="none"/>
        </w:rPr>
        <w:t>合</w:t>
      </w:r>
      <w:r>
        <w:rPr>
          <w:rFonts w:hint="eastAsia" w:ascii="宋体" w:hAnsi="宋体" w:eastAsia="宋体" w:cs="宋体"/>
          <w:b/>
          <w:color w:val="auto"/>
          <w:sz w:val="28"/>
          <w:szCs w:val="24"/>
          <w:highlight w:val="none"/>
          <w:lang w:val="en-US" w:eastAsia="zh-CN"/>
        </w:rPr>
        <w:t xml:space="preserve">     </w:t>
      </w:r>
      <w:r>
        <w:rPr>
          <w:rFonts w:hint="eastAsia" w:ascii="宋体" w:hAnsi="宋体" w:eastAsia="宋体" w:cs="宋体"/>
          <w:b/>
          <w:color w:val="auto"/>
          <w:sz w:val="28"/>
          <w:szCs w:val="24"/>
          <w:highlight w:val="none"/>
        </w:rPr>
        <w:t>同</w:t>
      </w:r>
    </w:p>
    <w:p w14:paraId="70580099">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u w:val="single"/>
        </w:rPr>
      </w:pPr>
      <w:r>
        <w:rPr>
          <w:rFonts w:hint="eastAsia" w:ascii="宋体" w:hAnsi="宋体" w:eastAsia="宋体" w:cs="宋体"/>
          <w:b/>
          <w:bCs/>
          <w:color w:val="000000"/>
          <w:sz w:val="24"/>
          <w:szCs w:val="24"/>
          <w:lang w:val="en-US" w:eastAsia="zh-CN"/>
        </w:rPr>
        <w:t>甲方：</w:t>
      </w:r>
      <w:r>
        <w:rPr>
          <w:rFonts w:hint="eastAsia" w:ascii="宋体" w:hAnsi="宋体" w:eastAsia="宋体" w:cs="宋体"/>
          <w:color w:val="000000"/>
          <w:sz w:val="24"/>
          <w:szCs w:val="24"/>
          <w:u w:val="single"/>
        </w:rPr>
        <w:t xml:space="preserve">                               </w:t>
      </w:r>
    </w:p>
    <w:p w14:paraId="7A06B1F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107871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75B85551">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5C2D686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D0284B7">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4D1C9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2EEC23B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7A6CEFC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eastAsia="zh-CN"/>
        </w:rPr>
        <w:t>中标</w:t>
      </w:r>
      <w:r>
        <w:rPr>
          <w:rFonts w:hint="eastAsia" w:ascii="宋体" w:hAnsi="宋体" w:eastAsia="宋体" w:cs="宋体"/>
          <w:b/>
          <w:bCs/>
          <w:color w:val="000000"/>
          <w:sz w:val="24"/>
          <w:szCs w:val="24"/>
          <w:lang w:val="en-US" w:eastAsia="zh-CN"/>
        </w:rPr>
        <w:t>形</w:t>
      </w:r>
      <w:r>
        <w:rPr>
          <w:rFonts w:hint="eastAsia" w:ascii="宋体" w:hAnsi="宋体" w:eastAsia="宋体" w:cs="宋体"/>
          <w:b/>
          <w:bCs/>
          <w:color w:val="000000"/>
          <w:sz w:val="24"/>
          <w:szCs w:val="24"/>
        </w:rPr>
        <w:t>式及材料供应方式：</w:t>
      </w:r>
    </w:p>
    <w:p w14:paraId="71C02F9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eastAsia="zh-CN"/>
        </w:rPr>
      </w:pPr>
      <w:r>
        <w:rPr>
          <w:rFonts w:hint="eastAsia" w:ascii="宋体" w:hAnsi="宋体" w:eastAsia="宋体" w:cs="宋体"/>
          <w:color w:val="000000"/>
          <w:sz w:val="24"/>
          <w:szCs w:val="24"/>
          <w:lang w:val="zh-CN"/>
        </w:rPr>
        <w:t>（一）中标</w:t>
      </w:r>
      <w:r>
        <w:rPr>
          <w:rFonts w:hint="eastAsia" w:ascii="宋体" w:hAnsi="宋体" w:eastAsia="宋体" w:cs="宋体"/>
          <w:color w:val="000000"/>
          <w:sz w:val="24"/>
          <w:szCs w:val="24"/>
          <w:lang w:val="en-US" w:eastAsia="zh-CN"/>
        </w:rPr>
        <w:t>形</w:t>
      </w:r>
      <w:r>
        <w:rPr>
          <w:rFonts w:hint="eastAsia" w:ascii="宋体" w:hAnsi="宋体" w:eastAsia="宋体" w:cs="宋体"/>
          <w:color w:val="000000"/>
          <w:sz w:val="24"/>
          <w:szCs w:val="24"/>
          <w:lang w:val="zh-CN"/>
        </w:rPr>
        <w:t>式：</w:t>
      </w:r>
      <w:r>
        <w:rPr>
          <w:rFonts w:hint="eastAsia" w:ascii="宋体" w:hAnsi="宋体" w:eastAsia="宋体" w:cs="宋体"/>
          <w:color w:val="000000"/>
          <w:sz w:val="24"/>
          <w:szCs w:val="24"/>
          <w:lang w:val="zh-CN" w:eastAsia="zh-CN"/>
        </w:rPr>
        <w:t>包工、包料、包机械、包工期、包质量、包施工措施、包安全、包文明施工、包工程验收等与之相关的所有工作。</w:t>
      </w:r>
    </w:p>
    <w:p w14:paraId="2F08534D">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14:paraId="3A79CCB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14:paraId="61DF4A3C">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5BDF963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本工程暂定总造价（含税价）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其中暂列金</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增值税税率按照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执行。（合同总价具体内容见附件</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《已标价工程量清单》所附投标报价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0C6544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（二）</w:t>
      </w:r>
      <w:r>
        <w:rPr>
          <w:rFonts w:hint="eastAsia" w:ascii="Times New Roman" w:hAnsi="Times New Roman" w:eastAsia="宋体" w:cs="Times New Roman"/>
          <w:sz w:val="24"/>
          <w:szCs w:val="24"/>
          <w:highlight w:val="none"/>
          <w:lang w:eastAsia="zh-CN"/>
        </w:rPr>
        <w:t>本合同采用</w:t>
      </w:r>
      <w:r>
        <w:rPr>
          <w:rFonts w:hint="eastAsia" w:ascii="Times New Roman" w:hAnsi="Times New Roman" w:eastAsia="宋体" w:cs="Times New Roman"/>
          <w:sz w:val="24"/>
          <w:szCs w:val="24"/>
          <w:highlight w:val="none"/>
          <w:u w:val="single"/>
          <w:lang w:val="en-US" w:eastAsia="zh-CN"/>
        </w:rPr>
        <w:t xml:space="preserve">  固定综合单</w:t>
      </w:r>
      <w:r>
        <w:rPr>
          <w:rFonts w:hint="eastAsia" w:ascii="Times New Roman" w:hAnsi="Times New Roman" w:eastAsia="宋体" w:cs="Times New Roman"/>
          <w:sz w:val="24"/>
          <w:szCs w:val="24"/>
          <w:highlight w:val="none"/>
          <w:u w:val="single"/>
          <w:lang w:eastAsia="zh-CN"/>
        </w:rPr>
        <w:t>价</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u w:val="none"/>
          <w:lang w:eastAsia="zh-CN"/>
        </w:rPr>
        <w:t>合同</w:t>
      </w:r>
      <w:r>
        <w:rPr>
          <w:rFonts w:hint="eastAsia" w:ascii="Times New Roman" w:hAnsi="Times New Roman" w:eastAsia="宋体" w:cs="Times New Roman"/>
          <w:sz w:val="24"/>
          <w:szCs w:val="24"/>
          <w:highlight w:val="none"/>
          <w:lang w:eastAsia="zh-CN"/>
        </w:rPr>
        <w:t>形式，</w:t>
      </w:r>
      <w:r>
        <w:rPr>
          <w:rFonts w:hint="eastAsia" w:ascii="Times New Roman" w:hAnsi="Times New Roman" w:eastAsia="宋体" w:cs="Times New Roman"/>
          <w:sz w:val="24"/>
          <w:szCs w:val="24"/>
          <w:highlight w:val="none"/>
          <w:lang w:val="en-US" w:eastAsia="zh-CN"/>
        </w:rPr>
        <w:t>综合单价中已经包含承包内容中的全部费用，最终按照实际工程发</w:t>
      </w:r>
      <w:bookmarkStart w:id="0" w:name="_GoBack"/>
      <w:bookmarkEnd w:id="0"/>
      <w:r>
        <w:rPr>
          <w:rFonts w:hint="eastAsia" w:ascii="Times New Roman" w:hAnsi="Times New Roman" w:eastAsia="宋体" w:cs="Times New Roman"/>
          <w:sz w:val="24"/>
          <w:szCs w:val="24"/>
          <w:highlight w:val="none"/>
          <w:lang w:val="en-US" w:eastAsia="zh-CN"/>
        </w:rPr>
        <w:t>生量进行结算。</w:t>
      </w:r>
    </w:p>
    <w:p w14:paraId="3F6061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三）若实际施工工程量发生变化或甲方原因引起变更的，则以投标报价及相关取费为基础进行调整，调整部分适用的定额及费用文件规定：首先依据投标文件，但不得高于投标期的定额及费用文件规定；如投标文件中没有可依的定额及费用文件的，则可适用于相应工程类别的投标期的定额及费用文件。调整部分中涉及承包商自购设备材料的，其价格在项目实施地区有发布价格的，执行该价格；项目实施地区没有发布价格，则执行甲方项目管理部门审批价格。</w:t>
      </w:r>
    </w:p>
    <w:p w14:paraId="0D0DF79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本项目暂列金金额：</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val="en-US" w:eastAsia="zh-CN"/>
        </w:rPr>
        <w:t>，</w:t>
      </w:r>
      <w:r>
        <w:rPr>
          <w:rFonts w:hint="eastAsia" w:ascii="Times New Roman" w:hAnsi="Times New Roman" w:eastAsia="宋体" w:cs="Times New Roman"/>
          <w:sz w:val="24"/>
          <w:szCs w:val="24"/>
          <w:highlight w:val="none"/>
          <w:lang w:val="en-US" w:eastAsia="zh-CN"/>
        </w:rPr>
        <w:t>暂列金额是甲方暂定并包括在合同中的一笔款项，是因应建设过程中诸多不确定性因素等这类不可避免的价格调整而设立，暂列金包含在合同总造价中，不因列入合同价格而视为中标人所有。工程结算时扣除实际发生金额后的暂列金额余额仍属于发包人所有。</w:t>
      </w:r>
    </w:p>
    <w:p w14:paraId="3F2B2213">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3B9293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69F231D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CB86F7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15A68E8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1BE4A5C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14E3C16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14:paraId="540DA30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14:paraId="5913DF9F">
      <w:pPr>
        <w:keepNext w:val="0"/>
        <w:keepLines w:val="0"/>
        <w:pageBreakBefore w:val="0"/>
        <w:widowControl w:val="0"/>
        <w:shd w:val="clear" w:color="auto" w:fill="auto"/>
        <w:kinsoku/>
        <w:wordWrap/>
        <w:overflowPunct/>
        <w:topLinePunct w:val="0"/>
        <w:bidi w:val="0"/>
        <w:adjustRightInd w:val="0"/>
        <w:snapToGrid w:val="0"/>
        <w:spacing w:line="360" w:lineRule="auto"/>
        <w:ind w:firstLine="600" w:firstLineChars="249"/>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73035BB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（一）甲方责任：</w:t>
      </w:r>
    </w:p>
    <w:p w14:paraId="2CA1676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14:paraId="6E65A11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zh-CN"/>
        </w:rPr>
        <w:t>、对工程进度、质量进行监督检查。</w:t>
      </w:r>
    </w:p>
    <w:p w14:paraId="041688D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、组织有关单位对工程进行竣工验收。</w:t>
      </w:r>
    </w:p>
    <w:p w14:paraId="6B34B9F5">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、按时支付工程款。</w:t>
      </w:r>
    </w:p>
    <w:p w14:paraId="6C4311B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（二）乙方责任：</w:t>
      </w:r>
    </w:p>
    <w:p w14:paraId="50BDE75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14:paraId="29BE1EDC">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3C3FF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01DE35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14:paraId="68D6BC9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EE11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1AE80A0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89DA1C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0927B83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59B4FA3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、验收</w:t>
      </w:r>
    </w:p>
    <w:p w14:paraId="71BAC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A12945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275BA77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566DB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35C48B2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招标文件</w:t>
      </w:r>
      <w:r>
        <w:rPr>
          <w:rFonts w:hint="eastAsia" w:ascii="宋体" w:hAnsi="宋体" w:eastAsia="宋体" w:cs="宋体"/>
          <w:sz w:val="24"/>
          <w:szCs w:val="24"/>
          <w:lang w:val="zh-CN"/>
        </w:rPr>
        <w:t>、</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5FF04DB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37CEE72F">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工程保修</w:t>
      </w:r>
    </w:p>
    <w:p w14:paraId="5737FA6F">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4206272D">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、争议的解决方式</w:t>
      </w:r>
    </w:p>
    <w:p w14:paraId="57AB3302">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0E3EEEF7">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DAFEAD7">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一)实际签订合同时，以《建设工程施工合同（示范文本）》（GF</w:t>
      </w:r>
      <w:r>
        <w:rPr>
          <w:rFonts w:hint="eastAsia" w:ascii="宋体" w:hAnsi="宋体" w:cs="宋体"/>
          <w:sz w:val="24"/>
          <w:szCs w:val="24"/>
          <w:lang w:val="en-US" w:eastAsia="zh-CN"/>
        </w:rPr>
        <w:t>-</w:t>
      </w:r>
      <w:r>
        <w:rPr>
          <w:rFonts w:hint="eastAsia" w:ascii="宋体" w:hAnsi="宋体" w:eastAsia="宋体" w:cs="宋体"/>
          <w:sz w:val="24"/>
          <w:szCs w:val="24"/>
        </w:rPr>
        <w:t>2017</w:t>
      </w:r>
      <w:r>
        <w:rPr>
          <w:rFonts w:hint="eastAsia" w:ascii="宋体" w:hAnsi="宋体" w:cs="宋体"/>
          <w:sz w:val="24"/>
          <w:szCs w:val="24"/>
          <w:lang w:val="en-US" w:eastAsia="zh-CN"/>
        </w:rPr>
        <w:t>-</w:t>
      </w:r>
      <w:r>
        <w:rPr>
          <w:rFonts w:hint="eastAsia" w:ascii="宋体" w:hAnsi="宋体" w:eastAsia="宋体" w:cs="宋体"/>
          <w:sz w:val="24"/>
          <w:szCs w:val="24"/>
        </w:rPr>
        <w:t>0201）为基础，按采购监管部门相关要求确定施工承包合同最终文本和格式</w:t>
      </w:r>
      <w:r>
        <w:rPr>
          <w:rFonts w:hint="eastAsia" w:ascii="宋体" w:hAnsi="宋体" w:eastAsia="宋体" w:cs="宋体"/>
          <w:color w:val="auto"/>
          <w:sz w:val="24"/>
          <w:szCs w:val="24"/>
        </w:rPr>
        <w:t>；其实质条款和内容须与本项目</w:t>
      </w:r>
      <w:r>
        <w:rPr>
          <w:rFonts w:hint="eastAsia" w:ascii="宋体" w:hAnsi="宋体" w:eastAsia="宋体" w:cs="宋体"/>
          <w:color w:val="auto"/>
          <w:sz w:val="24"/>
          <w:szCs w:val="24"/>
          <w:lang w:val="en-US" w:eastAsia="zh-CN"/>
        </w:rPr>
        <w:t>招标文件、投标文件</w:t>
      </w:r>
      <w:r>
        <w:rPr>
          <w:rFonts w:hint="eastAsia" w:ascii="宋体" w:hAnsi="宋体" w:eastAsia="宋体" w:cs="宋体"/>
          <w:color w:val="auto"/>
          <w:sz w:val="24"/>
          <w:szCs w:val="24"/>
        </w:rPr>
        <w:t>一致。</w:t>
      </w:r>
    </w:p>
    <w:p w14:paraId="19253CC6">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79CA35BE">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、附则</w:t>
      </w:r>
    </w:p>
    <w:p w14:paraId="1BD1E66B">
      <w:pPr>
        <w:keepNext w:val="0"/>
        <w:keepLines w:val="0"/>
        <w:pageBreakBefore w:val="0"/>
        <w:widowControl w:val="0"/>
        <w:shd w:val="clear" w:color="auto" w:fill="auto"/>
        <w:tabs>
          <w:tab w:val="left" w:pos="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D9048D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1F8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2011F00">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甲方(盖章)</w:t>
            </w:r>
          </w:p>
        </w:tc>
        <w:tc>
          <w:tcPr>
            <w:tcW w:w="2500" w:type="pct"/>
            <w:tcBorders>
              <w:top w:val="nil"/>
              <w:left w:val="nil"/>
              <w:bottom w:val="nil"/>
              <w:right w:val="nil"/>
            </w:tcBorders>
            <w:noWrap w:val="0"/>
            <w:vAlign w:val="center"/>
          </w:tcPr>
          <w:p w14:paraId="02D665B1">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乙方</w:t>
            </w:r>
            <w:r>
              <w:rPr>
                <w:rFonts w:hint="eastAsia" w:ascii="宋体" w:hAnsi="宋体" w:eastAsia="宋体" w:cs="宋体"/>
                <w:color w:val="auto"/>
                <w:kern w:val="0"/>
                <w:sz w:val="24"/>
                <w:szCs w:val="24"/>
              </w:rPr>
              <w:t>(盖章)</w:t>
            </w:r>
          </w:p>
        </w:tc>
      </w:tr>
      <w:tr w14:paraId="6F53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47497C2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4EEA341B">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c>
          <w:tcPr>
            <w:tcW w:w="2500" w:type="pct"/>
            <w:tcBorders>
              <w:top w:val="nil"/>
              <w:left w:val="nil"/>
              <w:bottom w:val="nil"/>
              <w:right w:val="nil"/>
            </w:tcBorders>
            <w:noWrap w:val="0"/>
            <w:vAlign w:val="center"/>
          </w:tcPr>
          <w:p w14:paraId="2367A88C">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3C91C88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r>
      <w:tr w14:paraId="347B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50060B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c>
          <w:tcPr>
            <w:tcW w:w="2500" w:type="pct"/>
            <w:tcBorders>
              <w:top w:val="nil"/>
              <w:left w:val="nil"/>
              <w:bottom w:val="nil"/>
              <w:right w:val="nil"/>
            </w:tcBorders>
            <w:noWrap w:val="0"/>
            <w:vAlign w:val="center"/>
          </w:tcPr>
          <w:p w14:paraId="6D93FEE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r>
      <w:tr w14:paraId="6EA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B1A6C3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2500" w:type="pct"/>
            <w:tcBorders>
              <w:top w:val="nil"/>
              <w:left w:val="nil"/>
              <w:bottom w:val="nil"/>
              <w:right w:val="nil"/>
            </w:tcBorders>
            <w:noWrap w:val="0"/>
            <w:vAlign w:val="center"/>
          </w:tcPr>
          <w:p w14:paraId="60CF6F7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电话：</w:t>
            </w:r>
          </w:p>
        </w:tc>
      </w:tr>
      <w:tr w14:paraId="5CA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C53DC1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w:t>
            </w:r>
          </w:p>
        </w:tc>
        <w:tc>
          <w:tcPr>
            <w:tcW w:w="2500" w:type="pct"/>
            <w:tcBorders>
              <w:top w:val="nil"/>
              <w:left w:val="nil"/>
              <w:bottom w:val="nil"/>
              <w:right w:val="nil"/>
            </w:tcBorders>
            <w:noWrap w:val="0"/>
            <w:vAlign w:val="center"/>
          </w:tcPr>
          <w:p w14:paraId="5CE5CF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w:t>
            </w:r>
          </w:p>
        </w:tc>
      </w:tr>
    </w:tbl>
    <w:p w14:paraId="7C7C05E7">
      <w:pPr>
        <w:shd w:val="clear" w:color="auto" w:fill="auto"/>
        <w:spacing w:line="276" w:lineRule="auto"/>
        <w:ind w:firstLine="480" w:firstLineChars="200"/>
        <w:rPr>
          <w:rFonts w:hint="eastAsia" w:ascii="宋体" w:hAnsi="宋体" w:eastAsia="宋体" w:cs="宋体"/>
          <w:sz w:val="24"/>
          <w:szCs w:val="24"/>
        </w:rPr>
      </w:pPr>
    </w:p>
    <w:p w14:paraId="7006E3A3">
      <w:pPr>
        <w:keepNext w:val="0"/>
        <w:keepLines w:val="0"/>
        <w:pageBreakBefore w:val="0"/>
        <w:shd w:val="clear" w:color="auto" w:fill="auto"/>
        <w:kinsoku/>
        <w:wordWrap/>
        <w:overflowPunct/>
        <w:topLinePunct/>
        <w:autoSpaceDE/>
        <w:autoSpaceDN/>
        <w:bidi w:val="0"/>
        <w:spacing w:line="360" w:lineRule="auto"/>
        <w:ind w:firstLine="482" w:firstLineChars="200"/>
        <w:textAlignment w:val="auto"/>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招标文件</w:t>
      </w:r>
      <w:r>
        <w:rPr>
          <w:rFonts w:hint="eastAsia" w:ascii="宋体" w:hAnsi="宋体" w:eastAsia="宋体" w:cs="宋体"/>
          <w:b/>
          <w:bCs/>
          <w:color w:val="000000"/>
          <w:sz w:val="24"/>
          <w:szCs w:val="24"/>
          <w:highlight w:val="none"/>
        </w:rPr>
        <w:t>的条款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C0F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E9273">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4E927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64E95"/>
    <w:rsid w:val="08597DA5"/>
    <w:rsid w:val="191A70DD"/>
    <w:rsid w:val="1F0457BD"/>
    <w:rsid w:val="3390201E"/>
    <w:rsid w:val="3810372D"/>
    <w:rsid w:val="51B353FD"/>
    <w:rsid w:val="5AF64E95"/>
    <w:rsid w:val="5D740137"/>
    <w:rsid w:val="5E7D5CF4"/>
    <w:rsid w:val="654F4108"/>
    <w:rsid w:val="75510906"/>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20"/>
    </w:rPr>
  </w:style>
  <w:style w:type="table" w:styleId="6">
    <w:name w:val="Table Grid"/>
    <w:basedOn w:val="5"/>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2513</Words>
  <Characters>2532</Characters>
  <Lines>0</Lines>
  <Paragraphs>0</Paragraphs>
  <TotalTime>1</TotalTime>
  <ScaleCrop>false</ScaleCrop>
  <LinksUpToDate>false</LinksUpToDate>
  <CharactersWithSpaces>2881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2025-07-10T03:21:00Z</dcterms:created>
  <dc:creator>超级刀刀贼</dc:creator>
  <cp:lastModifiedBy>超级刀刀贼</cp:lastModifiedBy>
  <dcterms:modified xsi:type="dcterms:W3CDTF">2026-08-07T07:56:14Z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220E61C089FD4CE2B039281AA31B86B3_11</vt:lpwstr>
  </property>
  <property fmtid="{D5CDD505-2E9C-101B-9397-08002B2CF9AE}" pid="4" name="KSOTemplateDocerSaveRecord">
    <vt:lpwstr>eyJoZGlkIjoiOTE2ODUxZTQ2ZWVlNzNhMDhmZjdkZjBiZWIwODUxN2IiLCJ1c2VySWQiOiIyNzk1NDI0NDcifQ==</vt:lpwstr>
  </property>
</Properties>
</file>