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版本号：SXDY-2026-212号20260710001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镇安县月河镇健身步道工程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SXDY-2026-212号</w:t>
      </w:r>
      <w:r>
        <w:br/>
      </w:r>
      <w:r>
        <w:br/>
      </w:r>
      <w:r>
        <w:br/>
      </w:r>
    </w:p>
    <w:p>
      <w:pPr>
        <w:pStyle w:val="null3"/>
        <w:jc w:val="center"/>
        <w:outlineLvl w:val="2"/>
      </w:pPr>
      <w:r>
        <w:rPr>
          <w:rFonts w:ascii="仿宋_GB2312" w:hAnsi="仿宋_GB2312" w:cs="仿宋_GB2312" w:eastAsia="仿宋_GB2312"/>
          <w:sz w:val="28"/>
          <w:b/>
        </w:rPr>
        <w:t>镇安县体育运动中心</w:t>
      </w:r>
    </w:p>
    <w:p>
      <w:pPr>
        <w:pStyle w:val="null3"/>
        <w:jc w:val="center"/>
        <w:outlineLvl w:val="2"/>
      </w:pPr>
      <w:r>
        <w:rPr>
          <w:rFonts w:ascii="仿宋_GB2312" w:hAnsi="仿宋_GB2312" w:cs="仿宋_GB2312" w:eastAsia="仿宋_GB2312"/>
          <w:sz w:val="28"/>
          <w:b/>
        </w:rPr>
        <w:t>陕西大用项目管理有限公司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陕西大用项目管理有限公司</w:t>
      </w:r>
      <w:r>
        <w:rPr>
          <w:rFonts w:ascii="仿宋_GB2312" w:hAnsi="仿宋_GB2312" w:cs="仿宋_GB2312" w:eastAsia="仿宋_GB2312"/>
        </w:rPr>
        <w:t>（以下简称“代理机构”）受</w:t>
      </w:r>
      <w:r>
        <w:rPr>
          <w:rFonts w:ascii="仿宋_GB2312" w:hAnsi="仿宋_GB2312" w:cs="仿宋_GB2312" w:eastAsia="仿宋_GB2312"/>
        </w:rPr>
        <w:t>镇安县体育运动中心</w:t>
      </w:r>
      <w:r>
        <w:rPr>
          <w:rFonts w:ascii="仿宋_GB2312" w:hAnsi="仿宋_GB2312" w:cs="仿宋_GB2312" w:eastAsia="仿宋_GB2312"/>
        </w:rPr>
        <w:t>委托，拟对</w:t>
      </w:r>
      <w:r>
        <w:rPr>
          <w:rFonts w:ascii="仿宋_GB2312" w:hAnsi="仿宋_GB2312" w:cs="仿宋_GB2312" w:eastAsia="仿宋_GB2312"/>
        </w:rPr>
        <w:t>镇安县月河镇健身步道工程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SXDY-2026-212号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镇安县月河镇健身步道工程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镇安县体育运动中心镇安县月河镇健身步道工程，包括铺设混凝土及地坪漆步道800米、搭建空中步道96米、1754米步道路段每隔50m间距安装健身器。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采购包1（镇安县月河镇健身步道工程）：属于专门面向中小企业采购。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1、营业执照：供应商为具有独立承担民事责任能力的法人或其他组织。企业法人应提供合法有效的标识有统一社会信用代码的营业执照；事业法人应提供事业单位法人证书；其他组织应提供合法登记证明文件。</w:t>
      </w:r>
    </w:p>
    <w:p>
      <w:pPr>
        <w:pStyle w:val="null3"/>
      </w:pPr>
      <w:r>
        <w:rPr>
          <w:rFonts w:ascii="仿宋_GB2312" w:hAnsi="仿宋_GB2312" w:cs="仿宋_GB2312" w:eastAsia="仿宋_GB2312"/>
        </w:rPr>
        <w:t>2、企业资质：供应商须具备市政公用工程总承包三级及以上资质，并具有合法有效的安全生产许可证。</w:t>
      </w:r>
    </w:p>
    <w:p>
      <w:pPr>
        <w:pStyle w:val="null3"/>
      </w:pPr>
      <w:r>
        <w:rPr>
          <w:rFonts w:ascii="仿宋_GB2312" w:hAnsi="仿宋_GB2312" w:cs="仿宋_GB2312" w:eastAsia="仿宋_GB2312"/>
        </w:rPr>
        <w:t>3、身份授权：供应商应授权合法的人员参加磋商全过程，其中法定代表人直接参加磋商的，须出具法人身份证，并与营业执照上信息一致。法定代表人授权代表参加磋商的，须出具法定代表人授权书及授权代表身份证。</w:t>
      </w:r>
    </w:p>
    <w:p>
      <w:pPr>
        <w:pStyle w:val="null3"/>
      </w:pPr>
      <w:r>
        <w:rPr>
          <w:rFonts w:ascii="仿宋_GB2312" w:hAnsi="仿宋_GB2312" w:cs="仿宋_GB2312" w:eastAsia="仿宋_GB2312"/>
        </w:rPr>
        <w:t>4、拟派项目负责人专业要求：拟派项目经理须具备市政公用工程专业二级及以上注册建造师资格，具备有效的安全生产考核合格证书（建安B证），且未担任其他在建工程项目的项目经理。</w:t>
      </w:r>
    </w:p>
    <w:p>
      <w:pPr>
        <w:pStyle w:val="null3"/>
      </w:pPr>
      <w:r>
        <w:rPr>
          <w:rFonts w:ascii="仿宋_GB2312" w:hAnsi="仿宋_GB2312" w:cs="仿宋_GB2312" w:eastAsia="仿宋_GB2312"/>
        </w:rPr>
        <w:t>5、财务状况报告（任选其一）：提供应商2025年度经审计的财务报告或磋商截止时间前三个月内其基本开户银行出具的资信证明及账户开户许可证明材料或财政部门认可的政府采购专业担保机构开具的投标担保函。</w:t>
      </w:r>
    </w:p>
    <w:p>
      <w:pPr>
        <w:pStyle w:val="null3"/>
      </w:pPr>
      <w:r>
        <w:rPr>
          <w:rFonts w:ascii="仿宋_GB2312" w:hAnsi="仿宋_GB2312" w:cs="仿宋_GB2312" w:eastAsia="仿宋_GB2312"/>
        </w:rPr>
        <w:t>6、税收缴纳证明：提供2026年01月至今已缴纳的至少一个月的纳税证明或完税证明（任意税种），依法免税的单位应提供相关证明材料。</w:t>
      </w:r>
    </w:p>
    <w:p>
      <w:pPr>
        <w:pStyle w:val="null3"/>
      </w:pPr>
      <w:r>
        <w:rPr>
          <w:rFonts w:ascii="仿宋_GB2312" w:hAnsi="仿宋_GB2312" w:cs="仿宋_GB2312" w:eastAsia="仿宋_GB2312"/>
        </w:rPr>
        <w:t>7、社会保障资金缴纳证明：提供2026年01月至今已缴存的至少一个月的社会保障资金缴存单据或社保机构开具的社会保险参保缴费情况证明，依法不需要缴纳社会保障资金的单位应提供相关证明材料。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8、没有重大违法记录的书面声明：提供参加政府采购活动前三年内在经营活动中没有重大违法记录的书面声明。</w:t>
      </w:r>
    </w:p>
    <w:p>
      <w:pPr>
        <w:pStyle w:val="null3"/>
      </w:pPr>
      <w:r>
        <w:rPr>
          <w:rFonts w:ascii="仿宋_GB2312" w:hAnsi="仿宋_GB2312" w:cs="仿宋_GB2312" w:eastAsia="仿宋_GB2312"/>
        </w:rPr>
        <w:t>9、具有履行本合同所必需的设备和专业技术能力的声明：提供具有履行本合同所必需的设备和专业技术能力的声明。</w:t>
      </w:r>
    </w:p>
    <w:p>
      <w:pPr>
        <w:pStyle w:val="null3"/>
      </w:pPr>
      <w:r>
        <w:rPr>
          <w:rFonts w:ascii="仿宋_GB2312" w:hAnsi="仿宋_GB2312" w:cs="仿宋_GB2312" w:eastAsia="仿宋_GB2312"/>
        </w:rPr>
        <w:t>10、中小企业声明函：本项目为专门面向中小企业项目，供应商须为中型企业或者小型、微型企业或监狱企业或残疾人福利性单位。</w:t>
      </w:r>
    </w:p>
    <w:p>
      <w:pPr>
        <w:pStyle w:val="null3"/>
      </w:pPr>
      <w:r>
        <w:rPr>
          <w:rFonts w:ascii="仿宋_GB2312" w:hAnsi="仿宋_GB2312" w:cs="仿宋_GB2312" w:eastAsia="仿宋_GB2312"/>
        </w:rPr>
        <w:t>11、供应商信用：不得为"信用中国"网站(htp/www.creditchina.gov.cn)列入"失信被执行人、重大税收违法失信主体"的供应商；不得为中国政府采购网(htp://www.ccgp.govcn))政府采购严重违法失信行为记录名单”中的供应商。(以磋商当日现场查询结果为准)</w:t>
      </w:r>
    </w:p>
    <w:p>
      <w:pPr>
        <w:pStyle w:val="null3"/>
      </w:pPr>
      <w:r>
        <w:rPr>
          <w:rFonts w:ascii="仿宋_GB2312" w:hAnsi="仿宋_GB2312" w:cs="仿宋_GB2312" w:eastAsia="仿宋_GB2312"/>
        </w:rPr>
        <w:t>12、非联合体磋商：本项目不接受联合体磋商</w:t>
      </w:r>
    </w:p>
    <w:p>
      <w:pPr>
        <w:pStyle w:val="null3"/>
      </w:pPr>
      <w:r>
        <w:rPr>
          <w:rFonts w:ascii="仿宋_GB2312" w:hAnsi="仿宋_GB2312" w:cs="仿宋_GB2312" w:eastAsia="仿宋_GB2312"/>
        </w:rPr>
        <w:t>13、控股管理关系：单位负责人为同一人或者存在直接控股、管理关系的不同供应商，不得参加同一合同项下的政府采购活动。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14、陕西省政府采购供应商拒绝政府采购领域商业贿赂承诺书：陕西省政府采购供应商拒绝政府采购领域商业贿赂承诺书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镇安县体育运动中心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镇安县岭南路176号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毛照华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13098233020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陕西大用项目管理有限公司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陕西省西安市雁塔区汇成天玺酒店C座11楼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13399142277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刘根子</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13154072255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采购包1：1,028,181.25元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印发《招标代理服务收费管理暂行办法》的通知（计价格[2002]1980号）文件、发改价格[2011]534号文件及国家发改委印发的《关于进一步放开建设项目专业服务价格的通知》[2015]299号文件的收取标准计取；招标代理服务费由成交单位在领取成交通知书前一次性支付。</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镇安县体育运动中心</w:t>
      </w:r>
      <w:r>
        <w:rPr>
          <w:rFonts w:ascii="仿宋_GB2312" w:hAnsi="仿宋_GB2312" w:cs="仿宋_GB2312" w:eastAsia="仿宋_GB2312"/>
        </w:rPr>
        <w:t>和</w:t>
      </w:r>
      <w:r>
        <w:rPr>
          <w:rFonts w:ascii="仿宋_GB2312" w:hAnsi="仿宋_GB2312" w:cs="仿宋_GB2312" w:eastAsia="仿宋_GB2312"/>
        </w:rPr>
        <w:t>陕西大用项目管理有限公司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镇安县体育运动中心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陕西大用项目管理有限公司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镇安县体育运动中心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陕西大用项目管理有限公司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联系人：张丹</w:t>
      </w:r>
    </w:p>
    <w:p>
      <w:pPr>
        <w:pStyle w:val="null3"/>
      </w:pPr>
      <w:r>
        <w:rPr>
          <w:rFonts w:ascii="仿宋_GB2312" w:hAnsi="仿宋_GB2312" w:cs="仿宋_GB2312" w:eastAsia="仿宋_GB2312"/>
        </w:rPr>
        <w:t>联系电话：13399142277</w:t>
      </w:r>
    </w:p>
    <w:p>
      <w:pPr>
        <w:pStyle w:val="null3"/>
      </w:pPr>
      <w:r>
        <w:rPr>
          <w:rFonts w:ascii="仿宋_GB2312" w:hAnsi="仿宋_GB2312" w:cs="仿宋_GB2312" w:eastAsia="仿宋_GB2312"/>
        </w:rPr>
        <w:t>地址：陕西省商洛市镇安县永乐街道办镇城社区天坤都市A座四单元301室</w:t>
      </w:r>
    </w:p>
    <w:p>
      <w:pPr>
        <w:pStyle w:val="null3"/>
      </w:pPr>
      <w:r>
        <w:rPr>
          <w:rFonts w:ascii="仿宋_GB2312" w:hAnsi="仿宋_GB2312" w:cs="仿宋_GB2312" w:eastAsia="仿宋_GB2312"/>
        </w:rPr>
        <w:t>邮编：711500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1,028,181.25</w:t>
      </w:r>
    </w:p>
    <w:p>
      <w:pPr>
        <w:pStyle w:val="null3"/>
      </w:pPr>
      <w:r>
        <w:rPr>
          <w:rFonts w:ascii="仿宋_GB2312" w:hAnsi="仿宋_GB2312" w:cs="仿宋_GB2312" w:eastAsia="仿宋_GB2312"/>
        </w:rPr>
        <w:t>采购包最高限价（元）: 1,028,181.25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健身步道</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1,028,181.25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标的名称：健身步道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一、编制依据</w:t>
            </w:r>
            <w:r>
              <w:br/>
            </w:r>
            <w:r>
              <w:rPr>
                <w:rFonts w:ascii="仿宋_GB2312" w:hAnsi="仿宋_GB2312" w:cs="仿宋_GB2312" w:eastAsia="仿宋_GB2312"/>
              </w:rPr>
              <w:t xml:space="preserve"> 1、《陕西省房屋建筑与装饰、通用安装、市政、园林绿化工程价目表》(2025)</w:t>
            </w:r>
            <w:r>
              <w:br/>
            </w:r>
            <w:r>
              <w:rPr>
                <w:rFonts w:ascii="仿宋_GB2312" w:hAnsi="仿宋_GB2312" w:cs="仿宋_GB2312" w:eastAsia="仿宋_GB2312"/>
              </w:rPr>
              <w:t xml:space="preserve"> 2、《陕西省建设工程工程量清单计价计算标准》(2025)</w:t>
            </w:r>
            <w:r>
              <w:br/>
            </w:r>
            <w:r>
              <w:rPr>
                <w:rFonts w:ascii="仿宋_GB2312" w:hAnsi="仿宋_GB2312" w:cs="仿宋_GB2312" w:eastAsia="仿宋_GB2312"/>
              </w:rPr>
              <w:t xml:space="preserve"> 3、《陕西省住房和城乡建设厅关于印发2025陕西省建设工程费用规则等计价依据的通知》(陕建管发【2025】10号)</w:t>
            </w:r>
            <w:r>
              <w:br/>
            </w:r>
            <w:r>
              <w:rPr>
                <w:rFonts w:ascii="仿宋_GB2312" w:hAnsi="仿宋_GB2312" w:cs="仿宋_GB2312" w:eastAsia="仿宋_GB2312"/>
              </w:rPr>
              <w:t xml:space="preserve"> 4、本工程按一般计税计价</w:t>
            </w:r>
            <w:r>
              <w:br/>
            </w:r>
            <w:r>
              <w:rPr>
                <w:rFonts w:ascii="仿宋_GB2312" w:hAnsi="仿宋_GB2312" w:cs="仿宋_GB2312" w:eastAsia="仿宋_GB2312"/>
              </w:rPr>
              <w:t xml:space="preserve"> 5、混凝土采用商品混凝土</w:t>
            </w:r>
            <w:r>
              <w:br/>
            </w:r>
            <w:r>
              <w:rPr>
                <w:rFonts w:ascii="仿宋_GB2312" w:hAnsi="仿宋_GB2312" w:cs="仿宋_GB2312" w:eastAsia="仿宋_GB2312"/>
              </w:rPr>
              <w:t xml:space="preserve"> 6、镇安县月河镇健身步道项目规划设计方案</w:t>
            </w:r>
            <w:r>
              <w:br/>
            </w:r>
            <w:r>
              <w:rPr>
                <w:rFonts w:ascii="仿宋_GB2312" w:hAnsi="仿宋_GB2312" w:cs="仿宋_GB2312" w:eastAsia="仿宋_GB2312"/>
              </w:rPr>
              <w:t xml:space="preserve"> 二、其他说明:</w:t>
            </w:r>
            <w:r>
              <w:br/>
            </w:r>
            <w:r>
              <w:rPr>
                <w:rFonts w:ascii="仿宋_GB2312" w:hAnsi="仿宋_GB2312" w:cs="仿宋_GB2312" w:eastAsia="仿宋_GB2312"/>
              </w:rPr>
              <w:t xml:space="preserve"> 1、工期：60日历天</w:t>
            </w:r>
          </w:p>
          <w:p>
            <w:pPr>
              <w:pStyle w:val="null3"/>
            </w:pPr>
            <w:r>
              <w:rPr>
                <w:rFonts w:ascii="仿宋_GB2312" w:hAnsi="仿宋_GB2312" w:cs="仿宋_GB2312" w:eastAsia="仿宋_GB2312"/>
              </w:rPr>
              <w:t>2、质保期：2年</w:t>
            </w:r>
          </w:p>
          <w:p>
            <w:pPr>
              <w:pStyle w:val="null3"/>
            </w:pPr>
            <w:r>
              <w:rPr>
                <w:rFonts w:ascii="仿宋_GB2312" w:hAnsi="仿宋_GB2312" w:cs="仿宋_GB2312" w:eastAsia="仿宋_GB2312"/>
              </w:rPr>
              <w:t>3、本工程软件采用广联达计价软件GBQ7.0,版本号7.5000.23.3。</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满足项目清单参数要求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应自响应文件递交截止时间起至开标结束，保持在线状态。2.工期：合同签订后60日历天。3.质量保修期：验收合格后2年。4.本项目合同计价方式为固定单价合同，供应商的报价应包含完成该项目工作所发生的全部费用以及投标人企业利润、税金和政策性文件规定及合同包含的所有风险、责任等一切费用；供应商必须对所投项目全部内容进行完整报价，并列出明细及价格组成。采购人不接受（将拒绝）只对项目部分内容进行报价的投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供应商为具有独立承担民事责任能力的法人或其他组织。企业法人应提供合法有效的标识有统一社会信用代码的营业执照；事业法人应提供事业单位法人证书；其他组织应提供合法登记证明文件。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供应商须具备市政公用工程总承包三级及以上资质，并具有合法有效的安全生产许可证。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身份授权</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供应商应授权合法的人员参加磋商全过程，其中法定代表人直接参加磋商的，须出具法人身份证，并与营业执照上信息一致。法定代表人授权代表参加磋商的，须出具法定代表人授权书及授权代表身份证。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法定代表人身份证明 供应商应提交的相关资格证明材料 法定代表人授权委托书.docx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拟派项目负责人专业要求</w:t>
            </w:r>
          </w:p>
        </w:tc>
        <w:tc>
          <w:tcPr>
            <w:tcW w:type="dxa" w:w="3322"/>
          </w:tcPr>
          <w:p>
            <w:pPr>
              <w:pStyle w:val="null3"/>
            </w:pPr>
            <w:r>
              <w:rPr>
                <w:rFonts w:ascii="仿宋_GB2312" w:hAnsi="仿宋_GB2312" w:cs="仿宋_GB2312" w:eastAsia="仿宋_GB2312"/>
              </w:rPr>
              <w:t>拟派项目经理须具备市政公用工程专业二级及以上注册建造师资格，具备有效的安全生产考核合格证书（建安B证），且未担任其他在建工程项目的项目经理。</w:t>
            </w:r>
          </w:p>
        </w:tc>
        <w:tc>
          <w:tcPr>
            <w:tcW w:type="dxa" w:w="1661"/>
          </w:tcPr>
          <w:p>
            <w:pPr>
              <w:pStyle w:val="null3"/>
            </w:pPr>
            <w:r>
              <w:rPr>
                <w:rFonts w:ascii="仿宋_GB2312" w:hAnsi="仿宋_GB2312" w:cs="仿宋_GB2312" w:eastAsia="仿宋_GB2312"/>
              </w:rPr>
              <w:t>项目管理机构组成表 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财务状况报告（任选其一）</w:t>
            </w:r>
          </w:p>
        </w:tc>
        <w:tc>
          <w:tcPr>
            <w:tcW w:type="dxa" w:w="3322"/>
          </w:tcPr>
          <w:p>
            <w:pPr>
              <w:pStyle w:val="null3"/>
            </w:pPr>
            <w:r>
              <w:rPr>
                <w:rFonts w:ascii="仿宋_GB2312" w:hAnsi="仿宋_GB2312" w:cs="仿宋_GB2312" w:eastAsia="仿宋_GB2312"/>
              </w:rPr>
              <w:t>提供应商2025年度经审计的财务报告或磋商截止时间前三个月内其基本开户银行出具的资信证明及账户开户许可证明材料或财政部门认可的政府采购专业担保机构开具的投标担保函。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提供2026年01月至今已缴纳的至少一个月的纳税证明或完税证明（任意税种），依法免税的单位应提供相关证明材料。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提供2026年01月至今已缴存的至少一个月的社会保障资金缴存单据或社保机构开具的社会保险参保缴费情况证明，依法不需要缴纳社会保障资金的单位应提供相关证明材料。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具有履行本合同所必需的设备和专业技术能力的声明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本项目为专门面向中小企业项目，供应商须为中型企业或者小型、微型企业或监狱企业或残疾人福利性单位。</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供应商信用</w:t>
            </w:r>
          </w:p>
        </w:tc>
        <w:tc>
          <w:tcPr>
            <w:tcW w:type="dxa" w:w="3322"/>
          </w:tcPr>
          <w:p>
            <w:pPr>
              <w:pStyle w:val="null3"/>
            </w:pPr>
            <w:r>
              <w:rPr>
                <w:rFonts w:ascii="仿宋_GB2312" w:hAnsi="仿宋_GB2312" w:cs="仿宋_GB2312" w:eastAsia="仿宋_GB2312"/>
              </w:rPr>
              <w:t>不得为"信用中国"网站(htp/www.creditchina.gov.cn)列入"失信被执行人、重大税收违法失信主体"的供应商；不得为中国政府采购网(htp://www.ccgp.govcn))政府采购严重违法失信行为记录名单”中的供应商。(以磋商当日现场查询结果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陕西省政府采购供应商拒绝政府采购领域商业贿赂承诺书</w:t>
            </w:r>
          </w:p>
        </w:tc>
        <w:tc>
          <w:tcPr>
            <w:tcW w:type="dxa" w:w="3322"/>
          </w:tcPr>
          <w:p>
            <w:pPr>
              <w:pStyle w:val="null3"/>
            </w:pPr>
            <w:r>
              <w:rPr>
                <w:rFonts w:ascii="仿宋_GB2312" w:hAnsi="仿宋_GB2312" w:cs="仿宋_GB2312" w:eastAsia="仿宋_GB2312"/>
              </w:rPr>
              <w:t>陕西省政府采购供应商拒绝政府采购领域商业贿赂承诺书</w:t>
            </w:r>
          </w:p>
        </w:tc>
        <w:tc>
          <w:tcPr>
            <w:tcW w:type="dxa" w:w="1661"/>
          </w:tcPr>
          <w:p>
            <w:pPr>
              <w:pStyle w:val="null3"/>
            </w:pPr>
            <w:r>
              <w:rPr>
                <w:rFonts w:ascii="仿宋_GB2312" w:hAnsi="仿宋_GB2312" w:cs="仿宋_GB2312" w:eastAsia="仿宋_GB2312"/>
              </w:rPr>
              <w:t>陕西省政府采购供应商拒绝政府采购领域商业贿赂承诺书</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在响应文件中指定落款处，按文件要求盖章或签字</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符合磋商文件的格式要求无重大偏离</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响应（投标）内容</w:t>
            </w:r>
          </w:p>
        </w:tc>
        <w:tc>
          <w:tcPr>
            <w:tcW w:type="dxa" w:w="3322"/>
          </w:tcPr>
          <w:p>
            <w:pPr>
              <w:pStyle w:val="null3"/>
            </w:pPr>
            <w:r>
              <w:rPr>
                <w:rFonts w:ascii="仿宋_GB2312" w:hAnsi="仿宋_GB2312" w:cs="仿宋_GB2312" w:eastAsia="仿宋_GB2312"/>
              </w:rPr>
              <w:t>与磋商内容一致，无重大偏离</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自磋商响应文件递交之日起不少于90个日历天</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未超过磋商最高限价</w:t>
            </w:r>
          </w:p>
        </w:tc>
        <w:tc>
          <w:tcPr>
            <w:tcW w:type="dxa" w:w="1661"/>
          </w:tcPr>
          <w:p>
            <w:pPr>
              <w:pStyle w:val="null3"/>
            </w:pPr>
            <w:r>
              <w:rPr>
                <w:rFonts w:ascii="仿宋_GB2312" w:hAnsi="仿宋_GB2312" w:cs="仿宋_GB2312" w:eastAsia="仿宋_GB2312"/>
              </w:rPr>
              <w:t>响应文件封面 已标价工程量清单 报价函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报价函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施⼯⽅案</w:t>
            </w:r>
          </w:p>
        </w:tc>
        <w:tc>
          <w:tcPr>
            <w:tcW w:type="dxa" w:w="2492"/>
          </w:tcPr>
          <w:p>
            <w:pPr>
              <w:pStyle w:val="null3"/>
            </w:pPr>
            <w:r>
              <w:rPr>
                <w:rFonts w:ascii="仿宋_GB2312" w:hAnsi="仿宋_GB2312" w:cs="仿宋_GB2312" w:eastAsia="仿宋_GB2312"/>
              </w:rPr>
              <w:t>1、经过有效性和符合性审核合格的供应商，对质保期、交货期、售后服务等⽅⾯进⾏响应说明，根据响应程度计0-5分，⽆响应说明不计分。 2、投标⽅案描述详细，符合国家规范标准，满⾜磋商⽂件要求，按其响应程度计0-10分； 3、根据供应商提供的施⼯⽅案进⾏综合评⽐，优得5-10分，良得2-5分，⼀般得0-2分。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项⽬管理及⼒量配备</w:t>
            </w:r>
          </w:p>
        </w:tc>
        <w:tc>
          <w:tcPr>
            <w:tcW w:type="dxa" w:w="2492"/>
          </w:tcPr>
          <w:p>
            <w:pPr>
              <w:pStyle w:val="null3"/>
            </w:pPr>
            <w:r>
              <w:rPr>
                <w:rFonts w:ascii="仿宋_GB2312" w:hAnsi="仿宋_GB2312" w:cs="仿宋_GB2312" w:eastAsia="仿宋_GB2312"/>
              </w:rPr>
              <w:t>⼈员⼒量配备优厚，响应并优于⼯程要求得7-10分；完全满⾜得3-7分；⼀般得0-3分。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确保⼯程质量和⼯期的技术组织措施</w:t>
            </w:r>
          </w:p>
        </w:tc>
        <w:tc>
          <w:tcPr>
            <w:tcW w:type="dxa" w:w="2492"/>
          </w:tcPr>
          <w:p>
            <w:pPr>
              <w:pStyle w:val="null3"/>
            </w:pPr>
            <w:r>
              <w:rPr>
                <w:rFonts w:ascii="仿宋_GB2312" w:hAnsi="仿宋_GB2312" w:cs="仿宋_GB2312" w:eastAsia="仿宋_GB2312"/>
              </w:rPr>
              <w:t>所述内容切合⼯程实际，措施切实可⾏，优于⼯程要求得7-10分；满⾜要求得3-7分，⼀般得0-3分。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确保安全⽂明施⼯的 技术组织措施及环境保护措施</w:t>
            </w:r>
          </w:p>
        </w:tc>
        <w:tc>
          <w:tcPr>
            <w:tcW w:type="dxa" w:w="2492"/>
          </w:tcPr>
          <w:p>
            <w:pPr>
              <w:pStyle w:val="null3"/>
            </w:pPr>
            <w:r>
              <w:rPr>
                <w:rFonts w:ascii="仿宋_GB2312" w:hAnsi="仿宋_GB2312" w:cs="仿宋_GB2312" w:eastAsia="仿宋_GB2312"/>
              </w:rPr>
              <w:t>所述技术组织措施切实可⾏，⽅法合理，响应并优于磋商⽂件要求得7-10分；完全满⾜磋商⽂件要求得3-7分；⼀般得0-3分。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近两年等同规模类似项⽬业绩，由评标委员会按供应商提供的项⽬类似程度、数量和⾦额⼤⼩情况赋分。业绩证明（在投标⽂件中提供的合同复印为准，提供1份，得2.5分，不提供得0分，本项最⾼得10分）。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产品质量及功能证明材料</w:t>
            </w:r>
          </w:p>
        </w:tc>
        <w:tc>
          <w:tcPr>
            <w:tcW w:type="dxa" w:w="2492"/>
          </w:tcPr>
          <w:p>
            <w:pPr>
              <w:pStyle w:val="null3"/>
            </w:pPr>
            <w:r>
              <w:rPr>
                <w:rFonts w:ascii="仿宋_GB2312" w:hAnsi="仿宋_GB2312" w:cs="仿宋_GB2312" w:eastAsia="仿宋_GB2312"/>
              </w:rPr>
              <w:t>健⾝设施部分需提供所投产品经⽣产⼚家确认的、相应的满⾜磋商⽂件采购内容要求的产品质量证明材料及功能证明材料（包括但不限于有效期内所投产品的检测报告、产品官⽹、产品的认证证书、数据⽂件或使⽤说明书等技术资料）计0-5分，未提供合法证明⽂件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产品质量及功能证明材料.docx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有效最低报价为基准价。 供应商报价按（有效最低报价/有效投标报价）×30的公式计算其得分。 供应商报价不完整的，不进⼊评标标准价的计算，本项得0分。 经评委⼀致认定，供应商的投标总报价低于公认市场成本，或超过招标预算,其投标将被拒绝。</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详见附件：法定代表人身份证明</w:t>
      </w:r>
    </w:p>
    <w:p>
      <w:pPr>
        <w:pStyle w:val="null3"/>
        <w:ind w:firstLine="960"/>
      </w:pPr>
      <w:r>
        <w:rPr>
          <w:rFonts w:ascii="仿宋_GB2312" w:hAnsi="仿宋_GB2312" w:cs="仿宋_GB2312" w:eastAsia="仿宋_GB2312"/>
        </w:rPr>
        <w:t>详见附件：产品质量及功能证明材料.docx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详见附件：施工方案.docx</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