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A65DA">
      <w:pPr>
        <w:pStyle w:val="6"/>
        <w:jc w:val="center"/>
        <w:outlineLvl w:val="1"/>
        <w:rPr>
          <w:rFonts w:ascii="宋体" w:hAnsi="宋体" w:eastAsia="宋体" w:cs="宋体"/>
        </w:rPr>
      </w:pPr>
      <w:r>
        <w:rPr>
          <w:rFonts w:ascii="宋体" w:hAnsi="宋体" w:eastAsia="宋体" w:cs="宋体"/>
          <w:b/>
          <w:sz w:val="36"/>
        </w:rPr>
        <w:t>拟签订采购合同文本</w:t>
      </w:r>
    </w:p>
    <w:p w14:paraId="7BDDE8E2">
      <w:pPr>
        <w:adjustRightInd w:val="0"/>
        <w:snapToGrid w:val="0"/>
        <w:ind w:firstLine="482"/>
        <w:jc w:val="center"/>
        <w:rPr>
          <w:rFonts w:hint="eastAsia" w:ascii="宋体" w:hAnsi="宋体" w:eastAsia="宋体" w:cs="宋体"/>
          <w:b/>
        </w:rPr>
      </w:pPr>
      <w:r>
        <w:rPr>
          <w:rFonts w:hint="eastAsia" w:ascii="宋体" w:hAnsi="宋体" w:eastAsia="宋体" w:cs="宋体"/>
          <w:b/>
        </w:rPr>
        <w:t>（合同版本仅供参考，最终以采购人校内通用的范本为准）</w:t>
      </w:r>
    </w:p>
    <w:p w14:paraId="0B3C15AC">
      <w:pPr>
        <w:widowControl/>
        <w:ind w:firstLine="562"/>
        <w:jc w:val="center"/>
        <w:rPr>
          <w:rFonts w:hint="eastAsia" w:ascii="宋体" w:hAnsi="宋体" w:eastAsia="宋体" w:cs="宋体"/>
          <w:b/>
          <w:bCs/>
          <w:sz w:val="28"/>
          <w:szCs w:val="28"/>
        </w:rPr>
      </w:pPr>
      <w:r>
        <w:rPr>
          <w:rFonts w:hint="eastAsia" w:ascii="宋体" w:hAnsi="宋体" w:eastAsia="宋体" w:cs="宋体"/>
          <w:b/>
          <w:bCs/>
          <w:sz w:val="28"/>
          <w:szCs w:val="28"/>
        </w:rPr>
        <w:t>西安财经大学图书馆2026年中文电子资源采购项目合同</w:t>
      </w:r>
    </w:p>
    <w:p w14:paraId="1B182CCC">
      <w:pPr>
        <w:widowControl/>
        <w:ind w:left="210" w:leftChars="100" w:firstLine="210" w:firstLineChars="100"/>
        <w:jc w:val="left"/>
        <w:rPr>
          <w:rFonts w:hint="eastAsia" w:ascii="宋体" w:hAnsi="宋体" w:eastAsia="宋体" w:cs="宋体"/>
        </w:rPr>
      </w:pPr>
    </w:p>
    <w:p w14:paraId="097B4243">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甲方：西安财经大学</w:t>
      </w:r>
    </w:p>
    <w:p w14:paraId="58A9C800">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乙方：</w:t>
      </w:r>
    </w:p>
    <w:p w14:paraId="046A82AB">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甲乙双方经协商，就购买</w:t>
      </w:r>
      <w:r>
        <w:rPr>
          <w:rFonts w:hint="eastAsia" w:ascii="宋体" w:hAnsi="宋体" w:eastAsia="宋体" w:cs="宋体"/>
          <w:szCs w:val="21"/>
          <w:u w:val="single"/>
        </w:rPr>
        <w:t xml:space="preserve"> 《西安财经大学图书馆2026年中文电子资源采购项目》+包号授权服务</w:t>
      </w:r>
      <w:r>
        <w:rPr>
          <w:rFonts w:hint="eastAsia" w:ascii="宋体" w:hAnsi="宋体" w:eastAsia="宋体" w:cs="宋体"/>
          <w:szCs w:val="21"/>
        </w:rPr>
        <w:t>，达成如下协议：</w:t>
      </w:r>
    </w:p>
    <w:p w14:paraId="0523855C">
      <w:pPr>
        <w:widowControl/>
        <w:spacing w:line="36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一、订购内容及付款约定</w:t>
      </w:r>
    </w:p>
    <w:p w14:paraId="3EBFC67B">
      <w:pPr>
        <w:widowControl/>
        <w:spacing w:line="360" w:lineRule="auto"/>
        <w:ind w:firstLine="420" w:firstLineChars="200"/>
        <w:jc w:val="left"/>
        <w:rPr>
          <w:rFonts w:hint="eastAsia" w:ascii="宋体" w:hAnsi="宋体" w:eastAsia="宋体" w:cs="宋体"/>
          <w:szCs w:val="21"/>
          <w:u w:val="single"/>
        </w:rPr>
      </w:pPr>
      <w:r>
        <w:rPr>
          <w:rFonts w:hint="eastAsia" w:ascii="宋体" w:hAnsi="宋体" w:eastAsia="宋体" w:cs="宋体"/>
          <w:szCs w:val="21"/>
        </w:rPr>
        <w:t>1.甲方订购内容：</w:t>
      </w:r>
    </w:p>
    <w:tbl>
      <w:tblPr>
        <w:tblStyle w:val="4"/>
        <w:tblW w:w="48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22"/>
        <w:gridCol w:w="1561"/>
        <w:gridCol w:w="2601"/>
        <w:gridCol w:w="1561"/>
      </w:tblGrid>
      <w:tr w14:paraId="4B50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52" w:type="pct"/>
            <w:vAlign w:val="center"/>
          </w:tcPr>
          <w:p w14:paraId="5E2E2F07">
            <w:pPr>
              <w:widowControl/>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1098" w:type="pct"/>
            <w:vAlign w:val="center"/>
          </w:tcPr>
          <w:p w14:paraId="2CCF1149">
            <w:pPr>
              <w:widowControl/>
              <w:spacing w:line="360" w:lineRule="auto"/>
              <w:jc w:val="center"/>
              <w:rPr>
                <w:rFonts w:hint="eastAsia" w:ascii="宋体" w:hAnsi="宋体" w:eastAsia="宋体" w:cs="宋体"/>
                <w:szCs w:val="21"/>
              </w:rPr>
            </w:pPr>
            <w:r>
              <w:rPr>
                <w:rFonts w:hint="eastAsia" w:ascii="宋体" w:hAnsi="宋体" w:eastAsia="宋体" w:cs="宋体"/>
                <w:szCs w:val="21"/>
              </w:rPr>
              <w:t>数据库名称</w:t>
            </w:r>
          </w:p>
        </w:tc>
        <w:tc>
          <w:tcPr>
            <w:tcW w:w="941" w:type="pct"/>
            <w:vAlign w:val="center"/>
          </w:tcPr>
          <w:p w14:paraId="1ED6ED05">
            <w:pPr>
              <w:widowControl/>
              <w:spacing w:line="360" w:lineRule="auto"/>
              <w:jc w:val="center"/>
              <w:rPr>
                <w:rFonts w:hint="eastAsia" w:ascii="宋体" w:hAnsi="宋体" w:eastAsia="宋体" w:cs="宋体"/>
                <w:szCs w:val="21"/>
              </w:rPr>
            </w:pPr>
            <w:r>
              <w:rPr>
                <w:rFonts w:hint="eastAsia" w:ascii="宋体" w:hAnsi="宋体" w:eastAsia="宋体" w:cs="宋体"/>
                <w:szCs w:val="21"/>
              </w:rPr>
              <w:t>开通方式</w:t>
            </w:r>
          </w:p>
        </w:tc>
        <w:tc>
          <w:tcPr>
            <w:tcW w:w="1568" w:type="pct"/>
            <w:shd w:val="clear" w:color="000000" w:fill="FFFFFF"/>
            <w:vAlign w:val="center"/>
          </w:tcPr>
          <w:p w14:paraId="364FA7F1">
            <w:pPr>
              <w:widowControl/>
              <w:spacing w:line="360" w:lineRule="auto"/>
              <w:jc w:val="center"/>
              <w:rPr>
                <w:rFonts w:hint="eastAsia" w:ascii="宋体" w:hAnsi="宋体" w:eastAsia="宋体" w:cs="宋体"/>
                <w:szCs w:val="21"/>
              </w:rPr>
            </w:pPr>
            <w:r>
              <w:rPr>
                <w:rFonts w:hint="eastAsia" w:ascii="宋体" w:hAnsi="宋体" w:eastAsia="宋体" w:cs="宋体"/>
                <w:szCs w:val="21"/>
              </w:rPr>
              <w:t>数据库使用年限</w:t>
            </w:r>
          </w:p>
        </w:tc>
        <w:tc>
          <w:tcPr>
            <w:tcW w:w="941" w:type="pct"/>
            <w:shd w:val="clear" w:color="000000" w:fill="FFFFFF"/>
          </w:tcPr>
          <w:p w14:paraId="28EA9B33">
            <w:pPr>
              <w:widowControl/>
              <w:spacing w:line="360" w:lineRule="auto"/>
              <w:jc w:val="center"/>
              <w:rPr>
                <w:rFonts w:hint="eastAsia" w:ascii="宋体" w:hAnsi="宋体" w:eastAsia="宋体" w:cs="宋体"/>
                <w:szCs w:val="21"/>
              </w:rPr>
            </w:pPr>
            <w:r>
              <w:rPr>
                <w:rFonts w:hint="eastAsia" w:ascii="宋体" w:hAnsi="宋体" w:eastAsia="宋体" w:cs="宋体"/>
                <w:szCs w:val="21"/>
              </w:rPr>
              <w:t>数量（项）</w:t>
            </w:r>
          </w:p>
        </w:tc>
      </w:tr>
      <w:tr w14:paraId="2D6B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72262BE2">
            <w:pPr>
              <w:widowControl/>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1098" w:type="pct"/>
            <w:shd w:val="clear" w:color="000000" w:fill="FFFFFF"/>
          </w:tcPr>
          <w:p w14:paraId="3D6E7417">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51685AEA">
            <w:pPr>
              <w:widowControl/>
              <w:spacing w:line="360" w:lineRule="auto"/>
              <w:ind w:firstLine="420" w:firstLineChars="200"/>
              <w:jc w:val="left"/>
              <w:rPr>
                <w:rFonts w:hint="eastAsia" w:ascii="宋体" w:hAnsi="宋体" w:eastAsia="宋体" w:cs="宋体"/>
                <w:szCs w:val="21"/>
              </w:rPr>
            </w:pPr>
          </w:p>
        </w:tc>
        <w:tc>
          <w:tcPr>
            <w:tcW w:w="1568" w:type="pct"/>
            <w:shd w:val="clear" w:color="000000" w:fill="FFFFFF"/>
            <w:vAlign w:val="center"/>
          </w:tcPr>
          <w:p w14:paraId="2B74A491">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34DA152F">
            <w:pPr>
              <w:widowControl/>
              <w:spacing w:line="360" w:lineRule="auto"/>
              <w:ind w:firstLine="420" w:firstLineChars="200"/>
              <w:jc w:val="left"/>
              <w:rPr>
                <w:rFonts w:hint="eastAsia" w:ascii="宋体" w:hAnsi="宋体" w:eastAsia="宋体" w:cs="宋体"/>
                <w:szCs w:val="21"/>
              </w:rPr>
            </w:pPr>
          </w:p>
        </w:tc>
      </w:tr>
      <w:tr w14:paraId="4289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108D18BA">
            <w:pPr>
              <w:widowControl/>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1098" w:type="pct"/>
            <w:shd w:val="clear" w:color="000000" w:fill="FFFFFF"/>
          </w:tcPr>
          <w:p w14:paraId="0FFA51DE">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11237144">
            <w:pPr>
              <w:widowControl/>
              <w:spacing w:line="360" w:lineRule="auto"/>
              <w:ind w:firstLine="420" w:firstLineChars="200"/>
              <w:jc w:val="left"/>
              <w:rPr>
                <w:rFonts w:hint="eastAsia" w:ascii="宋体" w:hAnsi="宋体" w:eastAsia="宋体" w:cs="宋体"/>
                <w:szCs w:val="21"/>
              </w:rPr>
            </w:pPr>
          </w:p>
        </w:tc>
        <w:tc>
          <w:tcPr>
            <w:tcW w:w="1568" w:type="pct"/>
            <w:shd w:val="clear" w:color="000000" w:fill="FFFFFF"/>
            <w:vAlign w:val="center"/>
          </w:tcPr>
          <w:p w14:paraId="17BCF959">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47B69549">
            <w:pPr>
              <w:widowControl/>
              <w:spacing w:line="360" w:lineRule="auto"/>
              <w:ind w:firstLine="420" w:firstLineChars="200"/>
              <w:jc w:val="left"/>
              <w:rPr>
                <w:rFonts w:hint="eastAsia" w:ascii="宋体" w:hAnsi="宋体" w:eastAsia="宋体" w:cs="宋体"/>
                <w:szCs w:val="21"/>
              </w:rPr>
            </w:pPr>
          </w:p>
        </w:tc>
      </w:tr>
      <w:tr w14:paraId="11E9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41B2079A">
            <w:pPr>
              <w:widowControl/>
              <w:spacing w:line="360" w:lineRule="auto"/>
              <w:jc w:val="center"/>
              <w:rPr>
                <w:rFonts w:hint="eastAsia" w:ascii="宋体" w:hAnsi="宋体" w:eastAsia="宋体" w:cs="宋体"/>
                <w:szCs w:val="21"/>
              </w:rPr>
            </w:pPr>
            <w:r>
              <w:rPr>
                <w:rFonts w:hint="eastAsia" w:ascii="宋体" w:hAnsi="宋体" w:eastAsia="宋体" w:cs="宋体"/>
                <w:szCs w:val="21"/>
              </w:rPr>
              <w:t>3</w:t>
            </w:r>
          </w:p>
        </w:tc>
        <w:tc>
          <w:tcPr>
            <w:tcW w:w="1098" w:type="pct"/>
            <w:shd w:val="clear" w:color="000000" w:fill="FFFFFF"/>
          </w:tcPr>
          <w:p w14:paraId="65DA6A79">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07338165">
            <w:pPr>
              <w:widowControl/>
              <w:spacing w:line="360" w:lineRule="auto"/>
              <w:ind w:firstLine="420" w:firstLineChars="200"/>
              <w:jc w:val="left"/>
              <w:rPr>
                <w:rFonts w:hint="eastAsia" w:ascii="宋体" w:hAnsi="宋体" w:eastAsia="宋体" w:cs="宋体"/>
                <w:szCs w:val="21"/>
              </w:rPr>
            </w:pPr>
          </w:p>
        </w:tc>
        <w:tc>
          <w:tcPr>
            <w:tcW w:w="1568" w:type="pct"/>
            <w:shd w:val="clear" w:color="000000" w:fill="FFFFFF"/>
            <w:vAlign w:val="center"/>
          </w:tcPr>
          <w:p w14:paraId="5DF7C692">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0589C8CD">
            <w:pPr>
              <w:widowControl/>
              <w:spacing w:line="360" w:lineRule="auto"/>
              <w:ind w:firstLine="420" w:firstLineChars="200"/>
              <w:jc w:val="left"/>
              <w:rPr>
                <w:rFonts w:hint="eastAsia" w:ascii="宋体" w:hAnsi="宋体" w:eastAsia="宋体" w:cs="宋体"/>
                <w:szCs w:val="21"/>
              </w:rPr>
            </w:pPr>
          </w:p>
        </w:tc>
      </w:tr>
      <w:tr w14:paraId="2AEE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452" w:type="pct"/>
            <w:shd w:val="clear" w:color="000000" w:fill="FFFFFF"/>
            <w:vAlign w:val="center"/>
          </w:tcPr>
          <w:p w14:paraId="36A377F5">
            <w:pPr>
              <w:widowControl/>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098" w:type="pct"/>
            <w:shd w:val="clear" w:color="000000" w:fill="FFFFFF"/>
          </w:tcPr>
          <w:p w14:paraId="383DC660">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34F01895">
            <w:pPr>
              <w:widowControl/>
              <w:spacing w:line="360" w:lineRule="auto"/>
              <w:ind w:firstLine="420" w:firstLineChars="200"/>
              <w:jc w:val="left"/>
              <w:rPr>
                <w:rFonts w:hint="eastAsia" w:ascii="宋体" w:hAnsi="宋体" w:eastAsia="宋体" w:cs="宋体"/>
                <w:szCs w:val="21"/>
              </w:rPr>
            </w:pPr>
          </w:p>
        </w:tc>
        <w:tc>
          <w:tcPr>
            <w:tcW w:w="1568" w:type="pct"/>
            <w:shd w:val="clear" w:color="000000" w:fill="FFFFFF"/>
            <w:vAlign w:val="center"/>
          </w:tcPr>
          <w:p w14:paraId="79EBDF72">
            <w:pPr>
              <w:widowControl/>
              <w:spacing w:line="360" w:lineRule="auto"/>
              <w:ind w:firstLine="420" w:firstLineChars="200"/>
              <w:jc w:val="left"/>
              <w:rPr>
                <w:rFonts w:hint="eastAsia" w:ascii="宋体" w:hAnsi="宋体" w:eastAsia="宋体" w:cs="宋体"/>
                <w:szCs w:val="21"/>
              </w:rPr>
            </w:pPr>
          </w:p>
        </w:tc>
        <w:tc>
          <w:tcPr>
            <w:tcW w:w="941" w:type="pct"/>
            <w:shd w:val="clear" w:color="000000" w:fill="FFFFFF"/>
            <w:vAlign w:val="center"/>
          </w:tcPr>
          <w:p w14:paraId="68E81804">
            <w:pPr>
              <w:widowControl/>
              <w:spacing w:line="360" w:lineRule="auto"/>
              <w:ind w:firstLine="420" w:firstLineChars="200"/>
              <w:jc w:val="left"/>
              <w:rPr>
                <w:rFonts w:hint="eastAsia" w:ascii="宋体" w:hAnsi="宋体" w:eastAsia="宋体" w:cs="宋体"/>
                <w:szCs w:val="21"/>
              </w:rPr>
            </w:pPr>
          </w:p>
        </w:tc>
      </w:tr>
    </w:tbl>
    <w:p w14:paraId="0FEE17AD">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2.合同总价为：人民币￥</w:t>
      </w:r>
      <w:r>
        <w:rPr>
          <w:rFonts w:hint="eastAsia" w:ascii="宋体" w:hAnsi="宋体" w:eastAsia="宋体" w:cs="宋体"/>
          <w:b/>
          <w:szCs w:val="21"/>
          <w:u w:val="single"/>
        </w:rPr>
        <w:t xml:space="preserve">       </w:t>
      </w:r>
      <w:r>
        <w:rPr>
          <w:rFonts w:hint="eastAsia" w:ascii="宋体" w:hAnsi="宋体" w:eastAsia="宋体" w:cs="宋体"/>
          <w:szCs w:val="21"/>
        </w:rPr>
        <w:t>元（大写）</w:t>
      </w:r>
      <w:r>
        <w:rPr>
          <w:rFonts w:hint="eastAsia" w:ascii="宋体" w:hAnsi="宋体" w:eastAsia="宋体" w:cs="宋体"/>
          <w:szCs w:val="21"/>
          <w:u w:val="single"/>
        </w:rPr>
        <w:t xml:space="preserve">             </w:t>
      </w:r>
      <w:r>
        <w:rPr>
          <w:rFonts w:hint="eastAsia" w:ascii="宋体" w:hAnsi="宋体" w:eastAsia="宋体" w:cs="宋体"/>
          <w:szCs w:val="21"/>
        </w:rPr>
        <w:t>。</w:t>
      </w:r>
    </w:p>
    <w:p w14:paraId="747ED5B9">
      <w:pPr>
        <w:pStyle w:val="3"/>
        <w:spacing w:line="360" w:lineRule="auto"/>
        <w:ind w:firstLine="420" w:firstLineChars="200"/>
        <w:jc w:val="left"/>
        <w:rPr>
          <w:rFonts w:hint="eastAsia" w:hAnsi="宋体" w:cs="宋体"/>
          <w:szCs w:val="21"/>
        </w:rPr>
      </w:pPr>
      <w:r>
        <w:rPr>
          <w:rFonts w:hint="eastAsia" w:hAnsi="宋体" w:cs="宋体"/>
          <w:szCs w:val="21"/>
        </w:rPr>
        <w:t>3.付款方式：</w:t>
      </w:r>
      <w:r>
        <w:rPr>
          <w:rFonts w:hint="eastAsia" w:hAnsi="宋体" w:cs="宋体"/>
          <w:szCs w:val="21"/>
          <w:lang w:val="en-US" w:eastAsia="zh-CN"/>
        </w:rPr>
        <w:t>在乙方开通远程权限试运行3个月，运行正常甲方验收合格，待乙方提供符合甲方要求的发票后 ，达到付款条件起15个工作日内，支付合同总金额的100.0% 。</w:t>
      </w:r>
    </w:p>
    <w:p w14:paraId="28BD8EF1">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4.乙方应该在甲方付款前为甲方开具等额正式税务发票，否则，甲方有权拒绝付款且不承担任何违约责任。</w:t>
      </w:r>
    </w:p>
    <w:p w14:paraId="0B218766">
      <w:pPr>
        <w:widowControl/>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5.乙方账户信息如下：</w:t>
      </w:r>
    </w:p>
    <w:tbl>
      <w:tblPr>
        <w:tblStyle w:val="4"/>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6"/>
        <w:gridCol w:w="6767"/>
      </w:tblGrid>
      <w:tr w14:paraId="75DE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20541159">
            <w:pPr>
              <w:snapToGrid w:val="0"/>
              <w:spacing w:line="360" w:lineRule="auto"/>
              <w:jc w:val="center"/>
              <w:rPr>
                <w:rFonts w:hint="eastAsia" w:ascii="宋体" w:hAnsi="宋体" w:eastAsia="宋体" w:cs="宋体"/>
                <w:szCs w:val="21"/>
              </w:rPr>
            </w:pPr>
            <w:r>
              <w:rPr>
                <w:rFonts w:hint="eastAsia" w:ascii="宋体" w:hAnsi="宋体" w:eastAsia="宋体" w:cs="宋体"/>
                <w:szCs w:val="21"/>
              </w:rPr>
              <w:t>账户名称</w:t>
            </w:r>
          </w:p>
        </w:tc>
        <w:tc>
          <w:tcPr>
            <w:tcW w:w="6767" w:type="dxa"/>
            <w:vAlign w:val="center"/>
          </w:tcPr>
          <w:p w14:paraId="542A4D23">
            <w:pPr>
              <w:snapToGrid w:val="0"/>
              <w:spacing w:line="360" w:lineRule="auto"/>
              <w:ind w:firstLine="420" w:firstLineChars="200"/>
              <w:jc w:val="center"/>
              <w:rPr>
                <w:rFonts w:hint="eastAsia" w:ascii="宋体" w:hAnsi="宋体" w:eastAsia="宋体" w:cs="宋体"/>
                <w:szCs w:val="21"/>
              </w:rPr>
            </w:pPr>
          </w:p>
        </w:tc>
      </w:tr>
      <w:tr w14:paraId="3375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62D8ABD1">
            <w:pPr>
              <w:snapToGrid w:val="0"/>
              <w:spacing w:line="360" w:lineRule="auto"/>
              <w:jc w:val="center"/>
              <w:rPr>
                <w:rFonts w:hint="eastAsia" w:ascii="宋体" w:hAnsi="宋体" w:eastAsia="宋体" w:cs="宋体"/>
                <w:szCs w:val="21"/>
              </w:rPr>
            </w:pPr>
            <w:r>
              <w:rPr>
                <w:rFonts w:hint="eastAsia" w:ascii="宋体" w:hAnsi="宋体" w:eastAsia="宋体" w:cs="宋体"/>
                <w:szCs w:val="21"/>
              </w:rPr>
              <w:t>开户银行</w:t>
            </w:r>
          </w:p>
        </w:tc>
        <w:tc>
          <w:tcPr>
            <w:tcW w:w="6767" w:type="dxa"/>
            <w:vAlign w:val="center"/>
          </w:tcPr>
          <w:p w14:paraId="2D446225">
            <w:pPr>
              <w:snapToGrid w:val="0"/>
              <w:spacing w:line="360" w:lineRule="auto"/>
              <w:ind w:firstLine="420" w:firstLineChars="200"/>
              <w:jc w:val="center"/>
              <w:rPr>
                <w:rFonts w:hint="eastAsia" w:ascii="宋体" w:hAnsi="宋体" w:eastAsia="宋体" w:cs="宋体"/>
                <w:szCs w:val="21"/>
              </w:rPr>
            </w:pPr>
          </w:p>
        </w:tc>
      </w:tr>
      <w:tr w14:paraId="3DB0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4DB302A7">
            <w:pPr>
              <w:snapToGrid w:val="0"/>
              <w:spacing w:line="360" w:lineRule="auto"/>
              <w:jc w:val="center"/>
              <w:rPr>
                <w:rFonts w:hint="eastAsia" w:ascii="宋体" w:hAnsi="宋体" w:eastAsia="宋体" w:cs="宋体"/>
                <w:szCs w:val="21"/>
              </w:rPr>
            </w:pPr>
            <w:r>
              <w:rPr>
                <w:rFonts w:hint="eastAsia" w:ascii="宋体" w:hAnsi="宋体" w:eastAsia="宋体" w:cs="宋体"/>
                <w:szCs w:val="21"/>
              </w:rPr>
              <w:t>银行账号</w:t>
            </w:r>
          </w:p>
        </w:tc>
        <w:tc>
          <w:tcPr>
            <w:tcW w:w="6767" w:type="dxa"/>
            <w:vAlign w:val="center"/>
          </w:tcPr>
          <w:p w14:paraId="677990B0">
            <w:pPr>
              <w:adjustRightInd w:val="0"/>
              <w:snapToGrid w:val="0"/>
              <w:spacing w:line="360" w:lineRule="auto"/>
              <w:ind w:firstLine="420" w:firstLineChars="200"/>
              <w:jc w:val="center"/>
              <w:rPr>
                <w:rFonts w:hint="eastAsia" w:ascii="宋体" w:hAnsi="宋体" w:eastAsia="宋体" w:cs="宋体"/>
                <w:szCs w:val="21"/>
              </w:rPr>
            </w:pPr>
          </w:p>
        </w:tc>
      </w:tr>
      <w:tr w14:paraId="64B7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76" w:type="dxa"/>
            <w:vAlign w:val="center"/>
          </w:tcPr>
          <w:p w14:paraId="3E56A745">
            <w:pPr>
              <w:snapToGrid w:val="0"/>
              <w:spacing w:line="360" w:lineRule="auto"/>
              <w:jc w:val="center"/>
              <w:rPr>
                <w:rFonts w:hint="eastAsia" w:ascii="宋体" w:hAnsi="宋体" w:eastAsia="宋体" w:cs="宋体"/>
                <w:szCs w:val="21"/>
              </w:rPr>
            </w:pPr>
            <w:r>
              <w:rPr>
                <w:rFonts w:hint="eastAsia" w:ascii="宋体" w:hAnsi="宋体" w:eastAsia="宋体" w:cs="宋体"/>
                <w:szCs w:val="21"/>
              </w:rPr>
              <w:t>税号</w:t>
            </w:r>
          </w:p>
        </w:tc>
        <w:tc>
          <w:tcPr>
            <w:tcW w:w="6767" w:type="dxa"/>
            <w:vAlign w:val="center"/>
          </w:tcPr>
          <w:p w14:paraId="1D5BC594">
            <w:pPr>
              <w:adjustRightInd w:val="0"/>
              <w:snapToGrid w:val="0"/>
              <w:spacing w:line="360" w:lineRule="auto"/>
              <w:ind w:firstLine="420" w:firstLineChars="200"/>
              <w:jc w:val="center"/>
              <w:rPr>
                <w:rFonts w:hint="eastAsia" w:ascii="宋体" w:hAnsi="宋体" w:eastAsia="宋体" w:cs="宋体"/>
                <w:szCs w:val="21"/>
              </w:rPr>
            </w:pPr>
          </w:p>
        </w:tc>
      </w:tr>
    </w:tbl>
    <w:p w14:paraId="706F3A9C">
      <w:pPr>
        <w:snapToGrid w:val="0"/>
        <w:spacing w:line="360" w:lineRule="auto"/>
        <w:ind w:firstLine="422" w:firstLineChars="200"/>
        <w:rPr>
          <w:rFonts w:hint="eastAsia" w:ascii="宋体" w:hAnsi="宋体" w:eastAsia="宋体" w:cs="宋体"/>
          <w:b/>
          <w:szCs w:val="21"/>
        </w:rPr>
      </w:pPr>
    </w:p>
    <w:p w14:paraId="76286AB4">
      <w:pPr>
        <w:numPr>
          <w:ilvl w:val="0"/>
          <w:numId w:val="1"/>
        </w:num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甲方的权利与义务</w:t>
      </w:r>
    </w:p>
    <w:p w14:paraId="07927B4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1.甲方的合法用户（教师、学生、研究人员等）均可在本协议规定的IP授权范围内或至少一种校外访问方式使用所订购资源,</w:t>
      </w:r>
      <w:r>
        <w:rPr>
          <w:rFonts w:hint="eastAsia" w:ascii="宋体" w:hAnsi="宋体" w:eastAsia="宋体" w:cs="宋体"/>
          <w:color w:val="333333"/>
          <w:szCs w:val="21"/>
        </w:rPr>
        <w:t>客户下载次数及频次在合理范围内不受限制</w:t>
      </w:r>
      <w:r>
        <w:rPr>
          <w:rFonts w:hint="eastAsia" w:ascii="宋体" w:hAnsi="宋体" w:eastAsia="宋体" w:cs="宋体"/>
          <w:szCs w:val="21"/>
        </w:rPr>
        <w:t>。</w:t>
      </w:r>
    </w:p>
    <w:p w14:paraId="1990C87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2.甲方不得以营利为目的使用网上机器人、蜘蛛或智能元等访问下载工具批量下载乙方产品的任何部分。</w:t>
      </w:r>
    </w:p>
    <w:p w14:paraId="62680786">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3.甲方对乙方所提供的全部数据仅供本单位内部网络IP范围内用户使用，不得删改、转售、转让、转租，或为第三者复制。</w:t>
      </w:r>
    </w:p>
    <w:p w14:paraId="4BF58EA6">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三、乙方的权利与义务</w:t>
      </w:r>
    </w:p>
    <w:p w14:paraId="266E508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1.乙方承诺为甲方提供的数据库资源的知识产权均为乙方合法所有，如出现相关知识产权问题，均与甲方无关，乙方承担与之相关的一切法律责任，如因此造成甲方损失的，由乙方负责赔偿。</w:t>
      </w:r>
    </w:p>
    <w:p w14:paraId="7113CC7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color w:val="000000"/>
          <w:szCs w:val="21"/>
        </w:rPr>
        <w:t>乙方须</w:t>
      </w:r>
      <w:r>
        <w:rPr>
          <w:rFonts w:hint="eastAsia" w:ascii="宋体" w:hAnsi="宋体" w:eastAsia="宋体" w:cs="宋体"/>
          <w:szCs w:val="21"/>
        </w:rPr>
        <w:t>配合甲方组织所购数据库的验收，按合同约定的</w:t>
      </w:r>
      <w:r>
        <w:rPr>
          <w:rFonts w:hint="eastAsia" w:ascii="宋体" w:hAnsi="宋体" w:eastAsia="宋体" w:cs="宋体"/>
          <w:bCs/>
          <w:szCs w:val="21"/>
        </w:rPr>
        <w:t>订购期限提供服务。</w:t>
      </w:r>
    </w:p>
    <w:p w14:paraId="1F97DC6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3.乙方负责甲方所购数据库资源的内容完整收录和及时更新等日常维护，确保甲方用户在合理范围内正常访问。</w:t>
      </w:r>
    </w:p>
    <w:p w14:paraId="1FEE457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4.乙方负责提供甲方所购数据库的自行安装解决方案和安装程序介质，承诺安装</w:t>
      </w:r>
      <w:r>
        <w:rPr>
          <w:rFonts w:hint="eastAsia" w:ascii="宋体" w:hAnsi="宋体" w:eastAsia="宋体" w:cs="宋体"/>
          <w:color w:val="333333"/>
          <w:szCs w:val="21"/>
        </w:rPr>
        <w:t>的软件版本为当前最新，</w:t>
      </w:r>
      <w:r>
        <w:rPr>
          <w:rFonts w:hint="eastAsia" w:ascii="宋体" w:hAnsi="宋体" w:eastAsia="宋体" w:cs="宋体"/>
          <w:szCs w:val="21"/>
        </w:rPr>
        <w:t>以保证甲方用户的正常使用。</w:t>
      </w:r>
    </w:p>
    <w:p w14:paraId="12EC947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5.乙方提供免费软件升级方案以及电子图书核心技术浏览器的免费升级服务。</w:t>
      </w:r>
    </w:p>
    <w:p w14:paraId="19097593">
      <w:pPr>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6.乙方承诺在合同期内为甲方用户提供免费、及时、优质的技术支持与维护。电话及EMAIL支持服务，</w:t>
      </w:r>
      <w:r>
        <w:rPr>
          <w:rFonts w:hint="eastAsia" w:ascii="宋体" w:hAnsi="宋体" w:eastAsia="宋体" w:cs="宋体"/>
          <w:bCs/>
          <w:szCs w:val="21"/>
        </w:rPr>
        <w:t>响应时间不超过1小时</w:t>
      </w:r>
      <w:r>
        <w:rPr>
          <w:rFonts w:hint="eastAsia" w:ascii="宋体" w:hAnsi="宋体" w:eastAsia="宋体" w:cs="宋体"/>
          <w:szCs w:val="21"/>
        </w:rPr>
        <w:t>，若远程支持无法解决问题的，乙方须24小时内上门服务。</w:t>
      </w:r>
    </w:p>
    <w:p w14:paraId="1AF04D0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r>
        <w:rPr>
          <w:rFonts w:hint="eastAsia" w:ascii="宋体" w:hAnsi="宋体" w:eastAsia="宋体" w:cs="宋体"/>
          <w:bCs/>
          <w:szCs w:val="21"/>
        </w:rPr>
        <w:t>若甲方的网络IP地址发生变更，乙方承诺及时予以变更；若甲方硬件条件发生变更，乙方承诺及时配合甲方进行数据的恢复与部署。</w:t>
      </w:r>
    </w:p>
    <w:p w14:paraId="0FC83ACC">
      <w:pPr>
        <w:pStyle w:val="2"/>
        <w:tabs>
          <w:tab w:val="left" w:pos="567"/>
        </w:tabs>
        <w:spacing w:line="360" w:lineRule="auto"/>
        <w:ind w:firstLine="420" w:firstLineChars="200"/>
        <w:rPr>
          <w:rFonts w:hint="eastAsia" w:ascii="宋体" w:hAnsi="宋体" w:cs="宋体"/>
          <w:sz w:val="21"/>
          <w:szCs w:val="21"/>
        </w:rPr>
      </w:pPr>
      <w:r>
        <w:rPr>
          <w:rFonts w:hint="eastAsia" w:ascii="宋体" w:hAnsi="宋体" w:cs="宋体"/>
          <w:sz w:val="21"/>
          <w:szCs w:val="21"/>
        </w:rPr>
        <w:t>8.乙方有权对甲方使用乙方产品的范围进行符合本协议规定的授权控制，如IP范围、漫游用户等。</w:t>
      </w:r>
    </w:p>
    <w:p w14:paraId="0F84668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9.乙方承诺向甲方提供订购产品的使用情况统计，但在此过程中乙方应对甲方的一切信息严格保密。</w:t>
      </w:r>
    </w:p>
    <w:p w14:paraId="655CED6D">
      <w:pPr>
        <w:spacing w:line="360" w:lineRule="auto"/>
        <w:ind w:firstLine="422" w:firstLineChars="200"/>
        <w:rPr>
          <w:rFonts w:hint="eastAsia" w:ascii="宋体" w:hAnsi="宋体" w:eastAsia="宋体" w:cs="宋体"/>
          <w:b/>
          <w:color w:val="FF0000"/>
          <w:szCs w:val="21"/>
          <w:highlight w:val="yellow"/>
        </w:rPr>
      </w:pPr>
      <w:r>
        <w:rPr>
          <w:rFonts w:hint="eastAsia" w:ascii="宋体" w:hAnsi="宋体" w:eastAsia="宋体" w:cs="宋体"/>
          <w:b/>
          <w:szCs w:val="21"/>
        </w:rPr>
        <w:t>四、服务支持与承诺</w:t>
      </w:r>
    </w:p>
    <w:p w14:paraId="390D5FE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1.乙方须确保甲方订购数据库产品内容收录完整和及时更新，以保证甲方对所购资源的正常使用。</w:t>
      </w:r>
    </w:p>
    <w:p w14:paraId="512479E1">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2.乙方在使用期限内提供和安装当前最新的软件版本和各类插件、端口等技术支持以及软件升级方案与服务。</w:t>
      </w:r>
    </w:p>
    <w:p w14:paraId="7F649496">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3.乙方须确保甲方用户通过校园网或CARSI平台采取校园一卡通登录方式访问所购资源。</w:t>
      </w:r>
    </w:p>
    <w:p w14:paraId="50A53541">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4.乙方及时向甲方通报数据库产品变化情况，提供宣传资料、使用指南。</w:t>
      </w:r>
    </w:p>
    <w:p w14:paraId="6CF8D4B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5.乙方负责提供电话及EMAIL支持服务，响应时间不超过1小时，若远程支持无法解决问题的，乙方须24小时内上门服务。</w:t>
      </w:r>
    </w:p>
    <w:p w14:paraId="2104F24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6.若甲方的网络IP地址发生变更，乙方承诺及时予以变更，以保证甲方对数字资源的正常使用；若甲方硬件条件发生变更，乙方承诺及时配合甲方进行数据的恢复与部署。</w:t>
      </w:r>
    </w:p>
    <w:p w14:paraId="55CF756B">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7.乙方按甲方需求提供该数据库资源的使用情况统计报告。</w:t>
      </w:r>
    </w:p>
    <w:p w14:paraId="12D86BBB">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8.乙方须免费提供技术培训方案和对甲方管理人员的系统培训，并与甲方一起对读者进行知识库的中文培训，保证使用户充分高效的使用所购资源。</w:t>
      </w:r>
    </w:p>
    <w:p w14:paraId="13A9A0F4">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9.乙方免费提供国内高校外文电子资源订购情况统计分析，帮助甲方全面掌握学科数据库资源情况，了解同级别单位资源构建方向（如有需要）。</w:t>
      </w:r>
    </w:p>
    <w:p w14:paraId="6D907712">
      <w:pPr>
        <w:spacing w:line="360" w:lineRule="auto"/>
        <w:ind w:firstLine="420" w:firstLineChars="200"/>
        <w:rPr>
          <w:rFonts w:hint="eastAsia" w:ascii="宋体" w:hAnsi="宋体" w:eastAsia="宋体" w:cs="宋体"/>
          <w:bCs/>
          <w:szCs w:val="21"/>
          <w:highlight w:val="yellow"/>
        </w:rPr>
      </w:pPr>
      <w:r>
        <w:rPr>
          <w:rFonts w:hint="eastAsia" w:ascii="宋体" w:hAnsi="宋体" w:eastAsia="宋体" w:cs="宋体"/>
          <w:bCs/>
          <w:szCs w:val="21"/>
        </w:rPr>
        <w:t>10.乙方对甲方科研发文与引文情况进行定制化分析，掌握科研人员使用期刊及数据库情况，优化已有电子资源（如有需要）。</w:t>
      </w:r>
    </w:p>
    <w:p w14:paraId="5A34E3D9">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五、知识产权与保护</w:t>
      </w:r>
    </w:p>
    <w:p w14:paraId="3A15F4D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甲方在本协议有效期内享有所订购数据库的使用权。甲方应采取必要和合理的措施保护乙方的知识产权。协议期满终止后，甲方仍可继续在授权范围内在线使用所订购年份的内容，仍有义务按照上述条款保护乙方的知识产权不受侵害。授权资料和文章上的版权说明严禁删除、模糊或修改。</w:t>
      </w:r>
    </w:p>
    <w:p w14:paraId="775EC35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2.本协议保护乙方知识产权未尽事宜，按中华人民共和国有关法律执行。</w:t>
      </w:r>
    </w:p>
    <w:p w14:paraId="09795F71">
      <w:pPr>
        <w:shd w:val="clear" w:color="auto" w:fill="FFFFFF"/>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六、违约责任</w:t>
      </w:r>
    </w:p>
    <w:p w14:paraId="104F1C63">
      <w:pPr>
        <w:shd w:val="clear" w:color="auto" w:fill="FFFFFF"/>
        <w:spacing w:line="360" w:lineRule="auto"/>
        <w:ind w:firstLine="420" w:firstLineChars="200"/>
        <w:rPr>
          <w:rFonts w:hint="eastAsia" w:ascii="宋体" w:hAnsi="宋体" w:eastAsia="宋体" w:cs="宋体"/>
          <w:kern w:val="28"/>
          <w:szCs w:val="21"/>
        </w:rPr>
      </w:pPr>
      <w:r>
        <w:rPr>
          <w:rFonts w:hint="eastAsia" w:ascii="宋体" w:hAnsi="宋体" w:eastAsia="宋体" w:cs="宋体"/>
          <w:szCs w:val="21"/>
        </w:rPr>
        <w:t>依据《中华人民共和国民法典》《中华人民共和国政府采购法》的相关条款和本合同约定，乙方未全面履行合同义务或者发生违约，甲方有权终止合同，依法向乙方进行经济索赔，并报请政府采购监督管理机关进行相应的行政处罚。甲方违约的，应当赔偿给乙方造成的直接经济损失。</w:t>
      </w:r>
    </w:p>
    <w:p w14:paraId="4600CD7E">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七、通知和合同修改</w:t>
      </w:r>
    </w:p>
    <w:p w14:paraId="27D83836">
      <w:pPr>
        <w:shd w:val="clear" w:color="auto" w:fill="FFFFFF"/>
        <w:spacing w:line="360" w:lineRule="auto"/>
        <w:ind w:firstLine="420" w:firstLineChars="200"/>
        <w:rPr>
          <w:rFonts w:hint="eastAsia" w:ascii="宋体" w:hAnsi="宋体" w:eastAsia="宋体" w:cs="宋体"/>
          <w:kern w:val="28"/>
          <w:szCs w:val="21"/>
        </w:rPr>
      </w:pPr>
      <w:r>
        <w:rPr>
          <w:rFonts w:hint="eastAsia" w:ascii="宋体" w:hAnsi="宋体" w:eastAsia="宋体" w:cs="宋体"/>
          <w:kern w:val="28"/>
          <w:szCs w:val="21"/>
        </w:rPr>
        <w:t>本合同一方给另一方的通知，都应以书面形式（信函、传真）发送至对方，对本合同条款进行任何改动，均须由甲乙双方签署书面合同，方为有效。</w:t>
      </w:r>
    </w:p>
    <w:p w14:paraId="2CF13680">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八、合同争议的解决</w:t>
      </w:r>
    </w:p>
    <w:p w14:paraId="3CC49FE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合同执行中发生争议的，当事人双方应协商解决，协商达不成一致时，双方一致同意向甲方所在地人民法院提起诉讼。</w:t>
      </w:r>
    </w:p>
    <w:p w14:paraId="5E36F466">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九、不可抗力</w:t>
      </w:r>
    </w:p>
    <w:p w14:paraId="7D4ACF95">
      <w:pPr>
        <w:pStyle w:val="7"/>
        <w:spacing w:line="360" w:lineRule="auto"/>
        <w:ind w:firstLineChars="200"/>
        <w:rPr>
          <w:rFonts w:hint="eastAsia" w:ascii="宋体" w:hAnsi="宋体" w:eastAsia="宋体" w:cs="宋体"/>
          <w:kern w:val="0"/>
        </w:rPr>
      </w:pPr>
      <w:r>
        <w:rPr>
          <w:rFonts w:hint="eastAsia" w:ascii="宋体" w:hAnsi="宋体" w:eastAsia="宋体" w:cs="宋体"/>
          <w:kern w:val="0"/>
        </w:rPr>
        <w:t>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3A0A81DD">
      <w:pPr>
        <w:pStyle w:val="7"/>
        <w:spacing w:line="360" w:lineRule="auto"/>
        <w:ind w:firstLineChars="200"/>
        <w:rPr>
          <w:rFonts w:hint="eastAsia" w:ascii="宋体" w:hAnsi="宋体" w:eastAsia="宋体" w:cs="宋体"/>
        </w:rPr>
      </w:pPr>
      <w:r>
        <w:rPr>
          <w:rFonts w:hint="eastAsia" w:ascii="宋体" w:hAnsi="宋体" w:eastAsia="宋体" w:cs="宋体"/>
          <w:kern w:val="0"/>
        </w:rPr>
        <w:t>2.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4024C324">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十、合同期限</w:t>
      </w:r>
    </w:p>
    <w:p w14:paraId="5D5F1D55">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1.本协议自甲、乙双方签字、盖章之日起生效，协议有效期为 </w:t>
      </w:r>
      <w:r>
        <w:rPr>
          <w:rFonts w:hint="eastAsia" w:ascii="宋体" w:hAnsi="宋体" w:eastAsia="宋体" w:cs="宋体"/>
          <w:szCs w:val="21"/>
          <w:u w:val="single"/>
        </w:rPr>
        <w:t xml:space="preserve"> 壹 </w:t>
      </w:r>
      <w:r>
        <w:rPr>
          <w:rFonts w:hint="eastAsia" w:ascii="宋体" w:hAnsi="宋体" w:eastAsia="宋体" w:cs="宋体"/>
          <w:szCs w:val="21"/>
        </w:rPr>
        <w:t xml:space="preserve"> 年。</w:t>
      </w:r>
    </w:p>
    <w:p w14:paraId="24F53D3E">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2.本合同一式</w:t>
      </w:r>
      <w:r>
        <w:rPr>
          <w:rFonts w:hint="eastAsia" w:ascii="宋体" w:hAnsi="宋体" w:eastAsia="宋体" w:cs="宋体"/>
          <w:szCs w:val="21"/>
          <w:u w:val="single"/>
        </w:rPr>
        <w:t>捌</w:t>
      </w:r>
      <w:r>
        <w:rPr>
          <w:rFonts w:hint="eastAsia" w:ascii="宋体" w:hAnsi="宋体" w:eastAsia="宋体" w:cs="宋体"/>
          <w:szCs w:val="21"/>
        </w:rPr>
        <w:t>份，具有同等法律效力，甲方执</w:t>
      </w:r>
      <w:r>
        <w:rPr>
          <w:rFonts w:hint="eastAsia" w:ascii="宋体" w:hAnsi="宋体" w:eastAsia="宋体" w:cs="宋体"/>
          <w:szCs w:val="21"/>
          <w:u w:val="single"/>
        </w:rPr>
        <w:t>伍份</w:t>
      </w:r>
      <w:r>
        <w:rPr>
          <w:rFonts w:hint="eastAsia" w:ascii="宋体" w:hAnsi="宋体" w:eastAsia="宋体" w:cs="宋体"/>
          <w:szCs w:val="21"/>
        </w:rPr>
        <w:t>，乙方执</w:t>
      </w:r>
      <w:r>
        <w:rPr>
          <w:rFonts w:hint="eastAsia" w:ascii="宋体" w:hAnsi="宋体" w:eastAsia="宋体" w:cs="宋体"/>
          <w:szCs w:val="21"/>
          <w:u w:val="single"/>
        </w:rPr>
        <w:t>贰份，采购代理机构留档壹份</w:t>
      </w:r>
      <w:r>
        <w:rPr>
          <w:rFonts w:hint="eastAsia" w:ascii="宋体" w:hAnsi="宋体" w:eastAsia="宋体" w:cs="宋体"/>
          <w:szCs w:val="21"/>
        </w:rPr>
        <w:t>。各方签字盖章后生效，合同执行完毕自动失效。（合同的服务承诺则长期有效）。</w:t>
      </w:r>
    </w:p>
    <w:p w14:paraId="6F3B348F">
      <w:pPr>
        <w:snapToGrid w:val="0"/>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十一、送达</w:t>
      </w:r>
    </w:p>
    <w:p w14:paraId="4D5C4543">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双方指定的通讯地址为：</w:t>
      </w:r>
    </w:p>
    <w:p w14:paraId="67DA0A28">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甲方：西安财经大学</w:t>
      </w:r>
    </w:p>
    <w:p w14:paraId="32C4932C">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通讯地址：西安市长安区常宁大街360号</w:t>
      </w:r>
    </w:p>
    <w:p w14:paraId="3A4ED561">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收件人：</w:t>
      </w:r>
    </w:p>
    <w:p w14:paraId="7D5CAE45">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联系电话：</w:t>
      </w:r>
    </w:p>
    <w:p w14:paraId="67968A92">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乙方：</w:t>
      </w:r>
    </w:p>
    <w:p w14:paraId="154EE679">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通讯地址：</w:t>
      </w:r>
    </w:p>
    <w:p w14:paraId="0EEC64DC">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收件人：</w:t>
      </w:r>
    </w:p>
    <w:p w14:paraId="1DE6088B">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联系电话：</w:t>
      </w:r>
    </w:p>
    <w:p w14:paraId="1CE26DF4">
      <w:pPr>
        <w:tabs>
          <w:tab w:val="left" w:pos="980"/>
        </w:tabs>
        <w:wordWrap w:val="0"/>
        <w:topLinePunct/>
        <w:spacing w:line="360" w:lineRule="auto"/>
        <w:ind w:firstLine="420" w:firstLineChars="200"/>
        <w:rPr>
          <w:rFonts w:hint="eastAsia" w:ascii="宋体" w:hAnsi="宋体" w:eastAsia="宋体" w:cs="宋体"/>
          <w:szCs w:val="21"/>
        </w:rPr>
      </w:pPr>
      <w:r>
        <w:rPr>
          <w:rFonts w:hint="eastAsia" w:ascii="宋体" w:hAnsi="宋体" w:eastAsia="宋体" w:cs="宋体"/>
          <w:szCs w:val="21"/>
        </w:rPr>
        <w:t>上述通讯信息如发生变更，应在变更后及时书面通知本合同对方；如未书面通知，则视为未变更，双方一致确认，任何一方向上述地址送达文件即视为送达成功，无论是否实际收到。</w:t>
      </w:r>
    </w:p>
    <w:p w14:paraId="35A0D89F">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一方发给另一方的通知、文件等，可以采用直接送达或快递的方式，直接送达的，以另一方书面签收视为送达；采用快递方式的，应寄往另一方所列上述通讯地址，并自交付快递公司后第三日视为送达。</w:t>
      </w:r>
    </w:p>
    <w:p w14:paraId="76A32154">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本协议所留地址为各方住所或主要办事机构所在地址，本合同履行过程中发生任何纠纷，则前述地址视为法院邮寄法律文书及双方邮寄律师函等文件的法定送达地址。</w:t>
      </w:r>
    </w:p>
    <w:p w14:paraId="6B427DFD">
      <w:pPr>
        <w:tabs>
          <w:tab w:val="left" w:pos="980"/>
        </w:tabs>
        <w:kinsoku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（以下无正文）</w:t>
      </w:r>
    </w:p>
    <w:p w14:paraId="70E83118">
      <w:pPr>
        <w:snapToGrid w:val="0"/>
        <w:rPr>
          <w:rFonts w:hint="eastAsia" w:ascii="宋体" w:hAnsi="宋体" w:eastAsia="宋体" w:cs="宋体"/>
        </w:rPr>
      </w:pPr>
    </w:p>
    <w:tbl>
      <w:tblPr>
        <w:tblStyle w:val="4"/>
        <w:tblW w:w="0" w:type="auto"/>
        <w:tblInd w:w="0" w:type="dxa"/>
        <w:tblLayout w:type="fixed"/>
        <w:tblCellMar>
          <w:top w:w="0" w:type="dxa"/>
          <w:left w:w="108" w:type="dxa"/>
          <w:bottom w:w="0" w:type="dxa"/>
          <w:right w:w="108" w:type="dxa"/>
        </w:tblCellMar>
      </w:tblPr>
      <w:tblGrid>
        <w:gridCol w:w="4499"/>
        <w:gridCol w:w="4720"/>
      </w:tblGrid>
      <w:tr w14:paraId="7D7F90DE">
        <w:tblPrEx>
          <w:tblCellMar>
            <w:top w:w="0" w:type="dxa"/>
            <w:left w:w="108" w:type="dxa"/>
            <w:bottom w:w="0" w:type="dxa"/>
            <w:right w:w="108" w:type="dxa"/>
          </w:tblCellMar>
        </w:tblPrEx>
        <w:trPr>
          <w:trHeight w:val="705" w:hRule="atLeast"/>
        </w:trPr>
        <w:tc>
          <w:tcPr>
            <w:tcW w:w="4499" w:type="dxa"/>
            <w:vAlign w:val="center"/>
          </w:tcPr>
          <w:p w14:paraId="16B04C00">
            <w:pPr>
              <w:jc w:val="left"/>
              <w:rPr>
                <w:rFonts w:hint="eastAsia" w:ascii="宋体" w:hAnsi="宋体" w:eastAsia="宋体" w:cs="宋体"/>
              </w:rPr>
            </w:pPr>
            <w:r>
              <w:rPr>
                <w:rFonts w:hint="eastAsia" w:ascii="宋体" w:hAnsi="宋体" w:eastAsia="宋体" w:cs="宋体"/>
              </w:rPr>
              <w:t>甲方：西安财经大学（盖章）</w:t>
            </w:r>
          </w:p>
        </w:tc>
        <w:tc>
          <w:tcPr>
            <w:tcW w:w="4720" w:type="dxa"/>
            <w:vAlign w:val="center"/>
          </w:tcPr>
          <w:p w14:paraId="04604D3B">
            <w:pPr>
              <w:jc w:val="left"/>
              <w:rPr>
                <w:rFonts w:hint="eastAsia" w:ascii="宋体" w:hAnsi="宋体" w:eastAsia="宋体" w:cs="宋体"/>
              </w:rPr>
            </w:pPr>
            <w:r>
              <w:rPr>
                <w:rFonts w:hint="eastAsia" w:ascii="宋体" w:hAnsi="宋体" w:eastAsia="宋体" w:cs="宋体"/>
              </w:rPr>
              <w:t>乙方：供应商名称  （盖章）</w:t>
            </w:r>
          </w:p>
        </w:tc>
      </w:tr>
      <w:tr w14:paraId="4858EA1A">
        <w:tblPrEx>
          <w:tblCellMar>
            <w:top w:w="0" w:type="dxa"/>
            <w:left w:w="108" w:type="dxa"/>
            <w:bottom w:w="0" w:type="dxa"/>
            <w:right w:w="108" w:type="dxa"/>
          </w:tblCellMar>
        </w:tblPrEx>
        <w:trPr>
          <w:trHeight w:val="705" w:hRule="atLeast"/>
        </w:trPr>
        <w:tc>
          <w:tcPr>
            <w:tcW w:w="4499" w:type="dxa"/>
            <w:vAlign w:val="center"/>
          </w:tcPr>
          <w:p w14:paraId="21E59CF2">
            <w:pPr>
              <w:jc w:val="left"/>
              <w:rPr>
                <w:rFonts w:hint="eastAsia" w:ascii="宋体" w:hAnsi="宋体" w:eastAsia="宋体" w:cs="宋体"/>
              </w:rPr>
            </w:pPr>
            <w:r>
              <w:rPr>
                <w:rFonts w:hint="eastAsia" w:ascii="宋体" w:hAnsi="宋体" w:eastAsia="宋体" w:cs="宋体"/>
              </w:rPr>
              <w:t>地址：西安市长安区常宁大街360号</w:t>
            </w:r>
          </w:p>
        </w:tc>
        <w:tc>
          <w:tcPr>
            <w:tcW w:w="4720" w:type="dxa"/>
            <w:vAlign w:val="center"/>
          </w:tcPr>
          <w:p w14:paraId="00C2B2FB">
            <w:pPr>
              <w:jc w:val="left"/>
              <w:rPr>
                <w:rFonts w:hint="eastAsia" w:ascii="宋体" w:hAnsi="宋体" w:eastAsia="宋体" w:cs="宋体"/>
              </w:rPr>
            </w:pPr>
            <w:r>
              <w:rPr>
                <w:rFonts w:hint="eastAsia" w:ascii="宋体" w:hAnsi="宋体" w:eastAsia="宋体" w:cs="宋体"/>
              </w:rPr>
              <w:t>地址：</w:t>
            </w:r>
          </w:p>
        </w:tc>
      </w:tr>
      <w:tr w14:paraId="71DFB84D">
        <w:tblPrEx>
          <w:tblCellMar>
            <w:top w:w="0" w:type="dxa"/>
            <w:left w:w="108" w:type="dxa"/>
            <w:bottom w:w="0" w:type="dxa"/>
            <w:right w:w="108" w:type="dxa"/>
          </w:tblCellMar>
        </w:tblPrEx>
        <w:trPr>
          <w:trHeight w:val="705" w:hRule="atLeast"/>
        </w:trPr>
        <w:tc>
          <w:tcPr>
            <w:tcW w:w="4499" w:type="dxa"/>
            <w:vAlign w:val="center"/>
          </w:tcPr>
          <w:p w14:paraId="1619B3A7">
            <w:pPr>
              <w:jc w:val="left"/>
              <w:rPr>
                <w:rFonts w:hint="eastAsia" w:ascii="宋体" w:hAnsi="宋体" w:eastAsia="宋体" w:cs="宋体"/>
              </w:rPr>
            </w:pPr>
            <w:r>
              <w:rPr>
                <w:rFonts w:hint="eastAsia" w:ascii="宋体" w:hAnsi="宋体" w:eastAsia="宋体" w:cs="宋体"/>
              </w:rPr>
              <w:t>授权代表：</w:t>
            </w:r>
          </w:p>
        </w:tc>
        <w:tc>
          <w:tcPr>
            <w:tcW w:w="4720" w:type="dxa"/>
            <w:vAlign w:val="center"/>
          </w:tcPr>
          <w:p w14:paraId="730DC231">
            <w:pPr>
              <w:jc w:val="left"/>
              <w:rPr>
                <w:rFonts w:hint="eastAsia" w:ascii="宋体" w:hAnsi="宋体" w:eastAsia="宋体" w:cs="宋体"/>
              </w:rPr>
            </w:pPr>
            <w:r>
              <w:rPr>
                <w:rFonts w:hint="eastAsia" w:ascii="宋体" w:hAnsi="宋体" w:eastAsia="宋体" w:cs="宋体"/>
              </w:rPr>
              <w:t xml:space="preserve">法定代表人（或授权代表）： </w:t>
            </w:r>
          </w:p>
        </w:tc>
      </w:tr>
      <w:tr w14:paraId="233387F2">
        <w:tblPrEx>
          <w:tblCellMar>
            <w:top w:w="0" w:type="dxa"/>
            <w:left w:w="108" w:type="dxa"/>
            <w:bottom w:w="0" w:type="dxa"/>
            <w:right w:w="108" w:type="dxa"/>
          </w:tblCellMar>
        </w:tblPrEx>
        <w:trPr>
          <w:trHeight w:val="705" w:hRule="atLeast"/>
        </w:trPr>
        <w:tc>
          <w:tcPr>
            <w:tcW w:w="4499" w:type="dxa"/>
            <w:vAlign w:val="center"/>
          </w:tcPr>
          <w:p w14:paraId="2EAE4E65">
            <w:pPr>
              <w:jc w:val="left"/>
              <w:rPr>
                <w:rFonts w:hint="eastAsia" w:ascii="宋体" w:hAnsi="宋体" w:eastAsia="宋体" w:cs="宋体"/>
              </w:rPr>
            </w:pPr>
            <w:r>
              <w:rPr>
                <w:rFonts w:hint="eastAsia" w:ascii="宋体" w:hAnsi="宋体" w:eastAsia="宋体" w:cs="宋体"/>
              </w:rPr>
              <w:t>日期：    年　　月  日</w:t>
            </w:r>
          </w:p>
        </w:tc>
        <w:tc>
          <w:tcPr>
            <w:tcW w:w="4720" w:type="dxa"/>
            <w:vAlign w:val="center"/>
          </w:tcPr>
          <w:p w14:paraId="70024C3C">
            <w:pPr>
              <w:jc w:val="left"/>
              <w:rPr>
                <w:rFonts w:hint="eastAsia" w:ascii="宋体" w:hAnsi="宋体" w:eastAsia="宋体" w:cs="宋体"/>
              </w:rPr>
            </w:pPr>
            <w:r>
              <w:rPr>
                <w:rFonts w:hint="eastAsia" w:ascii="宋体" w:hAnsi="宋体" w:eastAsia="宋体" w:cs="宋体"/>
              </w:rPr>
              <w:t>日期：    年  月　　日</w:t>
            </w:r>
          </w:p>
        </w:tc>
      </w:tr>
    </w:tbl>
    <w:p w14:paraId="4B940FD6">
      <w:pPr>
        <w:rPr>
          <w:rFonts w:hint="eastAsia" w:ascii="宋体" w:hAnsi="宋体" w:eastAsia="宋体" w:cs="宋体"/>
        </w:rPr>
      </w:pPr>
    </w:p>
    <w:p w14:paraId="6F7D54D3">
      <w:pPr>
        <w:rPr>
          <w:rFonts w:hint="eastAsia" w:ascii="宋体" w:hAnsi="宋体" w:eastAsia="宋体" w:cs="宋体"/>
        </w:rPr>
      </w:pPr>
    </w:p>
    <w:p w14:paraId="79E3EA7B">
      <w:pPr>
        <w:pStyle w:val="6"/>
        <w:rPr>
          <w:rFonts w:ascii="宋体" w:hAnsi="宋体" w:eastAsia="宋体" w:cs="宋体"/>
        </w:rPr>
      </w:pPr>
      <w:r>
        <w:rPr>
          <w:rFonts w:ascii="宋体" w:hAnsi="宋体" w:eastAsia="宋体" w:cs="宋体"/>
        </w:rPr>
        <w:t xml:space="preserve"> </w:t>
      </w:r>
      <w:r>
        <w:rPr>
          <w:rFonts w:ascii="宋体" w:hAnsi="宋体" w:eastAsia="宋体" w:cs="宋体"/>
        </w:rPr>
        <w:br w:type="textWrapping"/>
      </w:r>
    </w:p>
    <w:p w14:paraId="37A78489">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6A256">
    <w:pPr>
      <w:pStyle w:val="2"/>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56479"/>
    <w:multiLevelType w:val="singleLevel"/>
    <w:tmpl w:val="0C9564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11CE3"/>
    <w:rsid w:val="16211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sz w:val="24"/>
    </w:rPr>
  </w:style>
  <w:style w:type="paragraph" w:styleId="3">
    <w:name w:val="Plain Text"/>
    <w:basedOn w:val="1"/>
    <w:qFormat/>
    <w:uiPriority w:val="0"/>
    <w:rPr>
      <w:rFonts w:ascii="宋体" w:hAnsi="Courier New" w:eastAsia="宋体" w:cs="Times New Roman"/>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列出段落1"/>
    <w:basedOn w:val="1"/>
    <w:qFormat/>
    <w:uiPriority w:val="0"/>
    <w:pPr>
      <w:spacing w:line="324" w:lineRule="auto"/>
      <w:ind w:firstLine="420"/>
    </w:pPr>
    <w:rPr>
      <w:rFonts w:ascii="Times New Roman" w:hAnsi="Times New Roman"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2026-07-22T01:27:00Z</dcterms:created>
  <dc:creator>秦丹丹</dc:creator>
  <cp:lastModifiedBy>秦丹丹</cp:lastModifiedBy>
  <dcterms:modified xsi:type="dcterms:W3CDTF">2026-07-22T01:31:29Z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6C2C7BC253A14AA69A6B0123628FE1A0_11</vt:lpwstr>
  </property>
  <property fmtid="{D5CDD505-2E9C-101B-9397-08002B2CF9AE}" pid="4" name="KSOTemplateDocerSaveRecord">
    <vt:lpwstr>eyJoZGlkIjoiMzYwN2I5NTBkYzM4ODQyZDg5ZDU4MTg1ZTI5Yjg5NWUiLCJ1c2VySWQiOiIyMzE3Mjk5MDAifQ==</vt:lpwstr>
  </property>
</Properties>
</file>