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7F78D">
      <w:pPr>
        <w:pStyle w:val="10"/>
        <w:keepNext w:val="0"/>
        <w:keepLines w:val="0"/>
        <w:pageBreakBefore w:val="0"/>
        <w:kinsoku/>
        <w:wordWrap/>
        <w:overflowPunct/>
        <w:topLinePunct w:val="0"/>
        <w:autoSpaceDE/>
        <w:autoSpaceDN/>
        <w:bidi w:val="0"/>
        <w:spacing w:line="360" w:lineRule="auto"/>
        <w:ind w:firstLine="420"/>
        <w:jc w:val="center"/>
        <w:rPr>
          <w:rFonts w:hint="eastAsia" w:ascii="宋体" w:hAnsi="宋体" w:eastAsia="宋体" w:cs="宋体"/>
          <w:b/>
          <w:bCs/>
          <w:color w:val="auto"/>
          <w:sz w:val="40"/>
          <w:szCs w:val="40"/>
          <w:lang w:val="en-US" w:eastAsia="zh-CN"/>
        </w:rPr>
      </w:pPr>
      <w:r>
        <w:rPr>
          <w:rFonts w:hint="eastAsia" w:ascii="宋体" w:hAnsi="宋体" w:eastAsia="宋体" w:cs="宋体"/>
          <w:b/>
          <w:bCs/>
          <w:color w:val="auto"/>
          <w:sz w:val="40"/>
          <w:szCs w:val="40"/>
          <w:lang w:val="en-US" w:eastAsia="zh-CN"/>
        </w:rPr>
        <w:t>政府采购合同格式</w:t>
      </w:r>
    </w:p>
    <w:p w14:paraId="68329922">
      <w:pPr>
        <w:pStyle w:val="2"/>
        <w:spacing w:line="447" w:lineRule="auto"/>
        <w:rPr>
          <w:rFonts w:hint="eastAsia" w:ascii="宋体" w:hAnsi="宋体" w:eastAsia="宋体" w:cs="宋体"/>
          <w:highlight w:val="none"/>
        </w:rPr>
      </w:pPr>
    </w:p>
    <w:p w14:paraId="6963AD1D">
      <w:pPr>
        <w:pStyle w:val="10"/>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rPr>
      </w:pPr>
      <w:r>
        <w:rPr>
          <w:rFonts w:hint="eastAsia" w:ascii="宋体" w:hAnsi="宋体"/>
          <w:sz w:val="21"/>
          <w:szCs w:val="21"/>
        </w:rPr>
        <w:t xml:space="preserve">合同编号： </w:t>
      </w:r>
    </w:p>
    <w:p w14:paraId="71C535AD">
      <w:pPr>
        <w:pStyle w:val="10"/>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sz w:val="21"/>
          <w:szCs w:val="21"/>
        </w:rPr>
      </w:pPr>
      <w:r>
        <w:rPr>
          <w:rFonts w:hint="eastAsia" w:ascii="宋体" w:hAnsi="宋体"/>
          <w:sz w:val="21"/>
          <w:szCs w:val="21"/>
        </w:rPr>
        <w:t xml:space="preserve">签订地点： </w:t>
      </w:r>
    </w:p>
    <w:p w14:paraId="7DAF141D">
      <w:pPr>
        <w:pStyle w:val="10"/>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sz w:val="21"/>
          <w:szCs w:val="21"/>
        </w:rPr>
      </w:pPr>
      <w:r>
        <w:rPr>
          <w:rFonts w:hint="eastAsia" w:ascii="宋体" w:hAnsi="宋体"/>
          <w:sz w:val="21"/>
          <w:szCs w:val="21"/>
        </w:rPr>
        <w:t>签订时间</w:t>
      </w:r>
      <w:r>
        <w:rPr>
          <w:rFonts w:hint="eastAsia" w:ascii="宋体" w:hAnsi="宋体" w:eastAsia="宋体"/>
          <w:sz w:val="21"/>
          <w:szCs w:val="21"/>
          <w:lang w:eastAsia="zh-CN"/>
        </w:rPr>
        <w:t>：</w:t>
      </w:r>
      <w:r>
        <w:rPr>
          <w:rFonts w:hint="eastAsia" w:ascii="宋体" w:hAnsi="宋体"/>
          <w:sz w:val="21"/>
          <w:szCs w:val="21"/>
        </w:rPr>
        <w:t xml:space="preserve"> </w:t>
      </w:r>
    </w:p>
    <w:p w14:paraId="326E5685">
      <w:pPr>
        <w:pStyle w:val="10"/>
        <w:keepNext w:val="0"/>
        <w:keepLines w:val="0"/>
        <w:pageBreakBefore w:val="0"/>
        <w:widowControl/>
        <w:wordWrap/>
        <w:overflowPunct/>
        <w:topLinePunct w:val="0"/>
        <w:bidi w:val="0"/>
        <w:adjustRightInd w:val="0"/>
        <w:snapToGrid w:val="0"/>
        <w:spacing w:line="360" w:lineRule="auto"/>
        <w:ind w:firstLine="384" w:firstLineChars="183"/>
        <w:textAlignment w:val="baseline"/>
        <w:rPr>
          <w:rFonts w:hint="eastAsia" w:ascii="宋体" w:hAnsi="宋体" w:eastAsia="宋体"/>
          <w:sz w:val="21"/>
          <w:szCs w:val="21"/>
          <w:lang w:val="en-US" w:eastAsia="zh-CN"/>
        </w:rPr>
      </w:pPr>
      <w:r>
        <w:rPr>
          <w:rFonts w:hint="eastAsia" w:ascii="宋体" w:hAnsi="宋体"/>
          <w:sz w:val="21"/>
          <w:szCs w:val="21"/>
        </w:rPr>
        <w:t>是否为专门面向中小企业的采购项目：</w:t>
      </w:r>
      <w:r>
        <w:rPr>
          <w:rFonts w:hint="eastAsia" w:ascii="宋体" w:hAnsi="宋体" w:eastAsia="宋体"/>
          <w:sz w:val="21"/>
          <w:szCs w:val="21"/>
          <w:lang w:val="en-US" w:eastAsia="zh-CN"/>
        </w:rPr>
        <w:t>否</w:t>
      </w:r>
    </w:p>
    <w:p w14:paraId="51A108BB">
      <w:pPr>
        <w:pStyle w:val="10"/>
        <w:keepNext w:val="0"/>
        <w:keepLines w:val="0"/>
        <w:pageBreakBefore w:val="0"/>
        <w:widowControl/>
        <w:wordWrap/>
        <w:overflowPunct/>
        <w:topLinePunct w:val="0"/>
        <w:bidi w:val="0"/>
        <w:adjustRightInd w:val="0"/>
        <w:snapToGrid w:val="0"/>
        <w:spacing w:line="360" w:lineRule="auto"/>
        <w:ind w:firstLine="384" w:firstLineChars="183"/>
        <w:textAlignment w:val="baseline"/>
        <w:rPr>
          <w:rFonts w:hint="eastAsia" w:ascii="宋体" w:hAnsi="宋体"/>
          <w:sz w:val="21"/>
          <w:szCs w:val="21"/>
        </w:rPr>
      </w:pPr>
      <w:r>
        <w:rPr>
          <w:rFonts w:hint="eastAsia" w:ascii="宋体" w:hAnsi="宋体"/>
          <w:sz w:val="21"/>
          <w:szCs w:val="21"/>
        </w:rPr>
        <w:t>采购人（甲方）：</w:t>
      </w:r>
    </w:p>
    <w:p w14:paraId="134DBBA7">
      <w:pPr>
        <w:pStyle w:val="10"/>
        <w:keepNext w:val="0"/>
        <w:keepLines w:val="0"/>
        <w:pageBreakBefore w:val="0"/>
        <w:widowControl/>
        <w:wordWrap/>
        <w:overflowPunct/>
        <w:topLinePunct w:val="0"/>
        <w:bidi w:val="0"/>
        <w:adjustRightInd w:val="0"/>
        <w:snapToGrid w:val="0"/>
        <w:spacing w:line="360" w:lineRule="auto"/>
        <w:ind w:firstLine="384" w:firstLineChars="183"/>
        <w:textAlignment w:val="baseline"/>
        <w:rPr>
          <w:rFonts w:hint="eastAsia"/>
          <w:sz w:val="21"/>
          <w:szCs w:val="21"/>
        </w:rPr>
      </w:pPr>
      <w:r>
        <w:rPr>
          <w:rFonts w:hint="eastAsia"/>
          <w:sz w:val="21"/>
          <w:szCs w:val="21"/>
        </w:rPr>
        <w:t>供应商（乙方）：</w:t>
      </w:r>
    </w:p>
    <w:p w14:paraId="6BCA23A8">
      <w:pPr>
        <w:pStyle w:val="10"/>
        <w:keepNext w:val="0"/>
        <w:keepLines w:val="0"/>
        <w:pageBreakBefore w:val="0"/>
        <w:widowControl/>
        <w:wordWrap/>
        <w:overflowPunct/>
        <w:topLinePunct w:val="0"/>
        <w:bidi w:val="0"/>
        <w:adjustRightInd w:val="0"/>
        <w:snapToGrid w:val="0"/>
        <w:spacing w:line="360" w:lineRule="auto"/>
        <w:ind w:firstLine="384" w:firstLineChars="183"/>
        <w:textAlignment w:val="baseline"/>
        <w:rPr>
          <w:rFonts w:hint="eastAsia"/>
          <w:sz w:val="21"/>
          <w:szCs w:val="21"/>
        </w:rPr>
      </w:pPr>
      <w:r>
        <w:rPr>
          <w:rFonts w:hint="eastAsia"/>
          <w:sz w:val="21"/>
          <w:szCs w:val="21"/>
        </w:rPr>
        <w:t>根据《中华人民共</w:t>
      </w:r>
      <w:r>
        <w:rPr>
          <w:rFonts w:hint="eastAsia" w:ascii="宋体" w:hAnsi="宋体" w:eastAsia="宋体" w:cs="宋体"/>
          <w:sz w:val="21"/>
          <w:szCs w:val="21"/>
        </w:rPr>
        <w:t>和国政府采购法》及实施条例、《中华人民共和国民法典》和</w:t>
      </w:r>
      <w:r>
        <w:rPr>
          <w:rFonts w:hint="eastAsia" w:ascii="宋体" w:hAnsi="宋体" w:eastAsia="宋体" w:cs="宋体"/>
          <w:sz w:val="21"/>
          <w:szCs w:val="21"/>
          <w:u w:val="single"/>
        </w:rPr>
        <w:t>陕西省司法厅厅机关体检项目（采购项目编号</w:t>
      </w:r>
      <w:r>
        <w:rPr>
          <w:rFonts w:hint="eastAsia" w:ascii="宋体" w:hAnsi="宋体" w:eastAsia="宋体" w:cs="宋体"/>
          <w:sz w:val="21"/>
          <w:szCs w:val="21"/>
          <w:u w:val="single"/>
          <w:lang w:eastAsia="zh-CN"/>
        </w:rPr>
        <w:t>：</w:t>
      </w:r>
      <w:r>
        <w:rPr>
          <w:rFonts w:hint="eastAsia" w:ascii="宋体" w:hAnsi="宋体" w:cs="宋体"/>
          <w:color w:val="000000"/>
          <w:sz w:val="21"/>
          <w:szCs w:val="21"/>
          <w:u w:val="single"/>
          <w:lang w:eastAsia="zh-CN"/>
        </w:rPr>
        <w:t>SXLX26-02-086Z(F)）</w:t>
      </w:r>
      <w:r>
        <w:rPr>
          <w:rFonts w:hint="eastAsia" w:ascii="宋体" w:hAnsi="宋体" w:eastAsia="宋体" w:cs="宋体"/>
          <w:sz w:val="21"/>
          <w:szCs w:val="21"/>
        </w:rPr>
        <w:t>的采购文件、响应文件等有关规定，为确保甲方采购项目的顺利实施，甲、乙双方在平</w:t>
      </w:r>
      <w:r>
        <w:rPr>
          <w:rFonts w:hint="eastAsia"/>
          <w:sz w:val="21"/>
          <w:szCs w:val="21"/>
        </w:rPr>
        <w:t>等自愿原则下签订本合同，并共同遵守如下条款，其主要要求如下：</w:t>
      </w:r>
    </w:p>
    <w:p w14:paraId="26F1B934">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outlineLvl w:val="1"/>
        <w:rPr>
          <w:rFonts w:hint="eastAsia" w:ascii="宋体"/>
          <w:b/>
          <w:sz w:val="21"/>
          <w:szCs w:val="21"/>
        </w:rPr>
      </w:pPr>
      <w:bookmarkStart w:id="0" w:name="_Toc11438"/>
      <w:r>
        <w:rPr>
          <w:rFonts w:hint="eastAsia" w:ascii="宋体"/>
          <w:b/>
          <w:sz w:val="21"/>
          <w:szCs w:val="21"/>
        </w:rPr>
        <w:t>第一条  项目基本情况</w:t>
      </w:r>
      <w:bookmarkEnd w:id="0"/>
    </w:p>
    <w:p w14:paraId="050999C9">
      <w:pPr>
        <w:pStyle w:val="11"/>
        <w:spacing w:line="360" w:lineRule="auto"/>
        <w:ind w:firstLine="420"/>
        <w:jc w:val="both"/>
        <w:rPr>
          <w:rFonts w:hint="eastAsia" w:ascii="宋体" w:hAnsi="宋体" w:eastAsia="宋体" w:cs="宋体"/>
          <w:sz w:val="21"/>
          <w:szCs w:val="21"/>
          <w:highlight w:val="none"/>
        </w:rPr>
      </w:pPr>
      <w:bookmarkStart w:id="1" w:name="_Toc24394"/>
      <w:r>
        <w:rPr>
          <w:rFonts w:hint="eastAsia" w:ascii="宋体" w:hAnsi="宋体" w:eastAsia="宋体" w:cs="宋体"/>
          <w:sz w:val="21"/>
          <w:szCs w:val="21"/>
          <w:shd w:val="clear" w:fill="FFFFFF"/>
          <w:lang w:eastAsia="zh-CN"/>
        </w:rPr>
        <w:t>陕西省司法厅厅机关体检项目</w:t>
      </w:r>
      <w:r>
        <w:rPr>
          <w:rFonts w:hint="eastAsia" w:ascii="宋体" w:hAnsi="宋体" w:eastAsia="宋体" w:cs="宋体"/>
          <w:sz w:val="21"/>
          <w:szCs w:val="21"/>
          <w:shd w:val="clear" w:fill="FFFFFF"/>
        </w:rPr>
        <w:t>，厅机关正式</w:t>
      </w:r>
      <w:r>
        <w:rPr>
          <w:rFonts w:hint="eastAsia" w:ascii="宋体" w:hAnsi="宋体" w:eastAsia="宋体" w:cs="宋体"/>
          <w:sz w:val="21"/>
          <w:szCs w:val="21"/>
          <w:highlight w:val="none"/>
          <w:shd w:val="clear" w:fill="FFFFFF"/>
        </w:rPr>
        <w:t>干部职工（含离退休人员）以及法治宣传中心、法律援助中心，长期借调、跟班学习、聘用及物业部分服务人员，共计</w:t>
      </w:r>
      <w:r>
        <w:rPr>
          <w:rFonts w:hint="eastAsia" w:ascii="宋体" w:hAnsi="宋体" w:eastAsia="宋体" w:cs="宋体"/>
          <w:sz w:val="21"/>
          <w:szCs w:val="21"/>
          <w:highlight w:val="none"/>
          <w:shd w:val="clear" w:fill="FFFFFF"/>
          <w:lang w:val="en-US" w:eastAsia="zh-CN"/>
        </w:rPr>
        <w:t>406</w:t>
      </w:r>
      <w:r>
        <w:rPr>
          <w:rFonts w:hint="eastAsia" w:ascii="宋体" w:hAnsi="宋体" w:eastAsia="宋体" w:cs="宋体"/>
          <w:sz w:val="21"/>
          <w:szCs w:val="21"/>
          <w:highlight w:val="none"/>
          <w:shd w:val="clear" w:fill="FFFFFF"/>
        </w:rPr>
        <w:t>人。</w:t>
      </w:r>
    </w:p>
    <w:p w14:paraId="3DD9B84B">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outlineLvl w:val="1"/>
        <w:rPr>
          <w:rFonts w:hint="eastAsia" w:ascii="宋体"/>
          <w:b/>
          <w:color w:val="auto"/>
          <w:sz w:val="21"/>
          <w:szCs w:val="21"/>
          <w:highlight w:val="none"/>
        </w:rPr>
      </w:pPr>
      <w:r>
        <w:rPr>
          <w:rFonts w:hint="eastAsia" w:ascii="宋体"/>
          <w:b/>
          <w:color w:val="auto"/>
          <w:sz w:val="21"/>
          <w:szCs w:val="21"/>
          <w:highlight w:val="none"/>
        </w:rPr>
        <w:t>第二条  服务期限</w:t>
      </w:r>
      <w:bookmarkEnd w:id="1"/>
    </w:p>
    <w:p w14:paraId="33B1C4FA">
      <w:pPr>
        <w:keepNext w:val="0"/>
        <w:keepLines w:val="0"/>
        <w:pageBreakBefore w:val="0"/>
        <w:widowControl/>
        <w:numPr>
          <w:ilvl w:val="0"/>
          <w:numId w:val="0"/>
        </w:numPr>
        <w:tabs>
          <w:tab w:val="left" w:pos="387"/>
        </w:tabs>
        <w:wordWrap/>
        <w:overflowPunct/>
        <w:topLinePunct w:val="0"/>
        <w:bidi w:val="0"/>
        <w:adjustRightInd w:val="0"/>
        <w:snapToGrid w:val="0"/>
        <w:spacing w:line="360" w:lineRule="auto"/>
        <w:ind w:firstLine="420" w:firstLineChars="200"/>
        <w:jc w:val="left"/>
        <w:textAlignment w:val="baseline"/>
        <w:outlineLvl w:val="1"/>
        <w:rPr>
          <w:rFonts w:hint="eastAsia" w:ascii="宋体" w:hAnsi="宋体" w:eastAsia="宋体" w:cs="宋体"/>
          <w:snapToGrid/>
          <w:color w:val="auto"/>
          <w:kern w:val="0"/>
          <w:sz w:val="21"/>
          <w:szCs w:val="21"/>
          <w:highlight w:val="none"/>
          <w:shd w:val="clear" w:fill="FFFFFF"/>
          <w:lang w:val="en-US" w:eastAsia="zh-CN"/>
        </w:rPr>
      </w:pPr>
      <w:bookmarkStart w:id="2" w:name="_Toc2407"/>
      <w:bookmarkStart w:id="3" w:name="_Toc211854449"/>
      <w:bookmarkStart w:id="4" w:name="_Toc282696226"/>
      <w:bookmarkStart w:id="5" w:name="_Toc286993786"/>
      <w:bookmarkStart w:id="6" w:name="_Toc225244852"/>
      <w:bookmarkStart w:id="7" w:name="_Toc211911348"/>
      <w:bookmarkStart w:id="8" w:name="_Toc241833903"/>
      <w:bookmarkStart w:id="9" w:name="_Toc283019214"/>
      <w:bookmarkStart w:id="10" w:name="_Toc185395249"/>
      <w:bookmarkStart w:id="11" w:name="_Toc247334841"/>
      <w:bookmarkStart w:id="12" w:name="_Toc212019594"/>
      <w:bookmarkStart w:id="13" w:name="_Toc225670751"/>
      <w:bookmarkStart w:id="14" w:name="_Toc237145406"/>
      <w:bookmarkStart w:id="15" w:name="_Toc225654644"/>
      <w:bookmarkStart w:id="16" w:name="_Toc239233914"/>
      <w:bookmarkStart w:id="17" w:name="_Toc251768862"/>
      <w:bookmarkStart w:id="18" w:name="_Toc239568418"/>
      <w:bookmarkStart w:id="19" w:name="_Toc238984975"/>
      <w:bookmarkStart w:id="20" w:name="_Toc232492928"/>
      <w:r>
        <w:rPr>
          <w:rFonts w:hint="eastAsia" w:ascii="宋体" w:hAnsi="宋体" w:eastAsia="宋体" w:cs="宋体"/>
          <w:snapToGrid/>
          <w:color w:val="auto"/>
          <w:kern w:val="0"/>
          <w:sz w:val="21"/>
          <w:szCs w:val="21"/>
          <w:highlight w:val="none"/>
          <w:shd w:val="clear" w:fill="FFFFFF"/>
          <w:lang w:val="en-US" w:eastAsia="zh-CN"/>
        </w:rPr>
        <w:t>合同签订后90日历天。</w:t>
      </w:r>
    </w:p>
    <w:p w14:paraId="08B0934D">
      <w:pPr>
        <w:keepNext w:val="0"/>
        <w:keepLines w:val="0"/>
        <w:pageBreakBefore w:val="0"/>
        <w:widowControl/>
        <w:numPr>
          <w:ilvl w:val="0"/>
          <w:numId w:val="0"/>
        </w:numPr>
        <w:tabs>
          <w:tab w:val="left" w:pos="387"/>
        </w:tabs>
        <w:wordWrap/>
        <w:overflowPunct/>
        <w:topLinePunct w:val="0"/>
        <w:bidi w:val="0"/>
        <w:adjustRightInd w:val="0"/>
        <w:snapToGrid w:val="0"/>
        <w:spacing w:line="360" w:lineRule="auto"/>
        <w:ind w:firstLine="420" w:firstLineChars="200"/>
        <w:jc w:val="left"/>
        <w:textAlignment w:val="baseline"/>
        <w:outlineLvl w:val="1"/>
        <w:rPr>
          <w:rFonts w:hint="eastAsia" w:ascii="宋体" w:hAnsi="宋体" w:eastAsia="宋体" w:cs="宋体"/>
          <w:sz w:val="21"/>
          <w:szCs w:val="21"/>
          <w:highlight w:val="none"/>
        </w:rPr>
      </w:pPr>
      <w:r>
        <w:rPr>
          <w:rFonts w:hint="eastAsia" w:ascii="宋体"/>
          <w:b/>
          <w:color w:val="auto"/>
          <w:sz w:val="21"/>
          <w:szCs w:val="21"/>
          <w:highlight w:val="none"/>
        </w:rPr>
        <w:t>第</w:t>
      </w:r>
      <w:r>
        <w:rPr>
          <w:rFonts w:hint="eastAsia" w:ascii="宋体" w:eastAsia="宋体"/>
          <w:b/>
          <w:color w:val="auto"/>
          <w:sz w:val="21"/>
          <w:szCs w:val="21"/>
          <w:highlight w:val="none"/>
          <w:lang w:val="en-US" w:eastAsia="zh-CN"/>
        </w:rPr>
        <w:t>三</w:t>
      </w:r>
      <w:r>
        <w:rPr>
          <w:rFonts w:hint="eastAsia" w:ascii="宋体"/>
          <w:b/>
          <w:color w:val="auto"/>
          <w:sz w:val="21"/>
          <w:szCs w:val="21"/>
          <w:highlight w:val="none"/>
        </w:rPr>
        <w:t>条</w:t>
      </w:r>
      <w:r>
        <w:rPr>
          <w:rFonts w:hint="eastAsia" w:ascii="宋体"/>
          <w:b/>
          <w:sz w:val="21"/>
          <w:szCs w:val="21"/>
          <w:highlight w:val="none"/>
        </w:rPr>
        <w:t xml:space="preserve"> 服务内容与质量标准</w:t>
      </w:r>
      <w:bookmarkEnd w:id="2"/>
      <w:bookmarkStart w:id="21" w:name="_Toc20078"/>
    </w:p>
    <w:p w14:paraId="78635E94">
      <w:pPr>
        <w:pStyle w:val="11"/>
        <w:widowControl w:val="0"/>
        <w:numPr>
          <w:ilvl w:val="0"/>
          <w:numId w:val="0"/>
        </w:numPr>
        <w:spacing w:before="90" w:after="90" w:line="360" w:lineRule="auto"/>
        <w:ind w:firstLine="422" w:firstLineChars="200"/>
        <w:jc w:val="both"/>
        <w:rPr>
          <w:rFonts w:hint="eastAsia" w:ascii="宋体" w:hAnsi="宋体" w:cs="宋体"/>
          <w:b/>
          <w:sz w:val="21"/>
          <w:szCs w:val="21"/>
          <w:highlight w:val="none"/>
          <w:lang w:val="en-US" w:eastAsia="zh-CN"/>
        </w:rPr>
      </w:pPr>
      <w:r>
        <w:rPr>
          <w:rFonts w:hint="eastAsia" w:ascii="宋体" w:hAnsi="宋体" w:eastAsia="宋体" w:cs="宋体"/>
          <w:b/>
          <w:sz w:val="21"/>
          <w:szCs w:val="21"/>
          <w:highlight w:val="none"/>
        </w:rPr>
        <w:t>服务内容</w:t>
      </w:r>
    </w:p>
    <w:p w14:paraId="7812A96A">
      <w:pPr>
        <w:pStyle w:val="11"/>
        <w:widowControl w:val="0"/>
        <w:numPr>
          <w:ilvl w:val="0"/>
          <w:numId w:val="0"/>
        </w:numPr>
        <w:spacing w:before="90" w:after="90"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shd w:val="clear" w:fill="FFFFFF"/>
        </w:rPr>
        <w:t>1</w:t>
      </w:r>
      <w:r>
        <w:rPr>
          <w:rFonts w:hint="eastAsia" w:ascii="宋体" w:hAnsi="宋体" w:cs="宋体"/>
          <w:sz w:val="21"/>
          <w:szCs w:val="21"/>
          <w:highlight w:val="none"/>
          <w:shd w:val="clear" w:fill="FFFFFF"/>
          <w:lang w:val="en-US" w:eastAsia="zh-CN"/>
        </w:rPr>
        <w:t>.</w:t>
      </w:r>
      <w:r>
        <w:rPr>
          <w:rFonts w:hint="eastAsia" w:ascii="宋体" w:hAnsi="宋体" w:eastAsia="宋体" w:cs="宋体"/>
          <w:sz w:val="21"/>
          <w:szCs w:val="21"/>
          <w:highlight w:val="none"/>
          <w:shd w:val="clear" w:fill="FFFFFF"/>
        </w:rPr>
        <w:t>体检人数：厅机关正式干部职工（含离退休人员）以及长期借调、聘用及物业部分服务人员，共计</w:t>
      </w:r>
      <w:r>
        <w:rPr>
          <w:rFonts w:hint="eastAsia" w:ascii="宋体" w:hAnsi="宋体" w:eastAsia="宋体" w:cs="宋体"/>
          <w:sz w:val="21"/>
          <w:szCs w:val="21"/>
          <w:highlight w:val="none"/>
          <w:shd w:val="clear" w:fill="FFFFFF"/>
          <w:lang w:val="en-US" w:eastAsia="zh-CN"/>
        </w:rPr>
        <w:t>406</w:t>
      </w:r>
      <w:r>
        <w:rPr>
          <w:rFonts w:hint="eastAsia" w:ascii="宋体" w:hAnsi="宋体" w:eastAsia="宋体" w:cs="宋体"/>
          <w:sz w:val="21"/>
          <w:szCs w:val="21"/>
          <w:highlight w:val="none"/>
          <w:shd w:val="clear" w:fill="FFFFFF"/>
        </w:rPr>
        <w:t>人。</w:t>
      </w:r>
    </w:p>
    <w:p w14:paraId="597FEA29">
      <w:pPr>
        <w:pStyle w:val="11"/>
        <w:widowControl w:val="0"/>
        <w:spacing w:line="360" w:lineRule="auto"/>
        <w:jc w:val="both"/>
        <w:rPr>
          <w:rFonts w:hint="eastAsia" w:ascii="宋体" w:hAnsi="宋体" w:eastAsia="宋体" w:cs="宋体"/>
          <w:sz w:val="21"/>
          <w:szCs w:val="21"/>
          <w:highlight w:val="none"/>
          <w:shd w:val="clear" w:fill="FFFFFF"/>
        </w:rPr>
      </w:pPr>
      <w:r>
        <w:rPr>
          <w:rFonts w:hint="eastAsia" w:ascii="宋体" w:hAnsi="宋体" w:eastAsia="宋体" w:cs="宋体"/>
          <w:sz w:val="21"/>
          <w:szCs w:val="21"/>
          <w:highlight w:val="none"/>
          <w:shd w:val="clear" w:fill="FFFFFF"/>
        </w:rPr>
        <w:t xml:space="preserve">  </w:t>
      </w:r>
      <w:r>
        <w:rPr>
          <w:rFonts w:hint="eastAsia" w:ascii="宋体" w:hAnsi="宋体" w:cs="宋体"/>
          <w:sz w:val="21"/>
          <w:szCs w:val="21"/>
          <w:highlight w:val="none"/>
          <w:shd w:val="clear" w:fill="FFFFFF"/>
          <w:lang w:val="en-US" w:eastAsia="zh-CN"/>
        </w:rPr>
        <w:t xml:space="preserve">  2.</w:t>
      </w:r>
      <w:r>
        <w:rPr>
          <w:rFonts w:hint="eastAsia" w:ascii="宋体" w:hAnsi="宋体" w:eastAsia="宋体" w:cs="宋体"/>
          <w:sz w:val="21"/>
          <w:szCs w:val="21"/>
          <w:highlight w:val="none"/>
          <w:shd w:val="clear" w:fill="FFFFFF"/>
        </w:rPr>
        <w:t>本次体检不接受降低体检费用标准，不设置基本体检项目，由</w:t>
      </w:r>
      <w:r>
        <w:rPr>
          <w:rFonts w:hint="eastAsia" w:ascii="宋体" w:hAnsi="宋体" w:cs="宋体"/>
          <w:sz w:val="21"/>
          <w:szCs w:val="21"/>
          <w:highlight w:val="none"/>
          <w:shd w:val="clear" w:fill="FFFFFF"/>
          <w:lang w:eastAsia="zh-CN"/>
        </w:rPr>
        <w:t>乙方</w:t>
      </w:r>
      <w:r>
        <w:rPr>
          <w:rFonts w:hint="eastAsia" w:ascii="宋体" w:hAnsi="宋体" w:eastAsia="宋体" w:cs="宋体"/>
          <w:sz w:val="21"/>
          <w:szCs w:val="21"/>
          <w:highlight w:val="none"/>
          <w:shd w:val="clear" w:fill="FFFFFF"/>
        </w:rPr>
        <w:t>按40岁以上男、女和40岁以下男、女、未婚女分别设计体检套餐，标准不低于</w:t>
      </w:r>
      <w:r>
        <w:rPr>
          <w:rFonts w:hint="eastAsia" w:ascii="宋体" w:hAnsi="宋体" w:eastAsia="宋体" w:cs="宋体"/>
          <w:sz w:val="21"/>
          <w:szCs w:val="21"/>
          <w:highlight w:val="none"/>
          <w:shd w:val="clear" w:fill="FFFFFF"/>
          <w:lang w:val="en-US" w:eastAsia="zh-CN"/>
        </w:rPr>
        <w:t>1370</w:t>
      </w:r>
      <w:r>
        <w:rPr>
          <w:rFonts w:hint="eastAsia" w:ascii="宋体" w:hAnsi="宋体" w:eastAsia="宋体" w:cs="宋体"/>
          <w:sz w:val="21"/>
          <w:szCs w:val="21"/>
          <w:highlight w:val="none"/>
          <w:shd w:val="clear" w:fill="FFFFFF"/>
        </w:rPr>
        <w:t>元/人，体检套餐科学合理、性价比高。</w:t>
      </w:r>
    </w:p>
    <w:p w14:paraId="3A3B33F0">
      <w:pPr>
        <w:pStyle w:val="11"/>
        <w:widowControl w:val="0"/>
        <w:spacing w:line="360" w:lineRule="auto"/>
        <w:ind w:firstLine="420"/>
        <w:jc w:val="both"/>
        <w:rPr>
          <w:rFonts w:hint="eastAsia" w:ascii="宋体" w:hAnsi="宋体" w:eastAsia="宋体" w:cs="宋体"/>
          <w:sz w:val="21"/>
          <w:szCs w:val="21"/>
          <w:shd w:val="clear" w:fill="FFFFFF"/>
        </w:rPr>
      </w:pPr>
      <w:r>
        <w:rPr>
          <w:rFonts w:hint="eastAsia" w:ascii="宋体" w:hAnsi="宋体" w:cs="宋体"/>
          <w:sz w:val="21"/>
          <w:szCs w:val="21"/>
          <w:shd w:val="clear" w:fill="FFFFFF"/>
          <w:lang w:val="en-US" w:eastAsia="zh-CN"/>
        </w:rPr>
        <w:t>3.</w:t>
      </w:r>
      <w:r>
        <w:rPr>
          <w:rFonts w:hint="eastAsia" w:ascii="宋体" w:hAnsi="宋体" w:eastAsia="宋体" w:cs="宋体"/>
          <w:sz w:val="21"/>
          <w:szCs w:val="21"/>
          <w:shd w:val="clear" w:fill="FFFFFF"/>
        </w:rPr>
        <w:t>针对本项目有其他可供选择的自费体检项目，并针对所有自费项目明确优惠比例。</w:t>
      </w:r>
    </w:p>
    <w:p w14:paraId="4ADBC842">
      <w:pPr>
        <w:pStyle w:val="11"/>
        <w:widowControl w:val="0"/>
        <w:spacing w:line="360" w:lineRule="auto"/>
        <w:ind w:firstLine="420"/>
        <w:jc w:val="both"/>
        <w:rPr>
          <w:rFonts w:hint="eastAsia" w:ascii="宋体" w:hAnsi="宋体" w:cs="宋体"/>
          <w:sz w:val="21"/>
          <w:szCs w:val="21"/>
          <w:shd w:val="clear" w:fill="FFFFFF"/>
          <w:lang w:eastAsia="zh-CN"/>
        </w:rPr>
      </w:pPr>
      <w:r>
        <w:rPr>
          <w:rFonts w:hint="eastAsia" w:ascii="宋体" w:hAnsi="宋体" w:cs="宋体"/>
          <w:sz w:val="21"/>
          <w:szCs w:val="21"/>
          <w:shd w:val="clear" w:fill="FFFFFF"/>
          <w:lang w:val="en-US" w:eastAsia="zh-CN"/>
        </w:rPr>
        <w:t>4.</w:t>
      </w:r>
      <w:r>
        <w:rPr>
          <w:rFonts w:hint="eastAsia" w:ascii="宋体" w:hAnsi="宋体" w:cs="宋体"/>
          <w:sz w:val="21"/>
          <w:szCs w:val="21"/>
          <w:shd w:val="clear" w:fill="FFFFFF"/>
          <w:lang w:eastAsia="zh-CN"/>
        </w:rPr>
        <w:t>乙方</w:t>
      </w:r>
      <w:r>
        <w:rPr>
          <w:rFonts w:hint="eastAsia" w:ascii="宋体" w:hAnsi="宋体" w:eastAsia="宋体" w:cs="宋体"/>
          <w:sz w:val="21"/>
          <w:szCs w:val="21"/>
          <w:shd w:val="clear" w:fill="FFFFFF"/>
        </w:rPr>
        <w:t>在本地有体检服务点</w:t>
      </w:r>
      <w:r>
        <w:rPr>
          <w:rFonts w:hint="eastAsia" w:ascii="宋体" w:hAnsi="宋体" w:cs="宋体"/>
          <w:sz w:val="21"/>
          <w:szCs w:val="21"/>
          <w:shd w:val="clear" w:fill="FFFFFF"/>
          <w:lang w:eastAsia="zh-CN"/>
        </w:rPr>
        <w:t>。</w:t>
      </w:r>
    </w:p>
    <w:p w14:paraId="710B1BDA">
      <w:pPr>
        <w:pStyle w:val="11"/>
        <w:widowControl w:val="0"/>
        <w:spacing w:line="360" w:lineRule="auto"/>
        <w:ind w:firstLine="420" w:firstLineChars="200"/>
        <w:jc w:val="both"/>
        <w:rPr>
          <w:rFonts w:hint="default" w:ascii="宋体" w:hAnsi="宋体" w:eastAsia="宋体" w:cs="宋体"/>
          <w:sz w:val="21"/>
          <w:szCs w:val="21"/>
          <w:shd w:val="clear" w:fill="FFFFFF"/>
          <w:lang w:val="en-US" w:eastAsia="zh-CN"/>
        </w:rPr>
      </w:pPr>
      <w:r>
        <w:rPr>
          <w:rFonts w:hint="eastAsia" w:ascii="宋体" w:hAnsi="宋体" w:cs="宋体"/>
          <w:sz w:val="21"/>
          <w:szCs w:val="21"/>
          <w:shd w:val="clear" w:fill="FFFFFF"/>
          <w:lang w:val="en-US" w:eastAsia="zh-CN"/>
        </w:rPr>
        <w:t>5</w:t>
      </w:r>
      <w:r>
        <w:rPr>
          <w:rFonts w:hint="eastAsia" w:ascii="宋体" w:hAnsi="宋体" w:eastAsia="宋体" w:cs="宋体"/>
          <w:sz w:val="21"/>
          <w:szCs w:val="21"/>
          <w:shd w:val="clear" w:fill="FFFFFF"/>
          <w:lang w:val="en-US" w:eastAsia="zh-CN"/>
        </w:rPr>
        <w:t>.</w:t>
      </w:r>
      <w:r>
        <w:rPr>
          <w:rFonts w:hint="eastAsia" w:ascii="宋体" w:hAnsi="宋体" w:eastAsia="宋体" w:cs="宋体"/>
          <w:sz w:val="21"/>
          <w:szCs w:val="21"/>
          <w:shd w:val="clear" w:fill="FFFFFF"/>
        </w:rPr>
        <w:t>体检中心设有独立的妇科检查区域，人性化的女性专属通道，查体男女分区，体现贴心服务</w:t>
      </w:r>
      <w:r>
        <w:rPr>
          <w:rFonts w:hint="eastAsia" w:ascii="宋体" w:hAnsi="宋体" w:eastAsia="宋体" w:cs="宋体"/>
          <w:sz w:val="21"/>
          <w:szCs w:val="21"/>
          <w:shd w:val="clear" w:fill="FFFFFF"/>
          <w:lang w:eastAsia="zh-CN"/>
        </w:rPr>
        <w:t>。</w:t>
      </w:r>
    </w:p>
    <w:p w14:paraId="05028FA6">
      <w:pPr>
        <w:pStyle w:val="11"/>
        <w:widowControl w:val="0"/>
        <w:spacing w:line="360" w:lineRule="auto"/>
        <w:jc w:val="both"/>
        <w:rPr>
          <w:rFonts w:hint="eastAsia" w:ascii="宋体" w:hAnsi="宋体" w:eastAsia="宋体" w:cs="宋体"/>
          <w:sz w:val="21"/>
          <w:szCs w:val="21"/>
        </w:rPr>
      </w:pPr>
      <w:r>
        <w:rPr>
          <w:rFonts w:hint="eastAsia" w:ascii="宋体" w:hAnsi="宋体" w:eastAsia="宋体" w:cs="宋体"/>
          <w:sz w:val="21"/>
          <w:szCs w:val="21"/>
          <w:shd w:val="clear" w:fill="FFFFFF"/>
        </w:rPr>
        <w:t xml:space="preserve"> </w:t>
      </w:r>
      <w:r>
        <w:rPr>
          <w:rFonts w:hint="eastAsia" w:ascii="宋体" w:hAnsi="宋体" w:cs="宋体"/>
          <w:sz w:val="21"/>
          <w:szCs w:val="21"/>
          <w:shd w:val="clear" w:fill="FFFFFF"/>
          <w:lang w:val="en-US" w:eastAsia="zh-CN"/>
        </w:rPr>
        <w:t xml:space="preserve">   6</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应急服务：</w:t>
      </w:r>
      <w:r>
        <w:rPr>
          <w:rFonts w:hint="eastAsia" w:ascii="宋体" w:hAnsi="宋体" w:cs="宋体"/>
          <w:color w:val="000000"/>
          <w:sz w:val="21"/>
          <w:szCs w:val="21"/>
          <w:lang w:eastAsia="zh-CN"/>
        </w:rPr>
        <w:t>乙方</w:t>
      </w:r>
      <w:r>
        <w:rPr>
          <w:rFonts w:hint="eastAsia" w:ascii="宋体" w:hAnsi="宋体" w:eastAsia="宋体" w:cs="宋体"/>
          <w:color w:val="000000"/>
          <w:sz w:val="21"/>
          <w:szCs w:val="21"/>
        </w:rPr>
        <w:t>应制定完善的体检应急方案，包括但不限于参检人员突发疾病处置、</w:t>
      </w:r>
      <w:r>
        <w:rPr>
          <w:rFonts w:hint="eastAsia" w:ascii="宋体" w:hAnsi="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仪器故障或因其他人力不可抗拒因素</w:t>
      </w:r>
      <w:r>
        <w:rPr>
          <w:rFonts w:hint="eastAsia" w:ascii="宋体" w:hAnsi="宋体" w:eastAsia="宋体" w:cs="宋体"/>
          <w:color w:val="000000"/>
          <w:sz w:val="21"/>
          <w:szCs w:val="21"/>
        </w:rPr>
        <w:t>、批量体检人员集中到检时的分流疏导方案等，确保体检工作安全有序进行。</w:t>
      </w:r>
    </w:p>
    <w:p w14:paraId="26EB35D3">
      <w:pPr>
        <w:pStyle w:val="11"/>
        <w:widowControl w:val="0"/>
        <w:spacing w:line="360" w:lineRule="auto"/>
        <w:ind w:firstLine="422" w:firstLineChars="200"/>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人员配置要求</w:t>
      </w:r>
    </w:p>
    <w:p w14:paraId="109AD3C0">
      <w:pPr>
        <w:widowControl w:val="0"/>
        <w:spacing w:after="160" w:line="360" w:lineRule="auto"/>
        <w:ind w:firstLine="480"/>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乙方</w:t>
      </w:r>
      <w:r>
        <w:rPr>
          <w:rFonts w:hint="eastAsia" w:ascii="宋体" w:hAnsi="宋体" w:eastAsia="宋体" w:cs="宋体"/>
          <w:color w:val="000000"/>
          <w:sz w:val="21"/>
          <w:szCs w:val="21"/>
        </w:rPr>
        <w:t>应根据本项目服务规模（406人）及体检服务特点，组建专业、稳定的项目服务团队，所有人员均应为</w:t>
      </w:r>
      <w:r>
        <w:rPr>
          <w:rFonts w:hint="eastAsia" w:ascii="宋体" w:hAnsi="宋体" w:eastAsia="宋体" w:cs="宋体"/>
          <w:color w:val="000000"/>
          <w:sz w:val="21"/>
          <w:szCs w:val="21"/>
          <w:lang w:eastAsia="zh-CN"/>
        </w:rPr>
        <w:t>乙方</w:t>
      </w:r>
      <w:r>
        <w:rPr>
          <w:rFonts w:hint="eastAsia" w:ascii="宋体" w:hAnsi="宋体" w:eastAsia="宋体" w:cs="宋体"/>
          <w:color w:val="000000"/>
          <w:sz w:val="21"/>
          <w:szCs w:val="21"/>
        </w:rPr>
        <w:t>在职员工</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并明确各岗位职责及人员数量</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具体配置要求如下：</w:t>
      </w:r>
    </w:p>
    <w:p w14:paraId="57C18ACF">
      <w:pPr>
        <w:widowControl w:val="0"/>
        <w:numPr>
          <w:ilvl w:val="0"/>
          <w:numId w:val="0"/>
        </w:numPr>
        <w:spacing w:after="160" w:line="360" w:lineRule="auto"/>
        <w:ind w:firstLine="422" w:firstLineChars="200"/>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1.项目管理人员</w:t>
      </w:r>
    </w:p>
    <w:p w14:paraId="65CCE2D9">
      <w:pPr>
        <w:widowControl w:val="0"/>
        <w:numPr>
          <w:ilvl w:val="0"/>
          <w:numId w:val="0"/>
        </w:numPr>
        <w:spacing w:after="16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项目负责人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具有医学相关专业本科及以上学历，持有执业医师资格证书，</w:t>
      </w:r>
      <w:r>
        <w:rPr>
          <w:rFonts w:hint="eastAsia" w:ascii="宋体" w:hAnsi="宋体" w:cs="宋体"/>
          <w:color w:val="000000"/>
          <w:sz w:val="21"/>
          <w:szCs w:val="21"/>
          <w:lang w:val="en-US" w:eastAsia="zh-CN"/>
        </w:rPr>
        <w:t>具备中级及以上专业技术职称</w:t>
      </w:r>
      <w:r>
        <w:rPr>
          <w:rFonts w:hint="eastAsia" w:ascii="宋体" w:hAnsi="宋体" w:eastAsia="宋体" w:cs="宋体"/>
          <w:color w:val="000000"/>
          <w:sz w:val="21"/>
          <w:szCs w:val="21"/>
        </w:rPr>
        <w:t>，全面负责本项目的统筹管理、组织协调、质量控制及与</w:t>
      </w:r>
      <w:r>
        <w:rPr>
          <w:rFonts w:hint="eastAsia" w:ascii="宋体" w:hAnsi="宋体" w:eastAsia="宋体" w:cs="宋体"/>
          <w:color w:val="000000"/>
          <w:sz w:val="21"/>
          <w:szCs w:val="21"/>
          <w:lang w:eastAsia="zh-CN"/>
        </w:rPr>
        <w:t>甲方</w:t>
      </w:r>
      <w:r>
        <w:rPr>
          <w:rFonts w:hint="eastAsia" w:ascii="宋体" w:hAnsi="宋体" w:eastAsia="宋体" w:cs="宋体"/>
          <w:color w:val="000000"/>
          <w:sz w:val="21"/>
          <w:szCs w:val="21"/>
        </w:rPr>
        <w:t>的沟通对接，确保项目有序推进</w:t>
      </w:r>
      <w:r>
        <w:rPr>
          <w:rFonts w:hint="eastAsia" w:ascii="宋体" w:hAnsi="宋体" w:eastAsia="宋体" w:cs="宋体"/>
          <w:color w:val="000000"/>
          <w:sz w:val="21"/>
          <w:szCs w:val="21"/>
          <w:lang w:eastAsia="zh-CN"/>
        </w:rPr>
        <w:t>；</w:t>
      </w:r>
    </w:p>
    <w:p w14:paraId="71A6D3D2">
      <w:pPr>
        <w:pStyle w:val="11"/>
        <w:widowControl w:val="0"/>
        <w:numPr>
          <w:ilvl w:val="0"/>
          <w:numId w:val="0"/>
        </w:numPr>
        <w:spacing w:line="360" w:lineRule="auto"/>
        <w:ind w:firstLine="420" w:firstLineChars="200"/>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eastAsia="zh-CN"/>
        </w:rPr>
        <w:t>（</w:t>
      </w:r>
      <w:r>
        <w:rPr>
          <w:rFonts w:hint="eastAsia" w:ascii="宋体" w:hAnsi="宋体" w:cs="宋体"/>
          <w:color w:val="000000"/>
          <w:sz w:val="21"/>
          <w:szCs w:val="21"/>
          <w:lang w:val="en-US" w:eastAsia="zh-CN"/>
        </w:rPr>
        <w:t>2</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质量监督员</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具有医学相关专业大专及以上学历，中级及以上职称，熟悉体检质量管理规范</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负责体检全过程质量控制，监督各项操作规范执行，处理体检质量投诉</w:t>
      </w:r>
      <w:r>
        <w:rPr>
          <w:rFonts w:hint="eastAsia" w:ascii="宋体" w:hAnsi="宋体" w:eastAsia="宋体" w:cs="宋体"/>
          <w:color w:val="000000"/>
          <w:sz w:val="21"/>
          <w:szCs w:val="21"/>
          <w:lang w:eastAsia="zh-CN"/>
        </w:rPr>
        <w:t>。</w:t>
      </w:r>
    </w:p>
    <w:p w14:paraId="482964E2">
      <w:pPr>
        <w:pStyle w:val="11"/>
        <w:widowControl w:val="0"/>
        <w:numPr>
          <w:ilvl w:val="0"/>
          <w:numId w:val="0"/>
        </w:numPr>
        <w:spacing w:line="360" w:lineRule="auto"/>
        <w:ind w:firstLine="422" w:firstLineChars="200"/>
        <w:jc w:val="both"/>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2.临床科室医护人员</w:t>
      </w:r>
    </w:p>
    <w:p w14:paraId="4866959C">
      <w:pPr>
        <w:pStyle w:val="11"/>
        <w:widowControl w:val="0"/>
        <w:spacing w:line="360" w:lineRule="auto"/>
        <w:ind w:firstLine="420" w:firstLineChars="200"/>
        <w:jc w:val="both"/>
        <w:rPr>
          <w:rFonts w:hint="eastAsia" w:ascii="宋体" w:hAnsi="宋体" w:eastAsia="宋体" w:cs="宋体"/>
          <w:b/>
          <w:bCs/>
          <w:sz w:val="21"/>
          <w:szCs w:val="21"/>
          <w:lang w:val="en-US"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主检医师</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持有执业医师资格证书，具备副高级及以上职称，临床工作经验</w:t>
      </w:r>
      <w:r>
        <w:rPr>
          <w:rFonts w:hint="eastAsia" w:ascii="宋体" w:hAnsi="宋体" w:cs="宋体"/>
          <w:color w:val="000000"/>
          <w:sz w:val="21"/>
          <w:szCs w:val="21"/>
          <w:lang w:val="en-US" w:eastAsia="zh-CN"/>
        </w:rPr>
        <w:t>丰富</w:t>
      </w:r>
      <w:r>
        <w:rPr>
          <w:rFonts w:hint="eastAsia" w:ascii="宋体" w:hAnsi="宋体" w:eastAsia="宋体" w:cs="宋体"/>
          <w:color w:val="000000"/>
          <w:sz w:val="21"/>
          <w:szCs w:val="21"/>
        </w:rPr>
        <w:t>，熟悉健康体检规范及体检报告审核</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负责体检报告的终审、总检及健康评估，对重大异常结果提出处理意见</w:t>
      </w:r>
      <w:r>
        <w:rPr>
          <w:rFonts w:hint="eastAsia" w:ascii="宋体" w:hAnsi="宋体" w:eastAsia="宋体" w:cs="宋体"/>
          <w:color w:val="000000"/>
          <w:sz w:val="21"/>
          <w:szCs w:val="21"/>
          <w:lang w:eastAsia="zh-CN"/>
        </w:rPr>
        <w:t>；</w:t>
      </w:r>
    </w:p>
    <w:p w14:paraId="782E463F">
      <w:pPr>
        <w:pStyle w:val="11"/>
        <w:widowControl w:val="0"/>
        <w:spacing w:line="360" w:lineRule="auto"/>
        <w:ind w:firstLine="420" w:firstLineChars="2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内科医师</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持有执业医师资格证书，中级及以上职称，临床工作经验</w:t>
      </w:r>
      <w:r>
        <w:rPr>
          <w:rFonts w:hint="eastAsia" w:ascii="宋体" w:hAnsi="宋体" w:cs="宋体"/>
          <w:color w:val="000000"/>
          <w:sz w:val="21"/>
          <w:szCs w:val="21"/>
          <w:lang w:val="en-US" w:eastAsia="zh-CN"/>
        </w:rPr>
        <w:t>丰富</w:t>
      </w:r>
      <w:r>
        <w:rPr>
          <w:rFonts w:hint="eastAsia" w:ascii="宋体" w:hAnsi="宋体" w:eastAsia="宋体" w:cs="宋体"/>
          <w:color w:val="000000"/>
          <w:sz w:val="21"/>
          <w:szCs w:val="21"/>
        </w:rPr>
        <w:t>，负责内科常规检查，包括心肺听诊、腹部触诊等，准确记录检查结果</w:t>
      </w:r>
      <w:r>
        <w:rPr>
          <w:rFonts w:hint="eastAsia" w:ascii="宋体" w:hAnsi="宋体" w:eastAsia="宋体" w:cs="宋体"/>
          <w:color w:val="000000"/>
          <w:sz w:val="21"/>
          <w:szCs w:val="21"/>
          <w:lang w:eastAsia="zh-CN"/>
        </w:rPr>
        <w:t>。</w:t>
      </w:r>
    </w:p>
    <w:p w14:paraId="373285FA">
      <w:pPr>
        <w:pStyle w:val="11"/>
        <w:widowControl w:val="0"/>
        <w:spacing w:line="360" w:lineRule="auto"/>
        <w:ind w:firstLine="420" w:firstLineChars="2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外科医师</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持有执业医师资格证书，中级及以上职称，临床工作经验</w:t>
      </w:r>
      <w:r>
        <w:rPr>
          <w:rFonts w:hint="eastAsia" w:ascii="宋体" w:hAnsi="宋体" w:cs="宋体"/>
          <w:color w:val="000000"/>
          <w:sz w:val="21"/>
          <w:szCs w:val="21"/>
          <w:lang w:val="en-US" w:eastAsia="zh-CN"/>
        </w:rPr>
        <w:t>丰富</w:t>
      </w:r>
      <w:r>
        <w:rPr>
          <w:rFonts w:hint="eastAsia" w:ascii="宋体" w:hAnsi="宋体" w:eastAsia="宋体" w:cs="宋体"/>
          <w:color w:val="000000"/>
          <w:sz w:val="21"/>
          <w:szCs w:val="21"/>
        </w:rPr>
        <w:t>，负责外科常规检查，包括皮肤、淋巴结、甲状腺、脊柱四肢等检查</w:t>
      </w:r>
      <w:r>
        <w:rPr>
          <w:rFonts w:hint="eastAsia" w:ascii="宋体" w:hAnsi="宋体" w:eastAsia="宋体" w:cs="宋体"/>
          <w:color w:val="000000"/>
          <w:sz w:val="21"/>
          <w:szCs w:val="21"/>
          <w:lang w:eastAsia="zh-CN"/>
        </w:rPr>
        <w:t>；</w:t>
      </w:r>
    </w:p>
    <w:p w14:paraId="587D0506">
      <w:pPr>
        <w:pStyle w:val="11"/>
        <w:widowControl w:val="0"/>
        <w:spacing w:line="360" w:lineRule="auto"/>
        <w:ind w:firstLine="420" w:firstLineChars="200"/>
        <w:jc w:val="both"/>
        <w:rPr>
          <w:rFonts w:hint="eastAsia" w:ascii="宋体" w:hAnsi="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妇科医师</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持有执业医师资格证书，中级及以上职称</w:t>
      </w:r>
      <w:r>
        <w:rPr>
          <w:rFonts w:hint="eastAsia" w:ascii="宋体" w:hAnsi="宋体" w:cs="宋体"/>
          <w:color w:val="000000"/>
          <w:sz w:val="21"/>
          <w:szCs w:val="21"/>
          <w:lang w:eastAsia="zh-CN"/>
        </w:rPr>
        <w:t>，</w:t>
      </w:r>
      <w:r>
        <w:rPr>
          <w:rFonts w:hint="eastAsia" w:ascii="宋体" w:hAnsi="宋体" w:eastAsia="宋体" w:cs="宋体"/>
          <w:color w:val="000000"/>
          <w:sz w:val="21"/>
          <w:szCs w:val="21"/>
        </w:rPr>
        <w:t>临床工作经验</w:t>
      </w:r>
      <w:r>
        <w:rPr>
          <w:rFonts w:hint="eastAsia" w:ascii="宋体" w:hAnsi="宋体" w:cs="宋体"/>
          <w:color w:val="000000"/>
          <w:sz w:val="21"/>
          <w:szCs w:val="21"/>
          <w:lang w:val="en-US" w:eastAsia="zh-CN"/>
        </w:rPr>
        <w:t>丰富</w:t>
      </w:r>
      <w:r>
        <w:rPr>
          <w:rFonts w:hint="eastAsia" w:ascii="宋体" w:hAnsi="宋体" w:eastAsia="宋体" w:cs="宋体"/>
          <w:color w:val="000000"/>
          <w:sz w:val="21"/>
          <w:szCs w:val="21"/>
        </w:rPr>
        <w:t>，持有有效的母婴保健技术考核合格证书</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负责妇科常规检查</w:t>
      </w:r>
      <w:r>
        <w:rPr>
          <w:rFonts w:hint="eastAsia" w:ascii="宋体" w:hAnsi="宋体" w:cs="宋体"/>
          <w:color w:val="000000"/>
          <w:sz w:val="21"/>
          <w:szCs w:val="21"/>
          <w:lang w:eastAsia="zh-CN"/>
        </w:rPr>
        <w:t>；</w:t>
      </w:r>
    </w:p>
    <w:p w14:paraId="67DB8C9B">
      <w:pPr>
        <w:pStyle w:val="11"/>
        <w:widowControl w:val="0"/>
        <w:spacing w:line="360" w:lineRule="auto"/>
        <w:ind w:firstLine="420" w:firstLineChars="2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眼科医师</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持有执业医师资格证书，具有眼科临床工作经验</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负责视力、色觉、眼底等眼科检查</w:t>
      </w:r>
      <w:r>
        <w:rPr>
          <w:rFonts w:hint="eastAsia" w:ascii="宋体" w:hAnsi="宋体" w:eastAsia="宋体" w:cs="宋体"/>
          <w:color w:val="000000"/>
          <w:sz w:val="21"/>
          <w:szCs w:val="21"/>
          <w:lang w:eastAsia="zh-CN"/>
        </w:rPr>
        <w:t>；</w:t>
      </w:r>
    </w:p>
    <w:p w14:paraId="6FFB5AAD">
      <w:pPr>
        <w:pStyle w:val="11"/>
        <w:widowControl w:val="0"/>
        <w:spacing w:line="360" w:lineRule="auto"/>
        <w:ind w:firstLine="420" w:firstLineChars="2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耳鼻喉科医师</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持有执业医师资格证书，具有耳鼻喉科临床工作经验</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负责耳鼻喉常规检查</w:t>
      </w:r>
      <w:r>
        <w:rPr>
          <w:rFonts w:hint="eastAsia" w:ascii="宋体" w:hAnsi="宋体" w:eastAsia="宋体" w:cs="宋体"/>
          <w:color w:val="000000"/>
          <w:sz w:val="21"/>
          <w:szCs w:val="21"/>
          <w:lang w:eastAsia="zh-CN"/>
        </w:rPr>
        <w:t>；</w:t>
      </w:r>
    </w:p>
    <w:p w14:paraId="13CE06FD">
      <w:pPr>
        <w:pStyle w:val="11"/>
        <w:widowControl w:val="0"/>
        <w:spacing w:line="360" w:lineRule="auto"/>
        <w:ind w:firstLine="420" w:firstLineChars="2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口腔科医师</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持有执业医师资格证书，具有口腔科临床工作经验</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负责口腔常规检查</w:t>
      </w:r>
      <w:r>
        <w:rPr>
          <w:rFonts w:hint="eastAsia" w:ascii="宋体" w:hAnsi="宋体" w:eastAsia="宋体" w:cs="宋体"/>
          <w:color w:val="000000"/>
          <w:sz w:val="21"/>
          <w:szCs w:val="21"/>
          <w:lang w:eastAsia="zh-CN"/>
        </w:rPr>
        <w:t>；</w:t>
      </w:r>
    </w:p>
    <w:p w14:paraId="6250430F">
      <w:pPr>
        <w:pStyle w:val="11"/>
        <w:widowControl w:val="0"/>
        <w:spacing w:line="360" w:lineRule="auto"/>
        <w:ind w:firstLine="420" w:firstLineChars="2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影像诊断医师</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持有执业医师资格证书及放射工作人员证，中级及以上职称，具有CT/DR影像诊断工作经验</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负责DR、CT等影像学检查的诊断和报告出具</w:t>
      </w:r>
      <w:r>
        <w:rPr>
          <w:rFonts w:hint="eastAsia" w:ascii="宋体" w:hAnsi="宋体" w:eastAsia="宋体" w:cs="宋体"/>
          <w:color w:val="000000"/>
          <w:sz w:val="21"/>
          <w:szCs w:val="21"/>
          <w:lang w:eastAsia="zh-CN"/>
        </w:rPr>
        <w:t>。</w:t>
      </w:r>
    </w:p>
    <w:p w14:paraId="10F8C04E">
      <w:pPr>
        <w:pStyle w:val="11"/>
        <w:widowControl w:val="0"/>
        <w:spacing w:line="360" w:lineRule="auto"/>
        <w:ind w:firstLine="420" w:firstLineChars="2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9</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超声医师</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持有执业医师资格证书，具有超声医学专业执业范围，中级及以上职称，持有大型医用设备上岗证（CDFI），具有超声诊断工作经验</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负责腹部、甲状腺、乳腺、心脏等部位的超声检查及诊断</w:t>
      </w:r>
      <w:r>
        <w:rPr>
          <w:rFonts w:hint="eastAsia" w:ascii="宋体" w:hAnsi="宋体" w:eastAsia="宋体" w:cs="宋体"/>
          <w:color w:val="000000"/>
          <w:sz w:val="21"/>
          <w:szCs w:val="21"/>
          <w:lang w:eastAsia="zh-CN"/>
        </w:rPr>
        <w:t>；</w:t>
      </w:r>
    </w:p>
    <w:p w14:paraId="03D74050">
      <w:pPr>
        <w:pStyle w:val="11"/>
        <w:widowControl w:val="0"/>
        <w:spacing w:line="360" w:lineRule="auto"/>
        <w:ind w:firstLine="420" w:firstLineChars="2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10</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检验技师</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持有医学检验专业资格证书，中级及以上职称，具有临床检验工作经验</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负责血液、尿液、粪便等标本的检验分析，确保检验结果准确可靠</w:t>
      </w:r>
      <w:r>
        <w:rPr>
          <w:rFonts w:hint="eastAsia" w:ascii="宋体" w:hAnsi="宋体" w:eastAsia="宋体" w:cs="宋体"/>
          <w:color w:val="000000"/>
          <w:sz w:val="21"/>
          <w:szCs w:val="21"/>
          <w:lang w:eastAsia="zh-CN"/>
        </w:rPr>
        <w:t>。</w:t>
      </w:r>
    </w:p>
    <w:p w14:paraId="2352D0BD">
      <w:pPr>
        <w:pStyle w:val="11"/>
        <w:widowControl w:val="0"/>
        <w:spacing w:line="36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3.护理及辅助人员</w:t>
      </w:r>
    </w:p>
    <w:p w14:paraId="3285EF26">
      <w:pPr>
        <w:pStyle w:val="11"/>
        <w:widowControl w:val="0"/>
        <w:spacing w:line="360" w:lineRule="auto"/>
        <w:ind w:firstLine="420" w:firstLineChars="2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（1）护士长：</w:t>
      </w:r>
      <w:r>
        <w:rPr>
          <w:rFonts w:hint="eastAsia" w:ascii="宋体" w:hAnsi="宋体" w:eastAsia="宋体" w:cs="宋体"/>
          <w:color w:val="000000"/>
          <w:sz w:val="21"/>
          <w:szCs w:val="21"/>
        </w:rPr>
        <w:t>持有执业护士资格证书，主管护师及以上职称，具有护理管理经验</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负责护理团队管理、院感防控、急救物资管理及护理质量监督</w:t>
      </w:r>
      <w:r>
        <w:rPr>
          <w:rFonts w:hint="eastAsia" w:ascii="宋体" w:hAnsi="宋体" w:eastAsia="宋体" w:cs="宋体"/>
          <w:color w:val="000000"/>
          <w:sz w:val="21"/>
          <w:szCs w:val="21"/>
          <w:lang w:eastAsia="zh-CN"/>
        </w:rPr>
        <w:t>。</w:t>
      </w:r>
    </w:p>
    <w:p w14:paraId="49DCD632">
      <w:pPr>
        <w:pStyle w:val="11"/>
        <w:widowControl w:val="0"/>
        <w:spacing w:line="360" w:lineRule="auto"/>
        <w:ind w:firstLine="420" w:firstLineChars="200"/>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护士</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持有执业护士资格证书，具有临床护理工作经验，熟练掌握静脉采血、心电图操作等技能</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负责静脉采血、血压测量、心电图操作、体检引导及应急护理配合</w:t>
      </w:r>
      <w:r>
        <w:rPr>
          <w:rFonts w:hint="eastAsia" w:ascii="宋体" w:hAnsi="宋体" w:eastAsia="宋体" w:cs="宋体"/>
          <w:color w:val="000000"/>
          <w:sz w:val="21"/>
          <w:szCs w:val="21"/>
          <w:lang w:eastAsia="zh-CN"/>
        </w:rPr>
        <w:t>。</w:t>
      </w:r>
    </w:p>
    <w:p w14:paraId="678C6AC5">
      <w:pPr>
        <w:pStyle w:val="11"/>
        <w:widowControl w:val="0"/>
        <w:spacing w:line="360" w:lineRule="auto"/>
        <w:ind w:firstLine="420" w:firstLineChars="2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导检人员</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具有医学相关专业背景或健康管理师证书，形象良好，沟通能力强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负责体检人员分流引导、体检流程咨询、秩序维护及特殊人群陪检</w:t>
      </w:r>
      <w:r>
        <w:rPr>
          <w:rFonts w:hint="eastAsia" w:ascii="宋体" w:hAnsi="宋体" w:eastAsia="宋体" w:cs="宋体"/>
          <w:color w:val="000000"/>
          <w:sz w:val="21"/>
          <w:szCs w:val="21"/>
          <w:lang w:eastAsia="zh-CN"/>
        </w:rPr>
        <w:t>。</w:t>
      </w:r>
    </w:p>
    <w:p w14:paraId="52205831">
      <w:pPr>
        <w:pStyle w:val="11"/>
        <w:widowControl w:val="0"/>
        <w:spacing w:line="360" w:lineRule="auto"/>
        <w:ind w:firstLine="420" w:firstLineChars="2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健康管理师</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持有健康管理师职业资格证书，具有健康管理工作经验</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负责体检报告的解读、健康咨询、健康管理建议及检后随访</w:t>
      </w:r>
      <w:r>
        <w:rPr>
          <w:rFonts w:hint="eastAsia" w:ascii="宋体" w:hAnsi="宋体" w:eastAsia="宋体" w:cs="宋体"/>
          <w:color w:val="000000"/>
          <w:sz w:val="21"/>
          <w:szCs w:val="21"/>
          <w:lang w:eastAsia="zh-CN"/>
        </w:rPr>
        <w:t>。</w:t>
      </w:r>
    </w:p>
    <w:p w14:paraId="4C528E13">
      <w:pPr>
        <w:pStyle w:val="11"/>
        <w:widowControl w:val="0"/>
        <w:spacing w:line="360" w:lineRule="auto"/>
        <w:ind w:firstLine="420" w:firstLineChars="200"/>
        <w:jc w:val="both"/>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信息管理员</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具有计算机或医学信息管理相关专业背景，熟悉体检信息系统操作</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负责体检报告的解读、健康咨询、健康管理建议及检后随访</w:t>
      </w:r>
      <w:r>
        <w:rPr>
          <w:rFonts w:hint="eastAsia" w:ascii="宋体" w:hAnsi="宋体" w:eastAsia="宋体" w:cs="宋体"/>
          <w:color w:val="000000"/>
          <w:sz w:val="21"/>
          <w:szCs w:val="21"/>
          <w:lang w:eastAsia="zh-CN"/>
        </w:rPr>
        <w:t>。</w:t>
      </w:r>
    </w:p>
    <w:p w14:paraId="688BE1D0">
      <w:pPr>
        <w:pStyle w:val="11"/>
        <w:widowControl w:val="0"/>
        <w:spacing w:line="360" w:lineRule="auto"/>
        <w:ind w:firstLine="422" w:firstLineChars="200"/>
        <w:jc w:val="both"/>
        <w:rPr>
          <w:rFonts w:hint="eastAsia" w:ascii="宋体" w:hAnsi="宋体" w:eastAsia="宋体" w:cs="宋体"/>
          <w:sz w:val="21"/>
          <w:szCs w:val="21"/>
        </w:rPr>
      </w:pPr>
      <w:r>
        <w:rPr>
          <w:rFonts w:hint="eastAsia" w:ascii="宋体" w:hAnsi="宋体" w:eastAsia="宋体" w:cs="宋体"/>
          <w:b/>
          <w:sz w:val="21"/>
          <w:szCs w:val="21"/>
          <w:shd w:val="clear" w:fill="FFFFFF"/>
        </w:rPr>
        <w:t>服务要求</w:t>
      </w:r>
    </w:p>
    <w:p w14:paraId="016A3BE8">
      <w:pPr>
        <w:pStyle w:val="11"/>
        <w:widowControl w:val="0"/>
        <w:spacing w:line="360" w:lineRule="auto"/>
        <w:ind w:firstLine="420"/>
        <w:jc w:val="left"/>
        <w:rPr>
          <w:rFonts w:hint="eastAsia" w:ascii="宋体" w:hAnsi="宋体" w:eastAsia="宋体" w:cs="宋体"/>
          <w:sz w:val="21"/>
          <w:szCs w:val="21"/>
        </w:rPr>
      </w:pPr>
      <w:r>
        <w:rPr>
          <w:rFonts w:hint="eastAsia" w:ascii="宋体" w:hAnsi="宋体" w:eastAsia="宋体" w:cs="宋体"/>
          <w:sz w:val="21"/>
          <w:szCs w:val="21"/>
          <w:shd w:val="clear" w:fill="FFFFFF"/>
        </w:rPr>
        <w:t>1.本次体检</w:t>
      </w:r>
      <w:r>
        <w:rPr>
          <w:rFonts w:hint="eastAsia" w:ascii="宋体" w:hAnsi="宋体" w:cs="宋体"/>
          <w:sz w:val="21"/>
          <w:szCs w:val="21"/>
          <w:shd w:val="clear" w:fill="FFFFFF"/>
          <w:lang w:val="en-US" w:eastAsia="zh-CN"/>
        </w:rPr>
        <w:t>需</w:t>
      </w:r>
      <w:r>
        <w:rPr>
          <w:rFonts w:hint="eastAsia" w:ascii="宋体" w:hAnsi="宋体" w:eastAsia="宋体" w:cs="宋体"/>
          <w:sz w:val="21"/>
          <w:szCs w:val="21"/>
          <w:shd w:val="clear" w:fill="FFFFFF"/>
        </w:rPr>
        <w:t>在当地进行，在体检期间做好标识标牌，保证参检人员方便快捷进行各项体检。</w:t>
      </w:r>
    </w:p>
    <w:p w14:paraId="7A9B68A7">
      <w:pPr>
        <w:pStyle w:val="11"/>
        <w:widowControl w:val="0"/>
        <w:spacing w:line="360" w:lineRule="auto"/>
        <w:ind w:firstLine="420"/>
        <w:jc w:val="left"/>
        <w:rPr>
          <w:rFonts w:hint="eastAsia" w:ascii="宋体" w:hAnsi="宋体" w:eastAsia="宋体" w:cs="宋体"/>
          <w:sz w:val="21"/>
          <w:szCs w:val="21"/>
        </w:rPr>
      </w:pPr>
      <w:r>
        <w:rPr>
          <w:rFonts w:hint="eastAsia" w:ascii="宋体" w:hAnsi="宋体" w:eastAsia="宋体" w:cs="宋体"/>
          <w:sz w:val="21"/>
          <w:szCs w:val="21"/>
          <w:shd w:val="clear" w:fill="FFFFFF"/>
        </w:rPr>
        <w:t>2.体检机构</w:t>
      </w:r>
      <w:r>
        <w:rPr>
          <w:rFonts w:hint="eastAsia" w:ascii="宋体" w:hAnsi="宋体" w:cs="宋体"/>
          <w:sz w:val="21"/>
          <w:szCs w:val="21"/>
          <w:shd w:val="clear" w:fill="FFFFFF"/>
          <w:lang w:val="en-US" w:eastAsia="zh-CN"/>
        </w:rPr>
        <w:t>需</w:t>
      </w:r>
      <w:r>
        <w:rPr>
          <w:rFonts w:hint="eastAsia" w:ascii="宋体" w:hAnsi="宋体" w:eastAsia="宋体" w:cs="宋体"/>
          <w:sz w:val="21"/>
          <w:szCs w:val="21"/>
          <w:shd w:val="clear" w:fill="FFFFFF"/>
        </w:rPr>
        <w:t>对参检人员信息进行核对，确认核对是本人后方可体检。</w:t>
      </w:r>
    </w:p>
    <w:p w14:paraId="09ABD5A9">
      <w:pPr>
        <w:pStyle w:val="11"/>
        <w:widowControl w:val="0"/>
        <w:spacing w:line="360" w:lineRule="auto"/>
        <w:ind w:firstLine="420"/>
        <w:jc w:val="left"/>
        <w:rPr>
          <w:rFonts w:hint="eastAsia" w:ascii="宋体" w:hAnsi="宋体" w:eastAsia="宋体" w:cs="宋体"/>
          <w:sz w:val="21"/>
          <w:szCs w:val="21"/>
          <w:shd w:val="clear" w:fill="FFFFFF"/>
        </w:rPr>
      </w:pPr>
      <w:r>
        <w:rPr>
          <w:rFonts w:hint="eastAsia" w:ascii="宋体" w:hAnsi="宋体" w:eastAsia="宋体" w:cs="宋体"/>
          <w:sz w:val="21"/>
          <w:szCs w:val="21"/>
          <w:shd w:val="clear" w:fill="FFFFFF"/>
          <w:lang w:val="en-US" w:eastAsia="zh-CN"/>
        </w:rPr>
        <w:t>3.</w:t>
      </w:r>
      <w:r>
        <w:rPr>
          <w:rFonts w:hint="eastAsia" w:ascii="宋体" w:hAnsi="宋体" w:eastAsia="宋体" w:cs="宋体"/>
          <w:sz w:val="21"/>
          <w:szCs w:val="21"/>
          <w:shd w:val="clear" w:fill="FFFFFF"/>
        </w:rPr>
        <w:t>.按规定的检查项目内容为参检人员提供对应的体检服务和体检器材,保证一人一针一管（器），器材符合国家卫生标准。</w:t>
      </w:r>
    </w:p>
    <w:p w14:paraId="2310632F">
      <w:pPr>
        <w:pStyle w:val="11"/>
        <w:widowControl w:val="0"/>
        <w:spacing w:line="360" w:lineRule="auto"/>
        <w:ind w:firstLine="420"/>
        <w:jc w:val="both"/>
        <w:rPr>
          <w:rFonts w:hint="eastAsia" w:ascii="宋体" w:hAnsi="宋体" w:cs="宋体"/>
          <w:sz w:val="21"/>
          <w:szCs w:val="21"/>
          <w:lang w:val="en-US" w:eastAsia="zh-CN"/>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在体检中不得擅自修改体检项目</w:t>
      </w:r>
      <w:r>
        <w:rPr>
          <w:rFonts w:hint="eastAsia" w:ascii="宋体" w:hAnsi="宋体" w:cs="宋体"/>
          <w:sz w:val="21"/>
          <w:szCs w:val="21"/>
          <w:lang w:val="en-US" w:eastAsia="zh-CN"/>
        </w:rPr>
        <w:t>。</w:t>
      </w:r>
    </w:p>
    <w:p w14:paraId="2A44273C">
      <w:pPr>
        <w:pStyle w:val="11"/>
        <w:numPr>
          <w:ilvl w:val="0"/>
          <w:numId w:val="0"/>
        </w:numPr>
        <w:spacing w:line="360" w:lineRule="auto"/>
        <w:ind w:firstLine="420" w:firstLineChars="200"/>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5.乙方承诺及时出具体检报告。</w:t>
      </w:r>
    </w:p>
    <w:p w14:paraId="328E1224">
      <w:pPr>
        <w:pStyle w:val="11"/>
        <w:numPr>
          <w:ilvl w:val="0"/>
          <w:numId w:val="0"/>
        </w:numPr>
        <w:spacing w:line="360" w:lineRule="auto"/>
        <w:ind w:firstLine="420" w:firstLineChars="200"/>
        <w:rPr>
          <w:rFonts w:hint="eastAsia" w:ascii="宋体" w:hAnsi="宋体" w:eastAsia="宋体" w:cs="宋体"/>
          <w:sz w:val="21"/>
          <w:szCs w:val="21"/>
          <w:highlight w:val="yellow"/>
        </w:rPr>
      </w:pPr>
      <w:r>
        <w:rPr>
          <w:rFonts w:hint="eastAsia" w:ascii="宋体" w:hAnsi="宋体" w:cs="宋体"/>
          <w:sz w:val="21"/>
          <w:szCs w:val="21"/>
          <w:shd w:val="clear" w:fill="FFFFFF"/>
          <w:lang w:val="en-US" w:eastAsia="zh-CN"/>
        </w:rPr>
        <w:t>6</w:t>
      </w:r>
      <w:r>
        <w:rPr>
          <w:rFonts w:hint="eastAsia" w:ascii="宋体" w:hAnsi="宋体" w:eastAsia="宋体" w:cs="宋体"/>
          <w:sz w:val="21"/>
          <w:szCs w:val="21"/>
          <w:shd w:val="clear" w:fill="FFFFFF"/>
          <w:lang w:val="en-US" w:eastAsia="zh-CN"/>
        </w:rPr>
        <w:t>.</w:t>
      </w:r>
      <w:r>
        <w:rPr>
          <w:rFonts w:hint="eastAsia" w:ascii="宋体" w:hAnsi="宋体" w:eastAsia="宋体" w:cs="宋体"/>
          <w:sz w:val="21"/>
          <w:szCs w:val="21"/>
        </w:rPr>
        <w:t>体</w:t>
      </w:r>
      <w:r>
        <w:rPr>
          <w:rFonts w:hint="eastAsia" w:ascii="宋体" w:hAnsi="宋体" w:cs="宋体"/>
          <w:sz w:val="21"/>
          <w:szCs w:val="21"/>
          <w:lang w:val="en-US" w:eastAsia="zh-CN"/>
        </w:rPr>
        <w:t>要求</w:t>
      </w:r>
      <w:r>
        <w:rPr>
          <w:rFonts w:hint="eastAsia" w:ascii="宋体" w:hAnsi="宋体" w:eastAsia="宋体" w:cs="宋体"/>
          <w:sz w:val="21"/>
          <w:szCs w:val="21"/>
        </w:rPr>
        <w:t>及</w:t>
      </w:r>
      <w:r>
        <w:rPr>
          <w:rFonts w:hint="eastAsia" w:ascii="宋体" w:hAnsi="宋体" w:cs="宋体"/>
          <w:sz w:val="21"/>
          <w:szCs w:val="21"/>
          <w:lang w:val="en-US" w:eastAsia="zh-CN"/>
        </w:rPr>
        <w:t>体检人员信息</w:t>
      </w:r>
      <w:r>
        <w:rPr>
          <w:rFonts w:hint="eastAsia" w:ascii="宋体" w:hAnsi="宋体" w:eastAsia="宋体" w:cs="宋体"/>
          <w:sz w:val="21"/>
          <w:szCs w:val="21"/>
        </w:rPr>
        <w:t>保密</w:t>
      </w:r>
      <w:r>
        <w:rPr>
          <w:rFonts w:hint="eastAsia" w:ascii="宋体" w:hAnsi="宋体" w:cs="宋体"/>
          <w:sz w:val="21"/>
          <w:szCs w:val="21"/>
          <w:lang w:eastAsia="zh-CN"/>
        </w:rPr>
        <w:t>：</w:t>
      </w:r>
      <w:r>
        <w:rPr>
          <w:rFonts w:hint="eastAsia" w:ascii="宋体" w:hAnsi="宋体" w:cs="宋体"/>
          <w:sz w:val="21"/>
          <w:szCs w:val="21"/>
          <w:shd w:val="clear" w:fill="FFFFFF"/>
          <w:lang w:eastAsia="zh-CN"/>
        </w:rPr>
        <w:t>（</w:t>
      </w:r>
      <w:r>
        <w:rPr>
          <w:rFonts w:hint="eastAsia" w:ascii="宋体" w:hAnsi="宋体" w:cs="宋体"/>
          <w:sz w:val="21"/>
          <w:szCs w:val="21"/>
          <w:shd w:val="clear" w:fill="FFFFFF"/>
          <w:lang w:val="en-US" w:eastAsia="zh-CN"/>
        </w:rPr>
        <w:t>1</w:t>
      </w:r>
      <w:r>
        <w:rPr>
          <w:rFonts w:hint="eastAsia" w:ascii="宋体" w:hAnsi="宋体" w:cs="宋体"/>
          <w:sz w:val="21"/>
          <w:szCs w:val="21"/>
          <w:shd w:val="clear" w:fill="FFFFFF"/>
          <w:lang w:eastAsia="zh-CN"/>
        </w:rPr>
        <w:t>）</w:t>
      </w:r>
      <w:r>
        <w:rPr>
          <w:rFonts w:hint="eastAsia" w:ascii="宋体" w:hAnsi="宋体" w:cs="宋体"/>
          <w:sz w:val="21"/>
          <w:szCs w:val="21"/>
          <w:shd w:val="clear" w:fill="FFFFFF"/>
          <w:lang w:val="en-US" w:eastAsia="zh-CN"/>
        </w:rPr>
        <w:t>提供</w:t>
      </w:r>
      <w:r>
        <w:rPr>
          <w:rFonts w:hint="eastAsia" w:ascii="宋体" w:hAnsi="宋体" w:eastAsia="宋体" w:cs="宋体"/>
          <w:color w:val="000000"/>
          <w:sz w:val="21"/>
          <w:szCs w:val="21"/>
        </w:rPr>
        <w:t>体检结果分析，治疗建议及健康评估报告</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2</w:t>
      </w:r>
      <w:r>
        <w:rPr>
          <w:rFonts w:hint="eastAsia" w:ascii="宋体" w:hAnsi="宋体" w:cs="宋体"/>
          <w:color w:val="000000"/>
          <w:sz w:val="21"/>
          <w:szCs w:val="21"/>
          <w:lang w:eastAsia="zh-CN"/>
        </w:rPr>
        <w:t>）</w:t>
      </w:r>
      <w:r>
        <w:rPr>
          <w:rFonts w:hint="eastAsia" w:ascii="宋体" w:hAnsi="宋体" w:eastAsia="宋体" w:cs="宋体"/>
          <w:sz w:val="21"/>
          <w:szCs w:val="21"/>
          <w:shd w:val="clear" w:fill="FFFFFF"/>
        </w:rPr>
        <w:t>确保向参检人员提供切实可信的体检，涉及个人隐私</w:t>
      </w:r>
      <w:r>
        <w:rPr>
          <w:rFonts w:hint="eastAsia" w:ascii="宋体" w:hAnsi="宋体" w:cs="宋体"/>
          <w:sz w:val="21"/>
          <w:szCs w:val="21"/>
          <w:shd w:val="clear" w:fill="FFFFFF"/>
          <w:lang w:val="en-US" w:eastAsia="zh-CN"/>
        </w:rPr>
        <w:t>需</w:t>
      </w:r>
      <w:r>
        <w:rPr>
          <w:rFonts w:hint="eastAsia" w:ascii="宋体" w:hAnsi="宋体" w:eastAsia="宋体" w:cs="宋体"/>
          <w:sz w:val="21"/>
          <w:szCs w:val="21"/>
          <w:shd w:val="clear" w:fill="FFFFFF"/>
        </w:rPr>
        <w:t>告知本人，不得向第三方传播</w:t>
      </w:r>
      <w:r>
        <w:rPr>
          <w:rFonts w:hint="eastAsia" w:ascii="宋体" w:hAnsi="宋体" w:cs="宋体"/>
          <w:sz w:val="21"/>
          <w:szCs w:val="21"/>
          <w:shd w:val="clear" w:fill="FFFFFF"/>
          <w:lang w:eastAsia="zh-CN"/>
        </w:rPr>
        <w:t>；（</w:t>
      </w:r>
      <w:r>
        <w:rPr>
          <w:rFonts w:hint="eastAsia" w:ascii="宋体" w:hAnsi="宋体" w:cs="宋体"/>
          <w:sz w:val="21"/>
          <w:szCs w:val="21"/>
          <w:shd w:val="clear" w:fill="FFFFFF"/>
          <w:lang w:val="en-US" w:eastAsia="zh-CN"/>
        </w:rPr>
        <w:t>3</w:t>
      </w:r>
      <w:r>
        <w:rPr>
          <w:rFonts w:hint="eastAsia" w:ascii="宋体" w:hAnsi="宋体" w:cs="宋体"/>
          <w:sz w:val="21"/>
          <w:szCs w:val="21"/>
          <w:shd w:val="clear" w:fill="FFFFFF"/>
          <w:lang w:eastAsia="zh-CN"/>
        </w:rPr>
        <w:t>）</w:t>
      </w:r>
      <w:r>
        <w:rPr>
          <w:rFonts w:hint="eastAsia" w:ascii="宋体" w:hAnsi="宋体" w:eastAsia="宋体" w:cs="宋体"/>
          <w:color w:val="000000"/>
          <w:sz w:val="21"/>
          <w:szCs w:val="21"/>
        </w:rPr>
        <w:t>被检人员的体检结果详细资料及电子文档所有信息数据不外泄，做好保密工作</w:t>
      </w:r>
      <w:r>
        <w:rPr>
          <w:rFonts w:hint="eastAsia" w:ascii="宋体" w:hAnsi="宋体" w:cs="宋体"/>
          <w:color w:val="000000"/>
          <w:sz w:val="21"/>
          <w:szCs w:val="21"/>
          <w:lang w:eastAsia="zh-CN"/>
        </w:rPr>
        <w:t>。</w:t>
      </w:r>
    </w:p>
    <w:p w14:paraId="2961391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outlineLvl w:val="1"/>
        <w:rPr>
          <w:rFonts w:hint="eastAsia" w:ascii="宋体" w:hAnsi="宋体"/>
          <w:b/>
          <w:sz w:val="21"/>
          <w:szCs w:val="21"/>
        </w:rPr>
      </w:pPr>
      <w:r>
        <w:rPr>
          <w:rFonts w:hint="eastAsia" w:ascii="宋体"/>
          <w:b/>
          <w:sz w:val="21"/>
          <w:szCs w:val="21"/>
        </w:rPr>
        <w:t xml:space="preserve">第四条  </w:t>
      </w:r>
      <w:r>
        <w:rPr>
          <w:rFonts w:hint="eastAsia" w:ascii="宋体" w:hAnsi="宋体"/>
          <w:b/>
          <w:sz w:val="21"/>
          <w:szCs w:val="21"/>
        </w:rPr>
        <w:t>服务费用及支付方式</w:t>
      </w:r>
      <w:bookmarkEnd w:id="21"/>
    </w:p>
    <w:p w14:paraId="0B3E190A">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rPr>
      </w:pPr>
      <w:bookmarkStart w:id="22" w:name="_Toc22959"/>
      <w:r>
        <w:rPr>
          <w:rFonts w:hint="eastAsia" w:ascii="宋体" w:hAnsi="宋体" w:eastAsia="宋体"/>
          <w:b w:val="0"/>
          <w:bCs/>
          <w:color w:val="auto"/>
          <w:sz w:val="21"/>
          <w:szCs w:val="21"/>
          <w:lang w:eastAsia="zh-CN"/>
        </w:rPr>
        <w:t>1.</w:t>
      </w:r>
      <w:r>
        <w:rPr>
          <w:rFonts w:hint="eastAsia" w:ascii="宋体" w:hAnsi="宋体"/>
          <w:b w:val="0"/>
          <w:bCs/>
          <w:color w:val="auto"/>
          <w:sz w:val="21"/>
          <w:szCs w:val="21"/>
        </w:rPr>
        <w:t>服务费按下列比例支付价款</w:t>
      </w:r>
    </w:p>
    <w:p w14:paraId="11FF5516">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rPr>
      </w:pPr>
      <w:r>
        <w:rPr>
          <w:rFonts w:hint="eastAsia" w:ascii="宋体" w:hAnsi="宋体" w:eastAsia="宋体"/>
          <w:b w:val="0"/>
          <w:bCs/>
          <w:color w:val="auto"/>
          <w:sz w:val="21"/>
          <w:szCs w:val="21"/>
          <w:lang w:eastAsia="zh-CN"/>
        </w:rPr>
        <w:t>（</w:t>
      </w:r>
      <w:r>
        <w:rPr>
          <w:rFonts w:hint="eastAsia" w:ascii="宋体" w:hAnsi="宋体" w:eastAsia="宋体"/>
          <w:b w:val="0"/>
          <w:bCs/>
          <w:color w:val="auto"/>
          <w:sz w:val="21"/>
          <w:szCs w:val="21"/>
          <w:lang w:val="en-US" w:eastAsia="zh-CN"/>
        </w:rPr>
        <w:t>1）</w:t>
      </w:r>
      <w:r>
        <w:rPr>
          <w:rFonts w:hint="eastAsia" w:ascii="宋体" w:hAnsi="宋体"/>
          <w:b w:val="0"/>
          <w:bCs/>
          <w:color w:val="auto"/>
          <w:sz w:val="21"/>
          <w:szCs w:val="21"/>
        </w:rPr>
        <w:t>服务总费用为人民币（大写）：</w:t>
      </w:r>
      <w:r>
        <w:rPr>
          <w:rFonts w:hint="eastAsia" w:ascii="宋体" w:hAnsi="宋体" w:eastAsia="宋体" w:cs="宋体"/>
          <w:i w:val="0"/>
          <w:iCs w:val="0"/>
          <w:caps w:val="0"/>
          <w:spacing w:val="0"/>
          <w:sz w:val="21"/>
          <w:szCs w:val="21"/>
          <w:u w:val="single"/>
          <w:shd w:val="clear" w:fill="FFFFFF"/>
          <w:lang w:val="en-US" w:eastAsia="zh-CN"/>
        </w:rPr>
        <w:t xml:space="preserve">     </w:t>
      </w:r>
      <w:r>
        <w:rPr>
          <w:rFonts w:hint="eastAsia" w:ascii="宋体" w:hAnsi="宋体"/>
          <w:b w:val="0"/>
          <w:bCs/>
          <w:color w:val="auto"/>
          <w:sz w:val="21"/>
          <w:szCs w:val="21"/>
        </w:rPr>
        <w:t>元，￥</w:t>
      </w:r>
      <w:r>
        <w:rPr>
          <w:rFonts w:hint="eastAsia" w:ascii="宋体" w:hAnsi="宋体" w:eastAsia="宋体" w:cs="宋体"/>
          <w:i w:val="0"/>
          <w:iCs w:val="0"/>
          <w:caps w:val="0"/>
          <w:spacing w:val="0"/>
          <w:sz w:val="21"/>
          <w:szCs w:val="21"/>
          <w:u w:val="single"/>
          <w:shd w:val="clear" w:fill="FFFFFF"/>
          <w:lang w:val="en-US" w:eastAsia="zh-CN"/>
        </w:rPr>
        <w:t xml:space="preserve">     </w:t>
      </w:r>
      <w:r>
        <w:rPr>
          <w:rFonts w:hint="eastAsia" w:ascii="宋体" w:hAnsi="宋体"/>
          <w:b w:val="0"/>
          <w:bCs/>
          <w:color w:val="auto"/>
          <w:sz w:val="21"/>
          <w:szCs w:val="21"/>
        </w:rPr>
        <w:t>。</w:t>
      </w:r>
    </w:p>
    <w:p w14:paraId="3CC0CB13">
      <w:pPr>
        <w:pStyle w:val="11"/>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b w:val="0"/>
          <w:bCs/>
          <w:color w:val="000000" w:themeColor="text1"/>
          <w:sz w:val="21"/>
          <w:szCs w:val="21"/>
          <w:lang w:eastAsia="zh-CN"/>
          <w14:textFill>
            <w14:solidFill>
              <w14:schemeClr w14:val="tx1"/>
            </w14:solidFill>
          </w14:textFill>
        </w:rPr>
        <w:t>（</w:t>
      </w:r>
      <w:r>
        <w:rPr>
          <w:rFonts w:hint="eastAsia" w:ascii="宋体" w:hAnsi="宋体"/>
          <w:b w:val="0"/>
          <w:bCs/>
          <w:color w:val="000000" w:themeColor="text1"/>
          <w:sz w:val="21"/>
          <w:szCs w:val="21"/>
          <w:lang w:val="en-US" w:eastAsia="zh-CN"/>
          <w14:textFill>
            <w14:solidFill>
              <w14:schemeClr w14:val="tx1"/>
            </w14:solidFill>
          </w14:textFill>
        </w:rPr>
        <w:t>2</w:t>
      </w:r>
      <w:r>
        <w:rPr>
          <w:rFonts w:hint="eastAsia" w:ascii="宋体" w:hAnsi="宋体"/>
          <w:b w:val="0"/>
          <w:bCs/>
          <w:color w:val="000000" w:themeColor="text1"/>
          <w:sz w:val="21"/>
          <w:szCs w:val="21"/>
          <w:lang w:eastAsia="zh-CN"/>
          <w14:textFill>
            <w14:solidFill>
              <w14:schemeClr w14:val="tx1"/>
            </w14:solidFill>
          </w14:textFill>
        </w:rPr>
        <w:t>）</w:t>
      </w:r>
      <w:r>
        <w:rPr>
          <w:rFonts w:hint="eastAsia" w:ascii="宋体" w:hAnsi="宋体"/>
          <w:b w:val="0"/>
          <w:bCs/>
          <w:color w:val="000000" w:themeColor="text1"/>
          <w:sz w:val="21"/>
          <w:szCs w:val="21"/>
          <w14:textFill>
            <w14:solidFill>
              <w14:schemeClr w14:val="tx1"/>
            </w14:solidFill>
          </w14:textFill>
        </w:rPr>
        <w:t>支付方式</w:t>
      </w:r>
      <w:r>
        <w:rPr>
          <w:rFonts w:hint="eastAsia" w:ascii="宋体" w:hAnsi="宋体"/>
          <w:b w:val="0"/>
          <w:bCs/>
          <w:color w:val="000000" w:themeColor="text1"/>
          <w:sz w:val="21"/>
          <w:szCs w:val="21"/>
          <w:highlight w:val="none"/>
          <w14:textFill>
            <w14:solidFill>
              <w14:schemeClr w14:val="tx1"/>
            </w14:solidFill>
          </w14:textFill>
        </w:rPr>
        <w:t>：</w:t>
      </w:r>
      <w:r>
        <w:rPr>
          <w:rFonts w:hint="eastAsia" w:ascii="宋体" w:hAnsi="宋体" w:eastAsia="宋体" w:cs="宋体"/>
          <w:snapToGrid w:val="0"/>
          <w:color w:val="FF0000"/>
          <w:kern w:val="0"/>
          <w:sz w:val="21"/>
          <w:szCs w:val="21"/>
          <w:highlight w:val="none"/>
          <w:lang w:val="en-US" w:eastAsia="en-US" w:bidi="ar-SA"/>
        </w:rPr>
        <w:t>合同签订完成</w:t>
      </w:r>
      <w:r>
        <w:rPr>
          <w:rFonts w:hint="eastAsia" w:ascii="宋体" w:hAnsi="宋体" w:eastAsia="宋体" w:cs="宋体"/>
          <w:snapToGrid w:val="0"/>
          <w:color w:val="FF0000"/>
          <w:kern w:val="0"/>
          <w:sz w:val="21"/>
          <w:szCs w:val="21"/>
          <w:highlight w:val="none"/>
          <w:lang w:val="en-US" w:eastAsia="zh-CN" w:bidi="ar-SA"/>
        </w:rPr>
        <w:t>后，</w:t>
      </w:r>
      <w:r>
        <w:rPr>
          <w:rFonts w:hint="eastAsia" w:ascii="宋体" w:hAnsi="宋体" w:eastAsia="宋体" w:cs="宋体"/>
          <w:snapToGrid w:val="0"/>
          <w:color w:val="FF0000"/>
          <w:kern w:val="0"/>
          <w:sz w:val="21"/>
          <w:szCs w:val="21"/>
          <w:highlight w:val="none"/>
          <w:lang w:val="en-US" w:eastAsia="en-US" w:bidi="ar-SA"/>
        </w:rPr>
        <w:t>乙方向甲方出具合法有效的完税发票</w:t>
      </w:r>
      <w:r>
        <w:rPr>
          <w:rFonts w:hint="eastAsia" w:ascii="宋体" w:hAnsi="宋体" w:eastAsia="宋体" w:cs="宋体"/>
          <w:snapToGrid w:val="0"/>
          <w:color w:val="FF0000"/>
          <w:kern w:val="0"/>
          <w:sz w:val="21"/>
          <w:szCs w:val="21"/>
          <w:highlight w:val="none"/>
          <w:lang w:val="en-US" w:eastAsia="zh-CN" w:bidi="ar-SA"/>
        </w:rPr>
        <w:t>，</w:t>
      </w:r>
      <w:r>
        <w:rPr>
          <w:rFonts w:hint="eastAsia" w:ascii="宋体" w:hAnsi="宋体" w:eastAsia="宋体" w:cs="宋体"/>
          <w:snapToGrid w:val="0"/>
          <w:color w:val="FF0000"/>
          <w:kern w:val="0"/>
          <w:sz w:val="21"/>
          <w:szCs w:val="21"/>
          <w:highlight w:val="none"/>
          <w:lang w:val="en-US" w:eastAsia="en-US" w:bidi="ar-SA"/>
        </w:rPr>
        <w:t>达到付款条件起</w:t>
      </w:r>
      <w:r>
        <w:rPr>
          <w:rFonts w:hint="eastAsia" w:ascii="宋体" w:hAnsi="宋体" w:eastAsia="宋体" w:cs="宋体"/>
          <w:snapToGrid w:val="0"/>
          <w:color w:val="FF0000"/>
          <w:kern w:val="0"/>
          <w:sz w:val="21"/>
          <w:szCs w:val="21"/>
          <w:highlight w:val="none"/>
          <w:lang w:val="en-US" w:eastAsia="zh-CN" w:bidi="ar-SA"/>
        </w:rPr>
        <w:t>20</w:t>
      </w:r>
      <w:r>
        <w:rPr>
          <w:rFonts w:hint="eastAsia" w:ascii="宋体" w:hAnsi="宋体" w:eastAsia="宋体" w:cs="宋体"/>
          <w:snapToGrid w:val="0"/>
          <w:color w:val="FF0000"/>
          <w:kern w:val="0"/>
          <w:sz w:val="21"/>
          <w:szCs w:val="21"/>
          <w:highlight w:val="none"/>
          <w:lang w:val="en-US" w:eastAsia="en-US" w:bidi="ar-SA"/>
        </w:rPr>
        <w:t>个工作日内，支付</w:t>
      </w:r>
      <w:r>
        <w:rPr>
          <w:rFonts w:hint="eastAsia" w:ascii="宋体" w:hAnsi="宋体" w:eastAsia="宋体" w:cs="宋体"/>
          <w:snapToGrid w:val="0"/>
          <w:color w:val="FF0000"/>
          <w:kern w:val="0"/>
          <w:sz w:val="21"/>
          <w:szCs w:val="21"/>
          <w:highlight w:val="none"/>
          <w:lang w:val="en-US" w:eastAsia="zh-CN" w:bidi="ar-SA"/>
        </w:rPr>
        <w:t>合同总金额的100%。</w:t>
      </w:r>
    </w:p>
    <w:p w14:paraId="1F96D385">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rPr>
      </w:pPr>
      <w:r>
        <w:rPr>
          <w:rFonts w:hint="eastAsia" w:ascii="宋体" w:hAnsi="宋体" w:eastAsia="宋体"/>
          <w:b w:val="0"/>
          <w:bCs/>
          <w:color w:val="auto"/>
          <w:sz w:val="21"/>
          <w:szCs w:val="21"/>
          <w:lang w:val="en-US" w:eastAsia="zh-CN"/>
        </w:rPr>
        <w:t>2</w:t>
      </w:r>
      <w:r>
        <w:rPr>
          <w:rFonts w:hint="eastAsia" w:ascii="宋体" w:hAnsi="宋体" w:eastAsia="宋体"/>
          <w:b w:val="0"/>
          <w:bCs/>
          <w:color w:val="auto"/>
          <w:sz w:val="21"/>
          <w:szCs w:val="21"/>
          <w:lang w:eastAsia="zh-CN"/>
        </w:rPr>
        <w:t>.</w:t>
      </w:r>
      <w:r>
        <w:rPr>
          <w:rFonts w:hint="eastAsia" w:ascii="宋体" w:hAnsi="宋体"/>
          <w:b w:val="0"/>
          <w:bCs/>
          <w:color w:val="auto"/>
          <w:sz w:val="21"/>
          <w:szCs w:val="21"/>
        </w:rPr>
        <w:t>结算方式：银行转账</w:t>
      </w:r>
    </w:p>
    <w:p w14:paraId="2EF72D2B">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rPr>
      </w:pPr>
      <w:r>
        <w:rPr>
          <w:rFonts w:hint="eastAsia" w:ascii="宋体" w:hAnsi="宋体" w:eastAsia="宋体"/>
          <w:b w:val="0"/>
          <w:bCs/>
          <w:color w:val="auto"/>
          <w:sz w:val="21"/>
          <w:szCs w:val="21"/>
          <w:lang w:val="en-US" w:eastAsia="zh-CN"/>
        </w:rPr>
        <w:t>3</w:t>
      </w:r>
      <w:r>
        <w:rPr>
          <w:rFonts w:hint="eastAsia" w:ascii="宋体" w:hAnsi="宋体" w:eastAsia="宋体"/>
          <w:b w:val="0"/>
          <w:bCs/>
          <w:color w:val="auto"/>
          <w:sz w:val="21"/>
          <w:szCs w:val="21"/>
          <w:lang w:eastAsia="zh-CN"/>
        </w:rPr>
        <w:t>.</w:t>
      </w:r>
      <w:r>
        <w:rPr>
          <w:rFonts w:hint="eastAsia" w:ascii="宋体" w:hAnsi="宋体"/>
          <w:b w:val="0"/>
          <w:bCs/>
          <w:color w:val="auto"/>
          <w:sz w:val="21"/>
          <w:szCs w:val="21"/>
        </w:rPr>
        <w:t>乙方收款账户</w:t>
      </w:r>
    </w:p>
    <w:p w14:paraId="3F842DC7">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u w:val="none"/>
        </w:rPr>
      </w:pPr>
      <w:r>
        <w:rPr>
          <w:rFonts w:hint="eastAsia" w:ascii="宋体" w:hAnsi="宋体"/>
          <w:b w:val="0"/>
          <w:bCs/>
          <w:color w:val="auto"/>
          <w:sz w:val="21"/>
          <w:szCs w:val="21"/>
        </w:rPr>
        <w:t>账户名称：</w:t>
      </w:r>
      <w:r>
        <w:rPr>
          <w:rFonts w:hint="eastAsia" w:ascii="宋体" w:hAnsi="宋体" w:eastAsia="宋体" w:cs="宋体"/>
          <w:i w:val="0"/>
          <w:iCs w:val="0"/>
          <w:caps w:val="0"/>
          <w:spacing w:val="0"/>
          <w:sz w:val="21"/>
          <w:szCs w:val="21"/>
          <w:u w:val="none"/>
          <w:shd w:val="clear" w:fill="FFFFFF"/>
          <w:lang w:val="en-US" w:eastAsia="zh-CN"/>
        </w:rPr>
        <w:t xml:space="preserve">    </w:t>
      </w:r>
    </w:p>
    <w:p w14:paraId="638AEBD0">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rPr>
      </w:pPr>
      <w:r>
        <w:rPr>
          <w:rFonts w:hint="eastAsia" w:ascii="宋体" w:hAnsi="宋体"/>
          <w:b w:val="0"/>
          <w:bCs/>
          <w:color w:val="auto"/>
          <w:sz w:val="21"/>
          <w:szCs w:val="21"/>
        </w:rPr>
        <w:t xml:space="preserve">开户银行：                   </w:t>
      </w:r>
    </w:p>
    <w:p w14:paraId="19176044">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color w:val="auto"/>
          <w:szCs w:val="21"/>
        </w:rPr>
      </w:pPr>
      <w:r>
        <w:rPr>
          <w:rFonts w:hint="eastAsia" w:ascii="宋体" w:hAnsi="宋体"/>
          <w:b w:val="0"/>
          <w:bCs/>
          <w:color w:val="auto"/>
          <w:szCs w:val="21"/>
        </w:rPr>
        <w:t xml:space="preserve">银行账号：                 </w:t>
      </w:r>
    </w:p>
    <w:p w14:paraId="0CBEACC3">
      <w:pPr>
        <w:keepNext w:val="0"/>
        <w:keepLines w:val="0"/>
        <w:pageBreakBefore w:val="0"/>
        <w:widowControl/>
        <w:wordWrap/>
        <w:overflowPunct/>
        <w:topLinePunct w:val="0"/>
        <w:bidi w:val="0"/>
        <w:adjustRightInd w:val="0"/>
        <w:snapToGrid w:val="0"/>
        <w:spacing w:line="360" w:lineRule="auto"/>
        <w:ind w:left="425"/>
        <w:textAlignment w:val="baseline"/>
        <w:outlineLvl w:val="1"/>
        <w:rPr>
          <w:rFonts w:hint="eastAsia" w:ascii="宋体" w:hAnsi="宋体"/>
          <w:b/>
          <w:color w:val="auto"/>
          <w:szCs w:val="21"/>
        </w:rPr>
      </w:pPr>
      <w:r>
        <w:rPr>
          <w:rFonts w:hint="eastAsia" w:ascii="宋体" w:hAnsi="宋体"/>
          <w:b/>
          <w:color w:val="auto"/>
          <w:szCs w:val="21"/>
        </w:rPr>
        <w:t>第五条  知识产权（若有）</w:t>
      </w:r>
      <w:bookmarkEnd w:id="22"/>
    </w:p>
    <w:p w14:paraId="5560C660">
      <w:pPr>
        <w:keepNext w:val="0"/>
        <w:keepLines w:val="0"/>
        <w:pageBreakBefore w:val="0"/>
        <w:widowControl/>
        <w:tabs>
          <w:tab w:val="left" w:pos="1440"/>
        </w:tabs>
        <w:wordWrap/>
        <w:overflowPunct/>
        <w:topLinePunct w:val="0"/>
        <w:bidi w:val="0"/>
        <w:adjustRightInd w:val="0"/>
        <w:snapToGrid w:val="0"/>
        <w:spacing w:line="360" w:lineRule="auto"/>
        <w:ind w:firstLine="420" w:firstLineChars="200"/>
        <w:textAlignment w:val="baseline"/>
        <w:rPr>
          <w:rFonts w:hint="eastAsia" w:ascii="宋体" w:hAnsi="宋体"/>
          <w:color w:val="auto"/>
          <w:szCs w:val="21"/>
        </w:rPr>
      </w:pPr>
      <w:r>
        <w:rPr>
          <w:rFonts w:hint="eastAsia" w:ascii="宋体" w:hAnsi="宋体"/>
          <w:color w:val="auto"/>
          <w:szCs w:val="21"/>
        </w:rPr>
        <w:t>乙方应保证所提供的服务或其任何一部分均不会侵犯任何第三方的专利权、商标权或著作权。</w:t>
      </w:r>
    </w:p>
    <w:p w14:paraId="0CF32EC5">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宋体" w:hAnsi="宋体"/>
          <w:b/>
          <w:color w:val="auto"/>
          <w:szCs w:val="21"/>
        </w:rPr>
      </w:pPr>
      <w:bookmarkStart w:id="23" w:name="_Toc31647"/>
      <w:r>
        <w:rPr>
          <w:rFonts w:hint="eastAsia" w:ascii="宋体" w:hAnsi="宋体"/>
          <w:b/>
          <w:color w:val="auto"/>
          <w:szCs w:val="21"/>
        </w:rPr>
        <w:t>第六条  无产权瑕疵条款（如有）</w:t>
      </w:r>
      <w:bookmarkEnd w:id="23"/>
    </w:p>
    <w:p w14:paraId="43006AF2">
      <w:pPr>
        <w:keepNext w:val="0"/>
        <w:keepLines w:val="0"/>
        <w:pageBreakBefore w:val="0"/>
        <w:widowControl/>
        <w:tabs>
          <w:tab w:val="left" w:pos="1440"/>
        </w:tabs>
        <w:wordWrap/>
        <w:overflowPunct/>
        <w:topLinePunct w:val="0"/>
        <w:bidi w:val="0"/>
        <w:adjustRightInd w:val="0"/>
        <w:snapToGrid w:val="0"/>
        <w:spacing w:line="360" w:lineRule="auto"/>
        <w:ind w:firstLine="420" w:firstLineChars="200"/>
        <w:textAlignment w:val="baseline"/>
        <w:rPr>
          <w:rFonts w:hint="eastAsia" w:ascii="宋体" w:hAnsi="宋体"/>
          <w:color w:val="auto"/>
          <w:szCs w:val="21"/>
        </w:rPr>
      </w:pPr>
      <w:r>
        <w:rPr>
          <w:rFonts w:hint="eastAsia" w:ascii="宋体" w:hAnsi="宋体"/>
          <w:color w:val="auto"/>
          <w:szCs w:val="21"/>
        </w:rPr>
        <w:t>乙方保证所提供的服务的所有权完全属于乙方且无任何抵押、查封等产权瑕疵。如有产权瑕疵的，视为乙方违约。乙方应负担由此而产生的一切损失。</w:t>
      </w:r>
    </w:p>
    <w:p w14:paraId="2F79F3FB">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outlineLvl w:val="1"/>
        <w:rPr>
          <w:rFonts w:hint="eastAsia" w:ascii="宋体"/>
          <w:b/>
          <w:color w:val="auto"/>
          <w:szCs w:val="21"/>
        </w:rPr>
      </w:pPr>
      <w:bookmarkStart w:id="24" w:name="_Toc4779"/>
      <w:r>
        <w:rPr>
          <w:rFonts w:hint="eastAsia" w:ascii="宋体"/>
          <w:b/>
          <w:color w:val="auto"/>
          <w:szCs w:val="21"/>
        </w:rPr>
        <w:t>第七条  履约保证金（如有）</w:t>
      </w:r>
      <w:bookmarkEnd w:id="24"/>
    </w:p>
    <w:p w14:paraId="34732691">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
          <w:color w:val="auto"/>
          <w:szCs w:val="21"/>
        </w:rPr>
      </w:pPr>
      <w:r>
        <w:rPr>
          <w:rFonts w:hint="eastAsia" w:ascii="宋体" w:hAnsi="宋体" w:cs="宋体"/>
          <w:color w:val="auto"/>
          <w:kern w:val="0"/>
          <w:szCs w:val="21"/>
        </w:rPr>
        <w:t>1.乙方在签订本合同之前，向</w:t>
      </w:r>
      <w:r>
        <w:rPr>
          <w:rFonts w:hint="eastAsia" w:ascii="宋体" w:hAnsi="宋体" w:eastAsia="宋体" w:cs="宋体"/>
          <w:color w:val="auto"/>
          <w:kern w:val="0"/>
          <w:szCs w:val="21"/>
          <w:lang w:eastAsia="zh-CN"/>
        </w:rPr>
        <w:t>甲方</w:t>
      </w:r>
      <w:r>
        <w:rPr>
          <w:rFonts w:hint="eastAsia" w:ascii="宋体" w:hAnsi="宋体" w:cs="宋体"/>
          <w:color w:val="auto"/>
          <w:kern w:val="0"/>
          <w:szCs w:val="21"/>
        </w:rPr>
        <w:t>提交履约保证金人民币</w:t>
      </w:r>
      <w:r>
        <w:rPr>
          <w:rFonts w:hint="eastAsia" w:ascii="宋体" w:hAnsi="宋体" w:cs="宋体"/>
          <w:color w:val="auto"/>
          <w:kern w:val="0"/>
          <w:szCs w:val="21"/>
          <w:u w:val="single"/>
        </w:rPr>
        <w:t xml:space="preserve">     </w:t>
      </w:r>
      <w:r>
        <w:rPr>
          <w:rFonts w:hint="eastAsia" w:ascii="宋体" w:hAnsi="宋体" w:cs="宋体"/>
          <w:color w:val="auto"/>
          <w:kern w:val="0"/>
          <w:szCs w:val="21"/>
        </w:rPr>
        <w:t>元，</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14:paraId="23726CE2">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cs="宋体"/>
          <w:color w:val="auto"/>
          <w:kern w:val="0"/>
          <w:szCs w:val="21"/>
        </w:rPr>
      </w:pPr>
      <w:r>
        <w:rPr>
          <w:rFonts w:hint="eastAsia" w:ascii="宋体" w:hAnsi="宋体"/>
          <w:bCs/>
          <w:color w:val="auto"/>
          <w:szCs w:val="21"/>
        </w:rPr>
        <w:t>2.</w:t>
      </w:r>
      <w:r>
        <w:rPr>
          <w:rFonts w:hint="eastAsia" w:ascii="宋体" w:hAnsi="宋体" w:cs="宋体"/>
          <w:color w:val="auto"/>
          <w:kern w:val="0"/>
          <w:szCs w:val="21"/>
        </w:rPr>
        <w:t>履约保证金的有效期为乙方承诺的服务期限。</w:t>
      </w:r>
    </w:p>
    <w:p w14:paraId="214727F7">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rPr>
      </w:pPr>
      <w:r>
        <w:rPr>
          <w:rFonts w:hint="eastAsia" w:ascii="宋体" w:hAnsi="宋体"/>
          <w:bCs/>
          <w:color w:val="auto"/>
          <w:szCs w:val="21"/>
        </w:rPr>
        <w:t>3.履约保证金作为违约金的一部分用于补偿甲方因乙方不能履行合同义务而蒙受的损失。</w:t>
      </w:r>
    </w:p>
    <w:p w14:paraId="1F55063E">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color w:val="auto"/>
          <w:szCs w:val="21"/>
        </w:rPr>
      </w:pPr>
      <w:r>
        <w:rPr>
          <w:rFonts w:hint="eastAsia" w:ascii="宋体" w:hAnsi="宋体" w:cs="宋体"/>
          <w:color w:val="auto"/>
          <w:kern w:val="0"/>
          <w:szCs w:val="21"/>
        </w:rPr>
        <w:t>4.</w:t>
      </w:r>
      <w:r>
        <w:rPr>
          <w:rFonts w:hint="eastAsia" w:ascii="宋体" w:hAnsi="宋体"/>
          <w:color w:val="auto"/>
          <w:szCs w:val="21"/>
        </w:rPr>
        <w:t>服务期限结束后，甲方财务部门接到甲方确认本合同服务等约定事项已经履行完毕的正式书面文件后的</w:t>
      </w:r>
      <w:r>
        <w:rPr>
          <w:rFonts w:hint="eastAsia" w:ascii="宋体" w:hAnsi="宋体"/>
          <w:color w:val="auto"/>
          <w:szCs w:val="21"/>
          <w:u w:val="single"/>
        </w:rPr>
        <w:t xml:space="preserve">   </w:t>
      </w:r>
      <w:r>
        <w:rPr>
          <w:rFonts w:hint="eastAsia" w:ascii="宋体" w:hAnsi="宋体"/>
          <w:color w:val="auto"/>
          <w:szCs w:val="21"/>
        </w:rPr>
        <w:t>日内，向乙方退还履约保证金。</w:t>
      </w:r>
    </w:p>
    <w:p w14:paraId="1ECFA59C">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rPr>
      </w:pPr>
      <w:r>
        <w:rPr>
          <w:rFonts w:hint="eastAsia" w:ascii="宋体" w:hAnsi="宋体"/>
          <w:color w:val="auto"/>
          <w:szCs w:val="21"/>
        </w:rPr>
        <w:t>5.乙方</w:t>
      </w:r>
      <w:r>
        <w:rPr>
          <w:rFonts w:hint="eastAsia"/>
          <w:color w:val="auto"/>
          <w:szCs w:val="21"/>
        </w:rPr>
        <w:t>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5C2F033">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color w:val="auto"/>
          <w:szCs w:val="21"/>
        </w:rPr>
      </w:pPr>
      <w:bookmarkStart w:id="25" w:name="_Toc16162"/>
      <w:r>
        <w:rPr>
          <w:rFonts w:hint="eastAsia" w:ascii="宋体" w:hAnsi="宋体"/>
          <w:b/>
          <w:color w:val="auto"/>
          <w:szCs w:val="21"/>
        </w:rPr>
        <w:t xml:space="preserve">第八条  </w:t>
      </w:r>
      <w:r>
        <w:rPr>
          <w:rFonts w:ascii="宋体" w:hAnsi="宋体"/>
          <w:b/>
          <w:color w:val="auto"/>
          <w:szCs w:val="21"/>
        </w:rPr>
        <w:t>甲方的权利和义务</w:t>
      </w:r>
      <w:bookmarkEnd w:id="25"/>
    </w:p>
    <w:p w14:paraId="77DDE28D">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rPr>
      </w:pPr>
      <w:r>
        <w:rPr>
          <w:rFonts w:hint="eastAsia" w:ascii="宋体" w:hAnsi="宋体"/>
          <w:bCs/>
          <w:color w:val="auto"/>
          <w:szCs w:val="21"/>
        </w:rPr>
        <w:t>1.</w:t>
      </w:r>
      <w:r>
        <w:rPr>
          <w:rFonts w:ascii="宋体" w:hAnsi="宋体"/>
          <w:bCs/>
          <w:color w:val="auto"/>
          <w:szCs w:val="21"/>
        </w:rPr>
        <w:t>甲方有权对合同规定范围内</w:t>
      </w:r>
      <w:r>
        <w:rPr>
          <w:rFonts w:hint="eastAsia" w:ascii="宋体" w:hAnsi="宋体"/>
          <w:bCs/>
          <w:color w:val="auto"/>
          <w:szCs w:val="21"/>
        </w:rPr>
        <w:t>乙方的服务行为</w:t>
      </w:r>
      <w:r>
        <w:rPr>
          <w:rFonts w:ascii="宋体" w:hAnsi="宋体"/>
          <w:bCs/>
          <w:color w:val="auto"/>
          <w:szCs w:val="21"/>
        </w:rPr>
        <w:t>进行监督和检查，拥有监管权。有权定期核对乙方提供服务所配备的人员数量。对甲方认为不合理的部分有权</w:t>
      </w:r>
      <w:r>
        <w:rPr>
          <w:rFonts w:hint="eastAsia" w:ascii="宋体" w:hAnsi="宋体"/>
          <w:bCs/>
          <w:color w:val="auto"/>
          <w:szCs w:val="21"/>
        </w:rPr>
        <w:t>下达整改通知书，并</w:t>
      </w:r>
      <w:r>
        <w:rPr>
          <w:rFonts w:ascii="宋体" w:hAnsi="宋体"/>
          <w:bCs/>
          <w:color w:val="auto"/>
          <w:szCs w:val="21"/>
        </w:rPr>
        <w:t>要求乙方</w:t>
      </w:r>
      <w:r>
        <w:rPr>
          <w:rFonts w:hint="eastAsia" w:ascii="宋体" w:hAnsi="宋体"/>
          <w:bCs/>
          <w:color w:val="auto"/>
          <w:szCs w:val="21"/>
        </w:rPr>
        <w:t>限期整改</w:t>
      </w:r>
      <w:r>
        <w:rPr>
          <w:rFonts w:ascii="宋体" w:hAnsi="宋体"/>
          <w:bCs/>
          <w:color w:val="auto"/>
          <w:szCs w:val="21"/>
        </w:rPr>
        <w:t>。</w:t>
      </w:r>
    </w:p>
    <w:p w14:paraId="211A671D">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rPr>
      </w:pPr>
      <w:r>
        <w:rPr>
          <w:rFonts w:hint="eastAsia" w:ascii="宋体" w:hAnsi="宋体"/>
          <w:bCs/>
          <w:color w:val="auto"/>
          <w:szCs w:val="21"/>
        </w:rPr>
        <w:t>2.</w:t>
      </w:r>
      <w:r>
        <w:rPr>
          <w:rFonts w:ascii="宋体" w:hAnsi="宋体"/>
          <w:bCs/>
          <w:color w:val="auto"/>
          <w:szCs w:val="21"/>
        </w:rPr>
        <w:t>负责检查监督乙方管理工作的实施及制度的执行情况。</w:t>
      </w:r>
    </w:p>
    <w:p w14:paraId="0846FC55">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rPr>
      </w:pPr>
      <w:r>
        <w:rPr>
          <w:rFonts w:hint="eastAsia" w:ascii="宋体" w:hAnsi="宋体"/>
          <w:bCs/>
          <w:color w:val="auto"/>
          <w:szCs w:val="21"/>
        </w:rPr>
        <w:t>3.</w:t>
      </w:r>
      <w:r>
        <w:rPr>
          <w:rFonts w:ascii="宋体" w:hAnsi="宋体"/>
          <w:bCs/>
          <w:color w:val="auto"/>
          <w:szCs w:val="21"/>
        </w:rPr>
        <w:t>根据本合同规定，按时向乙方支付应付</w:t>
      </w:r>
      <w:r>
        <w:rPr>
          <w:rFonts w:hint="eastAsia" w:ascii="宋体" w:hAnsi="宋体"/>
          <w:bCs/>
          <w:color w:val="auto"/>
          <w:szCs w:val="21"/>
        </w:rPr>
        <w:t>服务费用</w:t>
      </w:r>
      <w:r>
        <w:rPr>
          <w:rFonts w:ascii="宋体" w:hAnsi="宋体"/>
          <w:bCs/>
          <w:color w:val="auto"/>
          <w:szCs w:val="21"/>
        </w:rPr>
        <w:t>。</w:t>
      </w:r>
    </w:p>
    <w:p w14:paraId="2ED61888">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ascii="宋体" w:hAnsi="宋体"/>
          <w:bCs/>
          <w:color w:val="auto"/>
          <w:szCs w:val="21"/>
        </w:rPr>
      </w:pPr>
      <w:r>
        <w:rPr>
          <w:rFonts w:hint="eastAsia" w:ascii="宋体" w:hAnsi="宋体"/>
          <w:bCs/>
          <w:color w:val="auto"/>
          <w:szCs w:val="21"/>
        </w:rPr>
        <w:t>4.</w:t>
      </w:r>
      <w:r>
        <w:rPr>
          <w:rFonts w:ascii="宋体" w:hAnsi="宋体"/>
          <w:bCs/>
          <w:color w:val="auto"/>
          <w:szCs w:val="21"/>
        </w:rPr>
        <w:t>国家</w:t>
      </w:r>
      <w:r>
        <w:rPr>
          <w:rFonts w:hint="eastAsia" w:ascii="宋体" w:hAnsi="宋体" w:eastAsia="宋体"/>
          <w:bCs/>
          <w:color w:val="auto"/>
          <w:szCs w:val="21"/>
          <w:lang w:eastAsia="zh-CN"/>
        </w:rPr>
        <w:t>法律法规</w:t>
      </w:r>
      <w:r>
        <w:rPr>
          <w:rFonts w:ascii="宋体" w:hAnsi="宋体"/>
          <w:bCs/>
          <w:color w:val="auto"/>
          <w:szCs w:val="21"/>
        </w:rPr>
        <w:t>所规定由甲方承担的</w:t>
      </w:r>
      <w:r>
        <w:rPr>
          <w:rFonts w:hint="eastAsia" w:ascii="宋体" w:hAnsi="宋体" w:eastAsia="宋体"/>
          <w:bCs/>
          <w:color w:val="auto"/>
          <w:szCs w:val="21"/>
          <w:lang w:eastAsia="zh-CN"/>
        </w:rPr>
        <w:t>其他</w:t>
      </w:r>
      <w:r>
        <w:rPr>
          <w:rFonts w:ascii="宋体" w:hAnsi="宋体"/>
          <w:bCs/>
          <w:color w:val="auto"/>
          <w:szCs w:val="21"/>
        </w:rPr>
        <w:t>责任。</w:t>
      </w:r>
    </w:p>
    <w:p w14:paraId="2FD034BE">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color w:val="auto"/>
          <w:szCs w:val="21"/>
        </w:rPr>
      </w:pPr>
      <w:bookmarkStart w:id="26" w:name="_Toc27740"/>
      <w:r>
        <w:rPr>
          <w:rFonts w:hint="eastAsia" w:ascii="宋体" w:hAnsi="宋体"/>
          <w:b/>
          <w:color w:val="auto"/>
          <w:szCs w:val="21"/>
        </w:rPr>
        <w:t xml:space="preserve">第九条  </w:t>
      </w:r>
      <w:r>
        <w:rPr>
          <w:rFonts w:ascii="宋体" w:hAnsi="宋体"/>
          <w:b/>
          <w:color w:val="auto"/>
          <w:szCs w:val="21"/>
        </w:rPr>
        <w:t>乙方的权利和义务</w:t>
      </w:r>
      <w:bookmarkEnd w:id="26"/>
    </w:p>
    <w:p w14:paraId="26BA2A73">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rPr>
      </w:pPr>
      <w:r>
        <w:rPr>
          <w:rFonts w:hint="eastAsia" w:ascii="宋体" w:hAnsi="宋体"/>
          <w:bCs/>
          <w:color w:val="auto"/>
          <w:szCs w:val="21"/>
        </w:rPr>
        <w:t>1.</w:t>
      </w:r>
      <w:r>
        <w:rPr>
          <w:rFonts w:ascii="宋体" w:hAnsi="宋体"/>
          <w:bCs/>
          <w:color w:val="auto"/>
          <w:szCs w:val="21"/>
        </w:rPr>
        <w:t>对本合同规定的委托</w:t>
      </w:r>
      <w:r>
        <w:rPr>
          <w:rFonts w:hint="eastAsia" w:ascii="宋体" w:hAnsi="宋体"/>
          <w:bCs/>
          <w:color w:val="auto"/>
          <w:szCs w:val="21"/>
        </w:rPr>
        <w:t>服务</w:t>
      </w:r>
      <w:r>
        <w:rPr>
          <w:rFonts w:ascii="宋体" w:hAnsi="宋体"/>
          <w:bCs/>
          <w:color w:val="auto"/>
          <w:szCs w:val="21"/>
        </w:rPr>
        <w:t>范围内的</w:t>
      </w:r>
      <w:r>
        <w:rPr>
          <w:rFonts w:hint="eastAsia" w:ascii="宋体" w:hAnsi="宋体"/>
          <w:bCs/>
          <w:color w:val="auto"/>
          <w:szCs w:val="21"/>
        </w:rPr>
        <w:t>项目</w:t>
      </w:r>
      <w:r>
        <w:rPr>
          <w:rFonts w:ascii="宋体" w:hAnsi="宋体"/>
          <w:bCs/>
          <w:color w:val="auto"/>
          <w:szCs w:val="21"/>
        </w:rPr>
        <w:t>享有管理权及服务义务。</w:t>
      </w:r>
    </w:p>
    <w:p w14:paraId="17CE8AA6">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rPr>
      </w:pPr>
      <w:r>
        <w:rPr>
          <w:rFonts w:hint="eastAsia" w:ascii="宋体" w:hAnsi="宋体"/>
          <w:bCs/>
          <w:color w:val="auto"/>
          <w:szCs w:val="21"/>
        </w:rPr>
        <w:t>2.</w:t>
      </w:r>
      <w:r>
        <w:rPr>
          <w:rFonts w:ascii="宋体" w:hAnsi="宋体"/>
          <w:bCs/>
          <w:color w:val="auto"/>
          <w:szCs w:val="21"/>
        </w:rPr>
        <w:t>根据本合同的规定向甲方收取相关</w:t>
      </w:r>
      <w:r>
        <w:rPr>
          <w:rFonts w:hint="eastAsia" w:ascii="宋体" w:hAnsi="宋体"/>
          <w:bCs/>
          <w:color w:val="auto"/>
          <w:szCs w:val="21"/>
        </w:rPr>
        <w:t>服务</w:t>
      </w:r>
      <w:r>
        <w:rPr>
          <w:rFonts w:ascii="宋体" w:hAnsi="宋体"/>
          <w:bCs/>
          <w:color w:val="auto"/>
          <w:szCs w:val="21"/>
        </w:rPr>
        <w:t>费用，并有权</w:t>
      </w:r>
      <w:r>
        <w:rPr>
          <w:rFonts w:hint="eastAsia" w:ascii="宋体" w:hAnsi="宋体"/>
          <w:bCs/>
          <w:color w:val="auto"/>
          <w:szCs w:val="21"/>
        </w:rPr>
        <w:t>在本项目管理范围内</w:t>
      </w:r>
      <w:r>
        <w:rPr>
          <w:rFonts w:ascii="宋体" w:hAnsi="宋体"/>
          <w:bCs/>
          <w:color w:val="auto"/>
          <w:szCs w:val="21"/>
        </w:rPr>
        <w:t>管理及合理使用。</w:t>
      </w:r>
    </w:p>
    <w:p w14:paraId="4715052B">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color w:val="auto"/>
          <w:szCs w:val="21"/>
        </w:rPr>
      </w:pPr>
      <w:r>
        <w:rPr>
          <w:rFonts w:hint="eastAsia" w:ascii="宋体" w:hAnsi="宋体"/>
          <w:color w:val="auto"/>
          <w:szCs w:val="21"/>
        </w:rPr>
        <w:t>3.及时向甲方通告本项目服务范围内有关服务的重大事项，及时配合处理投诉。</w:t>
      </w:r>
    </w:p>
    <w:p w14:paraId="05E1FDF9">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rPr>
      </w:pPr>
      <w:r>
        <w:rPr>
          <w:rFonts w:hint="eastAsia" w:ascii="宋体" w:hAnsi="宋体"/>
          <w:color w:val="auto"/>
          <w:szCs w:val="21"/>
        </w:rPr>
        <w:t>4.</w:t>
      </w:r>
      <w:r>
        <w:rPr>
          <w:rFonts w:ascii="宋体" w:hAnsi="宋体"/>
          <w:bCs/>
          <w:color w:val="auto"/>
          <w:szCs w:val="21"/>
        </w:rPr>
        <w:t>接受</w:t>
      </w:r>
      <w:r>
        <w:rPr>
          <w:rFonts w:hint="eastAsia" w:ascii="宋体" w:hAnsi="宋体"/>
          <w:bCs/>
          <w:color w:val="auto"/>
          <w:szCs w:val="21"/>
        </w:rPr>
        <w:t>项目行</w:t>
      </w:r>
      <w:r>
        <w:rPr>
          <w:rFonts w:ascii="宋体" w:hAnsi="宋体"/>
          <w:bCs/>
          <w:color w:val="auto"/>
          <w:szCs w:val="21"/>
        </w:rPr>
        <w:t>业管理部门及政府有关部门的指导，接受甲方的监督。</w:t>
      </w:r>
    </w:p>
    <w:p w14:paraId="2EBF1825">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ascii="宋体" w:hAnsi="宋体"/>
          <w:bCs/>
          <w:color w:val="auto"/>
          <w:szCs w:val="21"/>
        </w:rPr>
      </w:pPr>
      <w:r>
        <w:rPr>
          <w:rFonts w:hint="eastAsia" w:ascii="宋体" w:hAnsi="宋体"/>
          <w:bCs/>
          <w:color w:val="auto"/>
          <w:szCs w:val="21"/>
        </w:rPr>
        <w:t>5.</w:t>
      </w:r>
      <w:r>
        <w:rPr>
          <w:rFonts w:ascii="宋体" w:hAnsi="宋体"/>
          <w:bCs/>
          <w:color w:val="auto"/>
          <w:szCs w:val="21"/>
        </w:rPr>
        <w:t>国家</w:t>
      </w:r>
      <w:r>
        <w:rPr>
          <w:rFonts w:hint="eastAsia" w:ascii="宋体" w:hAnsi="宋体" w:eastAsia="宋体"/>
          <w:bCs/>
          <w:color w:val="auto"/>
          <w:szCs w:val="21"/>
          <w:lang w:eastAsia="zh-CN"/>
        </w:rPr>
        <w:t>法律法规</w:t>
      </w:r>
      <w:r>
        <w:rPr>
          <w:rFonts w:ascii="宋体" w:hAnsi="宋体"/>
          <w:bCs/>
          <w:color w:val="auto"/>
          <w:szCs w:val="21"/>
        </w:rPr>
        <w:t>所规定由乙方承担的</w:t>
      </w:r>
      <w:r>
        <w:rPr>
          <w:rFonts w:hint="eastAsia" w:ascii="宋体" w:hAnsi="宋体" w:eastAsia="宋体"/>
          <w:bCs/>
          <w:color w:val="auto"/>
          <w:szCs w:val="21"/>
          <w:lang w:eastAsia="zh-CN"/>
        </w:rPr>
        <w:t>其他</w:t>
      </w:r>
      <w:r>
        <w:rPr>
          <w:rFonts w:ascii="宋体" w:hAnsi="宋体"/>
          <w:bCs/>
          <w:color w:val="auto"/>
          <w:szCs w:val="21"/>
        </w:rPr>
        <w:t>责任。</w:t>
      </w:r>
    </w:p>
    <w:p w14:paraId="502D79FB">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color w:val="auto"/>
          <w:szCs w:val="21"/>
        </w:rPr>
      </w:pPr>
      <w:bookmarkStart w:id="27" w:name="_Toc25988"/>
      <w:r>
        <w:rPr>
          <w:rFonts w:hint="eastAsia" w:ascii="宋体" w:hAnsi="宋体"/>
          <w:b/>
          <w:color w:val="auto"/>
          <w:szCs w:val="21"/>
        </w:rPr>
        <w:t xml:space="preserve">第十条 </w:t>
      </w:r>
      <w:r>
        <w:rPr>
          <w:rFonts w:ascii="宋体" w:hAnsi="宋体"/>
          <w:b/>
          <w:color w:val="auto"/>
          <w:szCs w:val="21"/>
        </w:rPr>
        <w:t xml:space="preserve"> 违约责任</w:t>
      </w:r>
      <w:bookmarkEnd w:id="27"/>
    </w:p>
    <w:p w14:paraId="54486558">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rPr>
      </w:pPr>
      <w:bookmarkStart w:id="28" w:name="_Toc26448"/>
      <w:r>
        <w:rPr>
          <w:rFonts w:hint="eastAsia" w:ascii="宋体" w:hAnsi="宋体"/>
          <w:bCs/>
          <w:color w:val="auto"/>
          <w:szCs w:val="21"/>
        </w:rPr>
        <w:t>1.</w:t>
      </w:r>
      <w:r>
        <w:rPr>
          <w:rFonts w:ascii="宋体" w:hAnsi="宋体"/>
          <w:bCs/>
          <w:color w:val="auto"/>
          <w:szCs w:val="21"/>
        </w:rPr>
        <w:t>甲乙双方必须遵守本合同并执行合同中的各项规定，保证</w:t>
      </w:r>
      <w:r>
        <w:rPr>
          <w:rFonts w:hint="eastAsia" w:ascii="宋体" w:hAnsi="宋体"/>
          <w:bCs/>
          <w:color w:val="auto"/>
          <w:szCs w:val="21"/>
        </w:rPr>
        <w:t>本</w:t>
      </w:r>
      <w:r>
        <w:rPr>
          <w:rFonts w:ascii="宋体" w:hAnsi="宋体"/>
          <w:bCs/>
          <w:color w:val="auto"/>
          <w:szCs w:val="21"/>
        </w:rPr>
        <w:t>合同的正常</w:t>
      </w:r>
      <w:r>
        <w:rPr>
          <w:rFonts w:hint="eastAsia" w:ascii="宋体" w:hAnsi="宋体"/>
          <w:bCs/>
          <w:color w:val="auto"/>
          <w:szCs w:val="21"/>
        </w:rPr>
        <w:t>履行</w:t>
      </w:r>
      <w:r>
        <w:rPr>
          <w:rFonts w:ascii="宋体" w:hAnsi="宋体"/>
          <w:bCs/>
          <w:color w:val="auto"/>
          <w:szCs w:val="21"/>
        </w:rPr>
        <w:t>。</w:t>
      </w:r>
    </w:p>
    <w:p w14:paraId="07A921E8">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2.</w:t>
      </w:r>
      <w:r>
        <w:rPr>
          <w:rFonts w:ascii="宋体" w:hAnsi="宋体"/>
          <w:bCs/>
          <w:szCs w:val="21"/>
        </w:rPr>
        <w:t>如因乙方</w:t>
      </w:r>
      <w:r>
        <w:rPr>
          <w:rFonts w:hint="eastAsia" w:ascii="宋体" w:hAnsi="宋体"/>
          <w:bCs/>
          <w:szCs w:val="21"/>
        </w:rPr>
        <w:t>工作人员在履行职务过程中</w:t>
      </w:r>
      <w:r>
        <w:rPr>
          <w:rFonts w:hint="eastAsia" w:ascii="宋体" w:hAnsi="宋体" w:eastAsia="宋体"/>
          <w:bCs/>
          <w:szCs w:val="21"/>
          <w:lang w:eastAsia="zh-CN"/>
        </w:rPr>
        <w:t>的</w:t>
      </w:r>
      <w:r>
        <w:rPr>
          <w:rFonts w:ascii="宋体" w:hAnsi="宋体"/>
          <w:bCs/>
          <w:szCs w:val="21"/>
        </w:rPr>
        <w:t>疏忽、失职、过错等</w:t>
      </w:r>
      <w:r>
        <w:rPr>
          <w:rFonts w:hint="eastAsia" w:ascii="宋体" w:hAnsi="宋体"/>
          <w:bCs/>
          <w:szCs w:val="21"/>
        </w:rPr>
        <w:t>故意或者过失</w:t>
      </w:r>
      <w:r>
        <w:rPr>
          <w:rFonts w:ascii="宋体" w:hAnsi="宋体"/>
          <w:bCs/>
          <w:szCs w:val="21"/>
        </w:rPr>
        <w:t>原因给甲方造成损失或侵害，</w:t>
      </w:r>
      <w:r>
        <w:rPr>
          <w:rFonts w:hint="eastAsia" w:ascii="宋体" w:hAnsi="宋体"/>
          <w:bCs/>
          <w:szCs w:val="21"/>
        </w:rPr>
        <w:t>包括但不限于甲方本身的财产损失、由此而导致的甲方对任何第三方的法律责任等，乙方对此均应承担全部的赔偿责任</w:t>
      </w:r>
      <w:r>
        <w:rPr>
          <w:rFonts w:ascii="宋体" w:hAnsi="宋体"/>
          <w:bCs/>
          <w:szCs w:val="21"/>
        </w:rPr>
        <w:t>。</w:t>
      </w:r>
    </w:p>
    <w:p w14:paraId="7DF589DB">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宋体" w:hAnsi="宋体"/>
          <w:b/>
          <w:szCs w:val="21"/>
        </w:rPr>
      </w:pPr>
      <w:r>
        <w:rPr>
          <w:rFonts w:hint="eastAsia" w:ascii="宋体" w:hAnsi="宋体"/>
          <w:b/>
          <w:szCs w:val="21"/>
        </w:rPr>
        <w:t>第十一条  不可抗力事件处理</w:t>
      </w:r>
      <w:bookmarkEnd w:id="28"/>
    </w:p>
    <w:p w14:paraId="2B80E902">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hint="eastAsia" w:ascii="宋体" w:hAnsi="宋体"/>
          <w:szCs w:val="21"/>
        </w:rPr>
      </w:pPr>
      <w:bookmarkStart w:id="29" w:name="_Toc247334846"/>
      <w:bookmarkStart w:id="30" w:name="_Toc225670756"/>
      <w:bookmarkStart w:id="31" w:name="_Toc185395254"/>
      <w:bookmarkStart w:id="32" w:name="_Toc211854454"/>
      <w:bookmarkStart w:id="33" w:name="_Toc211911353"/>
      <w:bookmarkStart w:id="34" w:name="_Toc225654649"/>
      <w:bookmarkStart w:id="35" w:name="_Toc239568423"/>
      <w:bookmarkStart w:id="36" w:name="_Toc241833908"/>
      <w:bookmarkStart w:id="37" w:name="_Toc225244857"/>
      <w:bookmarkStart w:id="38" w:name="_Toc286993792"/>
      <w:bookmarkStart w:id="39" w:name="_Toc251768867"/>
      <w:bookmarkStart w:id="40" w:name="_Toc239233919"/>
      <w:bookmarkStart w:id="41" w:name="_Toc237145411"/>
      <w:bookmarkStart w:id="42" w:name="_Toc212019599"/>
      <w:bookmarkStart w:id="43" w:name="_Toc238984980"/>
      <w:bookmarkStart w:id="44" w:name="_Toc232492933"/>
      <w:r>
        <w:rPr>
          <w:rFonts w:hint="eastAsia" w:ascii="宋体" w:hAnsi="宋体"/>
          <w:szCs w:val="21"/>
        </w:rPr>
        <w:t>1.在合同有效期内，任何一方因不可抗力事件导致不能履行合同，则合同履行期可延长，其延长期与不可抗力影响期相同。</w:t>
      </w:r>
    </w:p>
    <w:p w14:paraId="79705A20">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hint="eastAsia" w:ascii="宋体" w:hAnsi="宋体"/>
          <w:szCs w:val="21"/>
        </w:rPr>
      </w:pPr>
      <w:r>
        <w:rPr>
          <w:rFonts w:hint="eastAsia" w:ascii="宋体" w:hAnsi="宋体"/>
          <w:szCs w:val="21"/>
        </w:rPr>
        <w:t>2.不可抗力事件发生后，应立即通知对方，并寄送有关权威机构出具的证明。</w:t>
      </w:r>
    </w:p>
    <w:p w14:paraId="6AF16C94">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ascii="宋体" w:hAnsi="宋体"/>
          <w:szCs w:val="21"/>
        </w:rPr>
      </w:pPr>
      <w:r>
        <w:rPr>
          <w:rFonts w:hint="eastAsia" w:ascii="宋体" w:hAnsi="宋体"/>
          <w:szCs w:val="21"/>
        </w:rPr>
        <w:t>3.不可抗力事件延续</w:t>
      </w:r>
      <w:r>
        <w:rPr>
          <w:rFonts w:hint="eastAsia" w:ascii="宋体" w:hAnsi="宋体"/>
          <w:szCs w:val="21"/>
          <w:u w:val="single"/>
          <w:lang w:val="en-US" w:eastAsia="zh-CN"/>
        </w:rPr>
        <w:t xml:space="preserve">   </w:t>
      </w:r>
      <w:r>
        <w:rPr>
          <w:rFonts w:hint="eastAsia" w:ascii="宋体" w:hAnsi="宋体"/>
          <w:szCs w:val="21"/>
        </w:rPr>
        <w:t>天以上，双方应通过友好协商，确定是否继续履行合同。</w:t>
      </w:r>
    </w:p>
    <w:p w14:paraId="26C18182">
      <w:pPr>
        <w:keepNext w:val="0"/>
        <w:keepLines w:val="0"/>
        <w:pageBreakBefore w:val="0"/>
        <w:widowControl/>
        <w:wordWrap/>
        <w:overflowPunct/>
        <w:topLinePunct w:val="0"/>
        <w:bidi w:val="0"/>
        <w:adjustRightInd w:val="0"/>
        <w:snapToGrid w:val="0"/>
        <w:spacing w:before="120" w:beforeLines="50" w:after="120" w:afterLines="50" w:line="360" w:lineRule="auto"/>
        <w:ind w:firstLine="420" w:firstLineChars="200"/>
        <w:jc w:val="left"/>
        <w:textAlignment w:val="baseline"/>
        <w:outlineLvl w:val="1"/>
        <w:rPr>
          <w:rFonts w:hint="eastAsia" w:ascii="宋体" w:hAnsi="宋体" w:cs="宋体"/>
          <w:kern w:val="0"/>
          <w:szCs w:val="21"/>
        </w:rPr>
      </w:pPr>
      <w:bookmarkStart w:id="45" w:name="_Toc20448"/>
      <w:r>
        <w:rPr>
          <w:rFonts w:hint="eastAsia" w:ascii="宋体" w:hAnsi="宋体"/>
          <w:b/>
          <w:szCs w:val="21"/>
        </w:rPr>
        <w:t xml:space="preserve">第十二条  </w:t>
      </w:r>
      <w:r>
        <w:rPr>
          <w:rFonts w:hint="eastAsia" w:ascii="宋体" w:hAnsi="宋体" w:cs="宋体"/>
          <w:b/>
          <w:kern w:val="0"/>
          <w:szCs w:val="21"/>
        </w:rPr>
        <w:t>合同的变更和终止</w:t>
      </w:r>
      <w:bookmarkEnd w:id="45"/>
    </w:p>
    <w:p w14:paraId="189F1A3E">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cs="宋体"/>
          <w:kern w:val="0"/>
          <w:szCs w:val="21"/>
        </w:rPr>
      </w:pPr>
      <w:r>
        <w:rPr>
          <w:rFonts w:hint="eastAsia" w:ascii="宋体" w:hAnsi="宋体" w:cs="宋体"/>
          <w:kern w:val="0"/>
          <w:szCs w:val="21"/>
        </w:rPr>
        <w:t>除《中华人民共和国政府采购法》第49条、第50条第二款规定的情形外，本合同一经签订，甲乙双方不得擅自变更、中止或终止合同。</w:t>
      </w:r>
    </w:p>
    <w:p w14:paraId="5214EF9A">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szCs w:val="21"/>
        </w:rPr>
      </w:pPr>
      <w:bookmarkStart w:id="46" w:name="_Toc32004"/>
      <w:r>
        <w:rPr>
          <w:rFonts w:hint="eastAsia" w:ascii="宋体" w:hAnsi="宋体"/>
          <w:b/>
          <w:szCs w:val="21"/>
        </w:rPr>
        <w:t>第十三条  解</w:t>
      </w:r>
      <w:r>
        <w:rPr>
          <w:rFonts w:ascii="宋体" w:hAnsi="宋体"/>
          <w:b/>
          <w:szCs w:val="21"/>
        </w:rPr>
        <w:t>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105C2ABD">
      <w:pPr>
        <w:pStyle w:val="10"/>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kern w:val="0"/>
          <w:sz w:val="21"/>
          <w:szCs w:val="21"/>
        </w:rPr>
      </w:pPr>
      <w:r>
        <w:rPr>
          <w:rFonts w:hint="eastAsia" w:ascii="宋体" w:hAnsi="宋体" w:eastAsia="宋体" w:cs="宋体"/>
          <w:sz w:val="21"/>
          <w:szCs w:val="21"/>
          <w:lang w:eastAsia="zh-CN"/>
        </w:rPr>
        <w:t>1.</w:t>
      </w:r>
      <w:r>
        <w:rPr>
          <w:rFonts w:hint="eastAsia" w:ascii="宋体" w:hAnsi="宋体" w:eastAsia="宋体" w:cs="宋体"/>
          <w:sz w:val="21"/>
          <w:szCs w:val="21"/>
        </w:rPr>
        <w:t>在执行本合同中发生的或与本合同有关的争端，双方应通过友好协商解决，经协商在</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天内不能达成协议时，</w:t>
      </w:r>
      <w:r>
        <w:rPr>
          <w:rFonts w:hint="eastAsia" w:ascii="宋体" w:hAnsi="宋体" w:eastAsia="宋体" w:cs="宋体"/>
          <w:kern w:val="0"/>
          <w:sz w:val="21"/>
          <w:szCs w:val="21"/>
        </w:rPr>
        <w:t>则采取以下第</w:t>
      </w:r>
      <w:r>
        <w:rPr>
          <w:rFonts w:hint="eastAsia" w:ascii="宋体" w:hAnsi="宋体" w:eastAsia="宋体" w:cs="宋体"/>
          <w:kern w:val="0"/>
          <w:sz w:val="21"/>
          <w:szCs w:val="21"/>
          <w:u w:val="single"/>
        </w:rPr>
        <w:t xml:space="preserve"> 1 </w:t>
      </w:r>
      <w:r>
        <w:rPr>
          <w:rFonts w:hint="eastAsia" w:ascii="宋体" w:hAnsi="宋体" w:eastAsia="宋体" w:cs="宋体"/>
          <w:kern w:val="0"/>
          <w:sz w:val="21"/>
          <w:szCs w:val="21"/>
        </w:rPr>
        <w:t>种方式解决争议：</w:t>
      </w:r>
    </w:p>
    <w:p w14:paraId="24546A0F">
      <w:pPr>
        <w:pStyle w:val="10"/>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1.1</w:t>
      </w:r>
      <w:r>
        <w:rPr>
          <w:rFonts w:hint="eastAsia" w:ascii="宋体" w:hAnsi="宋体" w:eastAsia="宋体" w:cs="宋体"/>
          <w:kern w:val="0"/>
          <w:sz w:val="21"/>
          <w:szCs w:val="21"/>
        </w:rPr>
        <w:t>向甲方所在地有管辖权的人民法院提起诉讼；</w:t>
      </w:r>
    </w:p>
    <w:p w14:paraId="1727623E">
      <w:pPr>
        <w:pStyle w:val="10"/>
        <w:keepNext w:val="0"/>
        <w:keepLines w:val="0"/>
        <w:pageBreakBefore w:val="0"/>
        <w:widowControl/>
        <w:wordWrap/>
        <w:overflowPunct/>
        <w:topLinePunct w:val="0"/>
        <w:bidi w:val="0"/>
        <w:adjustRightInd w:val="0"/>
        <w:snapToGrid w:val="0"/>
        <w:spacing w:line="360" w:lineRule="auto"/>
        <w:ind w:firstLine="420"/>
        <w:textAlignment w:val="baseline"/>
        <w:rPr>
          <w:rFonts w:hint="eastAsia"/>
          <w:kern w:val="0"/>
          <w:sz w:val="21"/>
          <w:szCs w:val="21"/>
        </w:rPr>
      </w:pPr>
      <w:r>
        <w:rPr>
          <w:rFonts w:hint="eastAsia" w:ascii="宋体" w:hAnsi="宋体" w:eastAsia="宋体" w:cs="宋体"/>
          <w:kern w:val="0"/>
          <w:sz w:val="21"/>
          <w:szCs w:val="21"/>
          <w:lang w:val="en-US" w:eastAsia="zh-CN"/>
        </w:rPr>
        <w:t>1.2</w:t>
      </w:r>
      <w:r>
        <w:rPr>
          <w:rFonts w:hint="eastAsia" w:ascii="宋体" w:hAnsi="宋体" w:eastAsia="宋体" w:cs="宋体"/>
          <w:kern w:val="0"/>
          <w:sz w:val="21"/>
          <w:szCs w:val="21"/>
        </w:rPr>
        <w:t>向</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仲裁委员会按其仲裁规则申请</w:t>
      </w:r>
      <w:r>
        <w:rPr>
          <w:rFonts w:hint="eastAsia"/>
          <w:kern w:val="0"/>
          <w:sz w:val="21"/>
          <w:szCs w:val="21"/>
        </w:rPr>
        <w:t>仲裁。</w:t>
      </w:r>
    </w:p>
    <w:p w14:paraId="076F9736">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ascii="宋体" w:hAnsi="宋体"/>
          <w:szCs w:val="21"/>
        </w:rPr>
      </w:pPr>
      <w:r>
        <w:rPr>
          <w:rFonts w:hint="eastAsia" w:ascii="宋体" w:hAnsi="宋体" w:eastAsia="宋体"/>
          <w:kern w:val="0"/>
          <w:szCs w:val="21"/>
          <w:lang w:eastAsia="zh-CN"/>
        </w:rPr>
        <w:t>2.</w:t>
      </w:r>
      <w:r>
        <w:rPr>
          <w:rFonts w:hint="eastAsia" w:ascii="宋体" w:hAnsi="宋体"/>
          <w:kern w:val="0"/>
          <w:szCs w:val="21"/>
        </w:rPr>
        <w:t>在仲裁期间，本合同应继续履行。</w:t>
      </w:r>
    </w:p>
    <w:p w14:paraId="1D71A762">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szCs w:val="21"/>
        </w:rPr>
      </w:pPr>
      <w:bookmarkStart w:id="47" w:name="_Toc286993793"/>
      <w:bookmarkStart w:id="48" w:name="_Toc225244858"/>
      <w:bookmarkStart w:id="49" w:name="_Toc212019600"/>
      <w:bookmarkStart w:id="50" w:name="_Toc247334847"/>
      <w:bookmarkStart w:id="51" w:name="_Toc238984981"/>
      <w:bookmarkStart w:id="52" w:name="_Toc211911354"/>
      <w:bookmarkStart w:id="53" w:name="_Toc282696231"/>
      <w:bookmarkStart w:id="54" w:name="_Toc211854455"/>
      <w:bookmarkStart w:id="55" w:name="_Toc237145412"/>
      <w:bookmarkStart w:id="56" w:name="_Toc239568424"/>
      <w:bookmarkStart w:id="57" w:name="_Toc251768868"/>
      <w:bookmarkStart w:id="58" w:name="_Toc225670757"/>
      <w:bookmarkStart w:id="59" w:name="_Toc185395255"/>
      <w:bookmarkStart w:id="60" w:name="_Toc283019219"/>
      <w:bookmarkStart w:id="61" w:name="_Toc232492934"/>
      <w:bookmarkStart w:id="62" w:name="_Toc239233920"/>
      <w:bookmarkStart w:id="63" w:name="_Toc241833909"/>
      <w:bookmarkStart w:id="64" w:name="_Toc225654650"/>
      <w:bookmarkStart w:id="65" w:name="_Toc28433"/>
      <w:r>
        <w:rPr>
          <w:rFonts w:hint="eastAsia" w:ascii="宋体" w:hAnsi="宋体"/>
          <w:b/>
          <w:szCs w:val="21"/>
        </w:rPr>
        <w:t xml:space="preserve">第十四条  </w:t>
      </w:r>
      <w:r>
        <w:rPr>
          <w:rFonts w:ascii="宋体" w:hAnsi="宋体"/>
          <w:b/>
          <w:szCs w:val="21"/>
        </w:rPr>
        <w:t>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b/>
          <w:szCs w:val="21"/>
        </w:rPr>
        <w:t>生效及其他</w:t>
      </w:r>
      <w:bookmarkEnd w:id="65"/>
    </w:p>
    <w:p w14:paraId="13662552">
      <w:pPr>
        <w:pStyle w:val="12"/>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rPr>
      </w:pPr>
      <w:r>
        <w:rPr>
          <w:rFonts w:hint="eastAsia" w:ascii="宋体" w:hAnsi="宋体" w:eastAsia="宋体"/>
          <w:sz w:val="21"/>
          <w:szCs w:val="21"/>
          <w:lang w:eastAsia="zh-CN"/>
        </w:rPr>
        <w:t>1.</w:t>
      </w:r>
      <w:r>
        <w:rPr>
          <w:rFonts w:hint="eastAsia" w:ascii="宋体" w:hAnsi="宋体"/>
          <w:sz w:val="21"/>
          <w:szCs w:val="21"/>
        </w:rPr>
        <w:t>合同经双方法定代表人（单位负责人）或授权委托代理人签字并加盖单位公章后生效。</w:t>
      </w:r>
    </w:p>
    <w:p w14:paraId="2F6A6AD6">
      <w:pPr>
        <w:pStyle w:val="12"/>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rPr>
      </w:pPr>
      <w:r>
        <w:rPr>
          <w:rFonts w:hint="eastAsia" w:ascii="宋体" w:hAnsi="宋体" w:eastAsia="宋体"/>
          <w:sz w:val="21"/>
          <w:szCs w:val="21"/>
          <w:lang w:eastAsia="zh-CN"/>
        </w:rPr>
        <w:t>2.</w:t>
      </w:r>
      <w:r>
        <w:rPr>
          <w:rFonts w:hint="eastAsia" w:ascii="宋体" w:hAnsi="宋体"/>
          <w:sz w:val="21"/>
          <w:szCs w:val="21"/>
        </w:rPr>
        <w:t>合同执行中涉及采购资金和采购内容修改或补充的，须经政府采购监管部门审批，并</w:t>
      </w:r>
      <w:r>
        <w:rPr>
          <w:rFonts w:hint="eastAsia" w:ascii="宋体" w:hAnsi="宋体" w:eastAsia="宋体"/>
          <w:sz w:val="21"/>
          <w:szCs w:val="21"/>
          <w:lang w:eastAsia="zh-CN"/>
        </w:rPr>
        <w:t>签订</w:t>
      </w:r>
      <w:r>
        <w:rPr>
          <w:rFonts w:hint="eastAsia" w:ascii="宋体" w:hAnsi="宋体"/>
          <w:sz w:val="21"/>
          <w:szCs w:val="21"/>
        </w:rPr>
        <w:t>书面补充协议报政府采购监督管理部门备案，方可作为主合同不可分割的一部分。</w:t>
      </w:r>
    </w:p>
    <w:p w14:paraId="71AA4EF1">
      <w:pPr>
        <w:pStyle w:val="12"/>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eastAsia="宋体"/>
          <w:sz w:val="21"/>
          <w:szCs w:val="21"/>
          <w:highlight w:val="none"/>
          <w:lang w:eastAsia="zh-CN"/>
        </w:rPr>
        <w:t>3.</w:t>
      </w:r>
      <w:r>
        <w:rPr>
          <w:rFonts w:hint="eastAsia" w:ascii="宋体" w:hAnsi="宋体"/>
          <w:sz w:val="21"/>
          <w:szCs w:val="21"/>
          <w:highlight w:val="none"/>
        </w:rPr>
        <w:t>本合同一式</w:t>
      </w:r>
      <w:r>
        <w:rPr>
          <w:rFonts w:hint="eastAsia" w:ascii="宋体" w:hAnsi="宋体"/>
          <w:sz w:val="21"/>
          <w:szCs w:val="21"/>
          <w:highlight w:val="none"/>
          <w:lang w:val="en-US" w:eastAsia="zh-CN"/>
        </w:rPr>
        <w:t>陆</w:t>
      </w:r>
      <w:r>
        <w:rPr>
          <w:rFonts w:hint="eastAsia" w:ascii="宋体" w:hAnsi="宋体"/>
          <w:sz w:val="21"/>
          <w:szCs w:val="21"/>
          <w:highlight w:val="none"/>
        </w:rPr>
        <w:t>份，自双方签章之日起</w:t>
      </w:r>
      <w:r>
        <w:rPr>
          <w:rFonts w:hint="eastAsia" w:ascii="宋体" w:hAnsi="宋体" w:eastAsia="宋体"/>
          <w:sz w:val="21"/>
          <w:szCs w:val="21"/>
          <w:highlight w:val="none"/>
          <w:lang w:eastAsia="zh-CN"/>
        </w:rPr>
        <w:t>生效</w:t>
      </w:r>
      <w:r>
        <w:rPr>
          <w:rFonts w:hint="eastAsia" w:ascii="宋体" w:hAnsi="宋体"/>
          <w:sz w:val="21"/>
          <w:szCs w:val="21"/>
          <w:highlight w:val="none"/>
        </w:rPr>
        <w:t>。甲方</w:t>
      </w:r>
      <w:r>
        <w:rPr>
          <w:rFonts w:hint="eastAsia"/>
          <w:sz w:val="21"/>
          <w:szCs w:val="21"/>
          <w:highlight w:val="none"/>
          <w:lang w:val="en-US" w:eastAsia="zh-CN"/>
        </w:rPr>
        <w:t>贰</w:t>
      </w:r>
      <w:r>
        <w:rPr>
          <w:rFonts w:hint="eastAsia" w:ascii="宋体" w:hAnsi="宋体"/>
          <w:sz w:val="21"/>
          <w:szCs w:val="21"/>
          <w:highlight w:val="none"/>
        </w:rPr>
        <w:t>份，乙方</w:t>
      </w:r>
      <w:r>
        <w:rPr>
          <w:rFonts w:hint="eastAsia"/>
          <w:sz w:val="21"/>
          <w:szCs w:val="21"/>
          <w:highlight w:val="none"/>
          <w:lang w:val="en-US" w:eastAsia="zh-CN"/>
        </w:rPr>
        <w:t>贰</w:t>
      </w:r>
      <w:r>
        <w:rPr>
          <w:rFonts w:hint="eastAsia" w:ascii="宋体" w:hAnsi="宋体"/>
          <w:sz w:val="21"/>
          <w:szCs w:val="21"/>
          <w:highlight w:val="none"/>
        </w:rPr>
        <w:t>份，政府采购代理机构</w:t>
      </w:r>
      <w:r>
        <w:rPr>
          <w:rFonts w:hint="eastAsia"/>
          <w:sz w:val="21"/>
          <w:szCs w:val="21"/>
          <w:highlight w:val="none"/>
        </w:rPr>
        <w:t>壹</w:t>
      </w:r>
      <w:r>
        <w:rPr>
          <w:rFonts w:hint="eastAsia" w:ascii="宋体" w:hAnsi="宋体"/>
          <w:sz w:val="21"/>
          <w:szCs w:val="21"/>
          <w:highlight w:val="none"/>
        </w:rPr>
        <w:t>份，同级财政部门备案</w:t>
      </w:r>
      <w:r>
        <w:rPr>
          <w:rFonts w:hint="eastAsia"/>
          <w:sz w:val="21"/>
          <w:szCs w:val="21"/>
          <w:highlight w:val="none"/>
        </w:rPr>
        <w:t>壹</w:t>
      </w:r>
      <w:r>
        <w:rPr>
          <w:rFonts w:hint="eastAsia" w:ascii="宋体" w:hAnsi="宋体"/>
          <w:sz w:val="21"/>
          <w:szCs w:val="21"/>
          <w:highlight w:val="none"/>
        </w:rPr>
        <w:t>份，具有同等法律效力。</w:t>
      </w:r>
    </w:p>
    <w:p w14:paraId="5DBA119F">
      <w:pPr>
        <w:pStyle w:val="12"/>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b/>
          <w:bCs/>
          <w:sz w:val="21"/>
          <w:szCs w:val="21"/>
          <w:highlight w:val="none"/>
        </w:rPr>
      </w:pPr>
      <w:r>
        <w:rPr>
          <w:rFonts w:hint="eastAsia" w:ascii="宋体" w:hAnsi="宋体"/>
          <w:b/>
          <w:bCs/>
          <w:sz w:val="21"/>
          <w:szCs w:val="21"/>
          <w:highlight w:val="none"/>
        </w:rPr>
        <w:t>第十五条 附件</w:t>
      </w:r>
    </w:p>
    <w:p w14:paraId="4657DB61">
      <w:pPr>
        <w:pStyle w:val="12"/>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eastAsia="宋体"/>
          <w:sz w:val="21"/>
          <w:szCs w:val="21"/>
          <w:highlight w:val="none"/>
          <w:lang w:eastAsia="zh-CN"/>
        </w:rPr>
        <w:t>1.</w:t>
      </w:r>
      <w:r>
        <w:rPr>
          <w:rFonts w:hint="eastAsia" w:ascii="宋体" w:hAnsi="宋体"/>
          <w:sz w:val="21"/>
          <w:szCs w:val="21"/>
          <w:highlight w:val="none"/>
        </w:rPr>
        <w:t>项目采购文件</w:t>
      </w:r>
    </w:p>
    <w:p w14:paraId="4442F03D">
      <w:pPr>
        <w:pStyle w:val="12"/>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eastAsia="宋体"/>
          <w:sz w:val="21"/>
          <w:szCs w:val="21"/>
          <w:highlight w:val="none"/>
          <w:lang w:eastAsia="zh-CN"/>
        </w:rPr>
        <w:t>2.</w:t>
      </w:r>
      <w:r>
        <w:rPr>
          <w:rFonts w:hint="eastAsia" w:ascii="宋体" w:hAnsi="宋体"/>
          <w:sz w:val="21"/>
          <w:szCs w:val="21"/>
          <w:highlight w:val="none"/>
        </w:rPr>
        <w:t>项目修改澄清文件</w:t>
      </w:r>
    </w:p>
    <w:p w14:paraId="1EABF8BC">
      <w:pPr>
        <w:pStyle w:val="12"/>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eastAsia="宋体"/>
          <w:sz w:val="21"/>
          <w:szCs w:val="21"/>
          <w:highlight w:val="none"/>
          <w:lang w:eastAsia="zh-CN"/>
        </w:rPr>
        <w:t>3.</w:t>
      </w:r>
      <w:r>
        <w:rPr>
          <w:rFonts w:hint="eastAsia" w:ascii="宋体" w:hAnsi="宋体"/>
          <w:sz w:val="21"/>
          <w:szCs w:val="21"/>
          <w:highlight w:val="none"/>
        </w:rPr>
        <w:t>项目响应文件</w:t>
      </w:r>
    </w:p>
    <w:p w14:paraId="1580CC3E">
      <w:pPr>
        <w:pStyle w:val="12"/>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eastAsia="宋体"/>
          <w:sz w:val="21"/>
          <w:szCs w:val="21"/>
          <w:highlight w:val="none"/>
          <w:lang w:eastAsia="zh-CN"/>
        </w:rPr>
        <w:t>4.</w:t>
      </w:r>
      <w:r>
        <w:rPr>
          <w:rFonts w:hint="eastAsia" w:ascii="宋体" w:hAnsi="宋体"/>
          <w:sz w:val="21"/>
          <w:szCs w:val="21"/>
          <w:highlight w:val="none"/>
        </w:rPr>
        <w:t>成交通知书</w:t>
      </w:r>
    </w:p>
    <w:p w14:paraId="03DCDEA9">
      <w:pPr>
        <w:pStyle w:val="12"/>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eastAsia="宋体"/>
          <w:sz w:val="21"/>
          <w:szCs w:val="21"/>
          <w:highlight w:val="none"/>
          <w:lang w:eastAsia="zh-CN"/>
        </w:rPr>
        <w:t>5.</w:t>
      </w:r>
      <w:r>
        <w:rPr>
          <w:rFonts w:hint="eastAsia" w:ascii="宋体" w:hAnsi="宋体"/>
          <w:sz w:val="21"/>
          <w:szCs w:val="21"/>
          <w:highlight w:val="none"/>
        </w:rPr>
        <w:t>其他</w:t>
      </w:r>
    </w:p>
    <w:p w14:paraId="64207BF1">
      <w:pPr>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sz w:val="21"/>
          <w:szCs w:val="21"/>
          <w:highlight w:val="none"/>
        </w:rPr>
        <w:br w:type="page"/>
      </w:r>
      <w:bookmarkStart w:id="66" w:name="_GoBack"/>
      <w:bookmarkEnd w:id="66"/>
    </w:p>
    <w:p w14:paraId="750A9D52">
      <w:pPr>
        <w:pStyle w:val="12"/>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sz w:val="21"/>
          <w:szCs w:val="21"/>
          <w:highlight w:val="none"/>
          <w:lang w:eastAsia="zh-CN"/>
        </w:rPr>
      </w:pPr>
      <w:r>
        <w:rPr>
          <w:rFonts w:hint="eastAsia" w:ascii="宋体" w:hAnsi="宋体"/>
          <w:sz w:val="21"/>
          <w:szCs w:val="21"/>
          <w:highlight w:val="none"/>
          <w:lang w:eastAsia="zh-CN"/>
        </w:rPr>
        <w:t>（</w:t>
      </w:r>
      <w:r>
        <w:rPr>
          <w:rFonts w:hint="eastAsia" w:ascii="宋体" w:hAnsi="宋体"/>
          <w:sz w:val="21"/>
          <w:szCs w:val="21"/>
          <w:highlight w:val="none"/>
          <w:lang w:val="en-US" w:eastAsia="zh-CN"/>
        </w:rPr>
        <w:t>此页无正文</w:t>
      </w:r>
      <w:r>
        <w:rPr>
          <w:rFonts w:hint="eastAsia" w:ascii="宋体" w:hAnsi="宋体"/>
          <w:sz w:val="21"/>
          <w:szCs w:val="21"/>
          <w:highlight w:val="none"/>
          <w:lang w:eastAsia="zh-CN"/>
        </w:rPr>
        <w:t>）</w:t>
      </w:r>
    </w:p>
    <w:p w14:paraId="471F237A">
      <w:pPr>
        <w:pStyle w:val="2"/>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sz w:val="21"/>
          <w:szCs w:val="21"/>
        </w:rPr>
      </w:pPr>
    </w:p>
    <w:p w14:paraId="2DECA43D">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 xml:space="preserve">甲方：   （盖章）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乙方：   （盖章）</w:t>
      </w:r>
    </w:p>
    <w:p w14:paraId="1FCAF1DD">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 xml:space="preserve">法定代表人：（单位负责人）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法定代表人：（单位负责人）</w:t>
      </w:r>
    </w:p>
    <w:p w14:paraId="2B698E1B">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地    址：                           地    址：</w:t>
      </w:r>
    </w:p>
    <w:p w14:paraId="0FF81056">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开户银行：                           开户银行：</w:t>
      </w:r>
    </w:p>
    <w:p w14:paraId="3C27D53C">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账号：                               账号：</w:t>
      </w:r>
    </w:p>
    <w:p w14:paraId="5C3CB4C3">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电    话：                           电    话：</w:t>
      </w:r>
    </w:p>
    <w:p w14:paraId="5468C141">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传    真：                           传    真：</w:t>
      </w:r>
    </w:p>
    <w:p w14:paraId="2D3CD65D">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 xml:space="preserve">签约日期：  年  月  日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签约日期：  年  月  日</w:t>
      </w:r>
    </w:p>
    <w:p w14:paraId="294D3F59">
      <w:pPr>
        <w:pStyle w:val="5"/>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sz w:val="21"/>
          <w:szCs w:val="21"/>
        </w:rPr>
      </w:pPr>
    </w:p>
    <w:p w14:paraId="19A00666">
      <w:pPr>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sz w:val="21"/>
          <w:szCs w:val="21"/>
        </w:rPr>
      </w:pPr>
    </w:p>
    <w:p w14:paraId="4054343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p>
    <w:p w14:paraId="5702EC19">
      <w:pPr>
        <w:pStyle w:val="5"/>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auto"/>
          <w:sz w:val="24"/>
          <w:szCs w:val="24"/>
        </w:rPr>
      </w:pPr>
    </w:p>
    <w:p w14:paraId="1B2A8CA5">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auto"/>
          <w:sz w:val="24"/>
          <w:szCs w:val="24"/>
        </w:rPr>
      </w:pPr>
    </w:p>
    <w:p w14:paraId="317C1363">
      <w:pPr>
        <w:pStyle w:val="6"/>
        <w:keepNext w:val="0"/>
        <w:keepLines w:val="0"/>
        <w:pageBreakBefore w:val="0"/>
        <w:widowControl/>
        <w:wordWrap/>
        <w:overflowPunct/>
        <w:topLinePunct w:val="0"/>
        <w:bidi w:val="0"/>
        <w:adjustRightInd w:val="0"/>
        <w:snapToGrid w:val="0"/>
        <w:spacing w:line="360" w:lineRule="auto"/>
        <w:ind w:left="0" w:leftChars="0" w:firstLine="0" w:firstLineChars="0"/>
        <w:jc w:val="both"/>
        <w:textAlignment w:val="baseline"/>
        <w:rPr>
          <w:rFonts w:hint="eastAsia" w:ascii="宋体" w:hAnsi="宋体" w:eastAsia="宋体" w:cs="宋体"/>
          <w:color w:val="auto"/>
          <w:sz w:val="24"/>
          <w:szCs w:val="24"/>
          <w:highlight w:val="none"/>
          <w:lang w:val="en-US" w:eastAsia="zh-CN"/>
        </w:rPr>
      </w:pPr>
    </w:p>
    <w:p w14:paraId="5E97F2D7">
      <w:pPr>
        <w:pStyle w:val="6"/>
        <w:keepNext w:val="0"/>
        <w:keepLines w:val="0"/>
        <w:pageBreakBefore w:val="0"/>
        <w:widowControl/>
        <w:wordWrap/>
        <w:overflowPunct/>
        <w:topLinePunct w:val="0"/>
        <w:bidi w:val="0"/>
        <w:adjustRightInd w:val="0"/>
        <w:snapToGrid w:val="0"/>
        <w:spacing w:line="360" w:lineRule="auto"/>
        <w:ind w:left="0" w:leftChars="0" w:firstLine="0" w:firstLineChars="0"/>
        <w:jc w:val="both"/>
        <w:textAlignment w:val="baseline"/>
        <w:rPr>
          <w:rFonts w:hint="eastAsia" w:ascii="宋体" w:hAnsi="宋体" w:eastAsia="宋体" w:cs="宋体"/>
          <w:color w:val="auto"/>
          <w:sz w:val="24"/>
          <w:szCs w:val="24"/>
          <w:highlight w:val="none"/>
          <w:lang w:val="en-US" w:eastAsia="zh-CN"/>
        </w:rPr>
      </w:pPr>
    </w:p>
    <w:p w14:paraId="361FE8F4">
      <w:pPr>
        <w:keepNext w:val="0"/>
        <w:keepLines w:val="0"/>
        <w:pageBreakBefore w:val="0"/>
        <w:wordWrap/>
        <w:overflowPunct/>
        <w:topLinePunct w:val="0"/>
        <w:bidi w:val="0"/>
        <w:spacing w:line="360" w:lineRule="auto"/>
        <w:rPr>
          <w:rFonts w:hint="eastAsia" w:ascii="宋体" w:hAnsi="宋体" w:eastAsia="宋体" w:cs="宋体"/>
          <w:color w:val="auto"/>
          <w:sz w:val="24"/>
          <w:szCs w:val="24"/>
          <w:highlight w:val="none"/>
          <w:lang w:val="en-US" w:eastAsia="zh-CN"/>
        </w:rPr>
      </w:pPr>
    </w:p>
    <w:p w14:paraId="18E388D1"/>
    <w:sectPr>
      <w:footerReference r:id="rId5" w:type="default"/>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12A00">
    <w:pPr>
      <w:pStyle w:val="2"/>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C0E6C2">
                          <w:pPr>
                            <w:pStyle w:val="4"/>
                          </w:pPr>
                          <w:r>
                            <w:t xml:space="preserve">第 </w:t>
                          </w:r>
                          <w:r>
                            <w:fldChar w:fldCharType="begin"/>
                          </w:r>
                          <w:r>
                            <w:instrText xml:space="preserve"> PAGE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AC0E6C2">
                    <w:pPr>
                      <w:pStyle w:val="4"/>
                    </w:pPr>
                    <w:r>
                      <w:t xml:space="preserve">第 </w:t>
                    </w:r>
                    <w:r>
                      <w:fldChar w:fldCharType="begin"/>
                    </w:r>
                    <w:r>
                      <w:instrText xml:space="preserve"> PAGE  \* MERGEFORMAT </w:instrText>
                    </w:r>
                    <w:r>
                      <w:fldChar w:fldCharType="separate"/>
                    </w:r>
                    <w:r>
                      <w:t>14</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D35F9A">
                          <w:pPr>
                            <w:pStyle w:val="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7D35F9A">
                    <w:pPr>
                      <w:pStyle w:val="4"/>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76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Body Text Indent"/>
    <w:basedOn w:val="1"/>
    <w:qFormat/>
    <w:uiPriority w:val="0"/>
    <w:pPr>
      <w:ind w:firstLine="630"/>
    </w:pPr>
    <w:rPr>
      <w:sz w:val="32"/>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6">
    <w:name w:val="Body Text First Indent"/>
    <w:basedOn w:val="2"/>
    <w:next w:val="7"/>
    <w:qFormat/>
    <w:uiPriority w:val="0"/>
    <w:pPr>
      <w:ind w:firstLine="420" w:firstLineChars="100"/>
    </w:pPr>
    <w:rPr>
      <w:szCs w:val="24"/>
    </w:rPr>
  </w:style>
  <w:style w:type="paragraph" w:styleId="7">
    <w:name w:val="Body Text First Indent 2"/>
    <w:basedOn w:val="3"/>
    <w:qFormat/>
    <w:uiPriority w:val="0"/>
    <w:pPr>
      <w:ind w:firstLine="420" w:firstLineChars="200"/>
    </w:pPr>
  </w:style>
  <w:style w:type="paragraph" w:customStyle="1" w:styleId="10">
    <w:name w:val="样式 首行缩进:  2 字符"/>
    <w:basedOn w:val="1"/>
    <w:qFormat/>
    <w:uiPriority w:val="0"/>
    <w:pPr>
      <w:spacing w:line="400" w:lineRule="exact"/>
      <w:ind w:firstLine="200" w:firstLineChars="200"/>
    </w:pPr>
    <w:rPr>
      <w:rFonts w:cs="宋体"/>
      <w:sz w:val="24"/>
    </w:rPr>
  </w:style>
  <w:style w:type="paragraph" w:customStyle="1" w:styleId="11">
    <w:name w:val="null3"/>
    <w:qFormat/>
    <w:uiPriority w:val="0"/>
    <w:rPr>
      <w:rFonts w:hint="eastAsia" w:ascii="Calibri" w:hAnsi="Calibri" w:eastAsia="宋体" w:cs="Times New Roman"/>
      <w:lang w:val="en-US" w:eastAsia="zh-Hans"/>
    </w:rPr>
  </w:style>
  <w:style w:type="paragraph" w:styleId="12">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2026-07-13T08:52:21Z</dcterms:created>
  <dc:creator>LX</dc:creator>
  <cp:lastModifiedBy>哆啦A梦</cp:lastModifiedBy>
  <dcterms:modified xsi:type="dcterms:W3CDTF">2026-07-13T08:52:34Z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2FB5D5F9768048EF96AD561525BAC947_12</vt:lpwstr>
  </property>
</Properties>
</file>