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6DC2A">
      <w:pPr>
        <w:pStyle w:val="8"/>
        <w:pageBreakBefore w:val="0"/>
        <w:wordWrap/>
        <w:topLinePunct w:val="0"/>
        <w:bidi w:val="0"/>
        <w:spacing w:line="520" w:lineRule="exact"/>
        <w:jc w:val="center"/>
        <w:outlineLvl w:val="1"/>
        <w:rPr>
          <w:color w:val="auto"/>
          <w:highlight w:val="none"/>
        </w:rPr>
      </w:pPr>
      <w:r>
        <w:rPr>
          <w:rFonts w:ascii="仿宋_GB2312" w:hAnsi="仿宋_GB2312" w:eastAsia="仿宋_GB2312" w:cs="仿宋_GB2312"/>
          <w:b/>
          <w:color w:val="auto"/>
          <w:sz w:val="36"/>
          <w:highlight w:val="none"/>
        </w:rPr>
        <w:t>第八章 拟签订采购合同文本</w:t>
      </w:r>
    </w:p>
    <w:p w14:paraId="6DD18BCB">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4B46AA2C">
      <w:pPr>
        <w:pageBreakBefore w:val="0"/>
        <w:kinsoku/>
        <w:wordWrap/>
        <w:overflowPunct w:val="0"/>
        <w:topLinePunct w:val="0"/>
        <w:bidi w:val="0"/>
        <w:spacing w:line="520" w:lineRule="exact"/>
        <w:jc w:val="center"/>
        <w:rPr>
          <w:rFonts w:hint="eastAsia" w:ascii="仿宋" w:hAnsi="仿宋" w:eastAsia="仿宋" w:cs="仿宋"/>
          <w:b/>
          <w:color w:val="auto"/>
          <w:sz w:val="48"/>
          <w:szCs w:val="56"/>
          <w:highlight w:val="none"/>
        </w:rPr>
      </w:pPr>
    </w:p>
    <w:p w14:paraId="67065FEF">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40"/>
          <w:szCs w:val="48"/>
          <w:highlight w:val="none"/>
          <w:lang w:eastAsia="zh-CN"/>
        </w:rPr>
        <w:t>西安高新区2026年餐饮油烟监测项目</w:t>
      </w:r>
    </w:p>
    <w:p w14:paraId="6EE25F16">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p>
    <w:p w14:paraId="7544C9B1">
      <w:pPr>
        <w:pageBreakBefore w:val="0"/>
        <w:kinsoku/>
        <w:wordWrap/>
        <w:overflowPunct w:val="0"/>
        <w:topLinePunct w:val="0"/>
        <w:bidi w:val="0"/>
        <w:spacing w:line="520" w:lineRule="exact"/>
        <w:jc w:val="center"/>
        <w:rPr>
          <w:rFonts w:hint="eastAsia" w:ascii="仿宋" w:hAnsi="仿宋" w:eastAsia="仿宋" w:cs="仿宋"/>
          <w:b/>
          <w:color w:val="auto"/>
          <w:sz w:val="56"/>
          <w:szCs w:val="56"/>
          <w:highlight w:val="none"/>
        </w:rPr>
      </w:pPr>
      <w:r>
        <w:rPr>
          <w:rFonts w:hint="eastAsia" w:ascii="仿宋" w:hAnsi="仿宋" w:eastAsia="仿宋" w:cs="仿宋"/>
          <w:b/>
          <w:color w:val="auto"/>
          <w:sz w:val="56"/>
          <w:szCs w:val="56"/>
          <w:highlight w:val="none"/>
        </w:rPr>
        <w:t>合 同</w:t>
      </w:r>
    </w:p>
    <w:p w14:paraId="1F21E3BB">
      <w:pPr>
        <w:spacing w:line="360" w:lineRule="auto"/>
        <w:jc w:val="center"/>
        <w:rPr>
          <w:rFonts w:hint="eastAsia" w:ascii="仿宋" w:hAnsi="仿宋" w:eastAsia="仿宋" w:cs="仿宋"/>
          <w:b/>
          <w:color w:val="auto"/>
          <w:sz w:val="48"/>
          <w:szCs w:val="56"/>
          <w:highlight w:val="none"/>
        </w:rPr>
      </w:pPr>
      <w:r>
        <w:rPr>
          <w:rFonts w:hint="eastAsia" w:ascii="仿宋" w:hAnsi="仿宋" w:eastAsia="仿宋" w:cs="仿宋"/>
          <w:b/>
          <w:color w:val="auto"/>
          <w:sz w:val="48"/>
          <w:szCs w:val="56"/>
          <w:highlight w:val="none"/>
        </w:rPr>
        <w:t>（一包/二包）</w:t>
      </w:r>
    </w:p>
    <w:p w14:paraId="5E169EB5">
      <w:pPr>
        <w:pStyle w:val="3"/>
        <w:rPr>
          <w:rFonts w:hint="eastAsia"/>
          <w:color w:val="auto"/>
          <w:highlight w:val="none"/>
        </w:rPr>
      </w:pPr>
    </w:p>
    <w:p w14:paraId="08D49CDD">
      <w:pPr>
        <w:pStyle w:val="2"/>
        <w:keepNext w:val="0"/>
        <w:keepLines w:val="0"/>
        <w:pageBreakBefore w:val="0"/>
        <w:widowControl/>
        <w:kinsoku/>
        <w:wordWrap/>
        <w:overflowPunct w:val="0"/>
        <w:topLinePunct w:val="0"/>
        <w:autoSpaceDE w:val="0"/>
        <w:autoSpaceDN w:val="0"/>
        <w:bidi w:val="0"/>
        <w:adjustRightInd w:val="0"/>
        <w:snapToGrid w:val="0"/>
        <w:spacing w:line="520" w:lineRule="exact"/>
        <w:ind w:firstLine="0"/>
        <w:textAlignment w:val="baseline"/>
        <w:rPr>
          <w:rFonts w:hint="eastAsia"/>
          <w:color w:val="auto"/>
          <w:highlight w:val="none"/>
        </w:rPr>
      </w:pPr>
      <w:r>
        <w:rPr>
          <w:rFonts w:hint="eastAsia" w:ascii="仿宋" w:hAnsi="仿宋" w:eastAsia="仿宋" w:cs="仿宋"/>
          <w:b/>
          <w:color w:val="auto"/>
          <w:kern w:val="0"/>
          <w:sz w:val="24"/>
          <w:szCs w:val="24"/>
          <w:highlight w:val="none"/>
        </w:rPr>
        <w:t>（本格式条款供双方签订合同参考，采购人可根据项目的实际情况增加条款和内容）</w:t>
      </w:r>
    </w:p>
    <w:p w14:paraId="70D1C9E7">
      <w:pPr>
        <w:pageBreakBefore w:val="0"/>
        <w:kinsoku/>
        <w:wordWrap/>
        <w:overflowPunct w:val="0"/>
        <w:topLinePunct w:val="0"/>
        <w:bidi w:val="0"/>
        <w:spacing w:line="520" w:lineRule="exact"/>
        <w:jc w:val="center"/>
        <w:rPr>
          <w:rFonts w:hint="eastAsia" w:ascii="仿宋" w:hAnsi="仿宋" w:eastAsia="仿宋" w:cs="仿宋"/>
          <w:b/>
          <w:color w:val="auto"/>
          <w:sz w:val="48"/>
          <w:szCs w:val="48"/>
          <w:highlight w:val="none"/>
        </w:rPr>
      </w:pPr>
    </w:p>
    <w:p w14:paraId="772B0A7D">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69E829DE">
      <w:pPr>
        <w:pageBreakBefore w:val="0"/>
        <w:kinsoku/>
        <w:wordWrap/>
        <w:overflowPunct w:val="0"/>
        <w:topLinePunct w:val="0"/>
        <w:bidi w:val="0"/>
        <w:spacing w:line="520" w:lineRule="exact"/>
        <w:jc w:val="center"/>
        <w:rPr>
          <w:rFonts w:hint="eastAsia" w:ascii="仿宋" w:hAnsi="仿宋" w:eastAsia="仿宋" w:cs="仿宋"/>
          <w:b/>
          <w:color w:val="auto"/>
          <w:sz w:val="32"/>
          <w:szCs w:val="32"/>
          <w:highlight w:val="none"/>
        </w:rPr>
      </w:pPr>
    </w:p>
    <w:p w14:paraId="15C9CC92">
      <w:pPr>
        <w:pageBreakBefore w:val="0"/>
        <w:kinsoku/>
        <w:wordWrap/>
        <w:overflowPunct w:val="0"/>
        <w:topLinePunct w:val="0"/>
        <w:bidi w:val="0"/>
        <w:spacing w:line="52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21D112F">
      <w:pPr>
        <w:pageBreakBefore w:val="0"/>
        <w:kinsoku/>
        <w:wordWrap/>
        <w:overflowPunct w:val="0"/>
        <w:topLinePunct w:val="0"/>
        <w:bidi w:val="0"/>
        <w:spacing w:line="520" w:lineRule="exact"/>
        <w:rPr>
          <w:rFonts w:hint="eastAsia" w:ascii="仿宋" w:hAnsi="仿宋" w:eastAsia="仿宋" w:cs="仿宋"/>
          <w:b/>
          <w:color w:val="auto"/>
          <w:highlight w:val="none"/>
        </w:rPr>
      </w:pPr>
    </w:p>
    <w:p w14:paraId="01D4FFC4">
      <w:pPr>
        <w:pageBreakBefore w:val="0"/>
        <w:kinsoku/>
        <w:wordWrap/>
        <w:overflowPunct w:val="0"/>
        <w:topLinePunct w:val="0"/>
        <w:bidi w:val="0"/>
        <w:spacing w:line="520" w:lineRule="exact"/>
        <w:rPr>
          <w:rFonts w:hint="eastAsia" w:ascii="仿宋" w:hAnsi="仿宋" w:eastAsia="仿宋" w:cs="仿宋"/>
          <w:b/>
          <w:color w:val="auto"/>
          <w:highlight w:val="none"/>
        </w:rPr>
      </w:pPr>
    </w:p>
    <w:p w14:paraId="226820A3">
      <w:pPr>
        <w:pageBreakBefore w:val="0"/>
        <w:kinsoku/>
        <w:wordWrap/>
        <w:overflowPunct w:val="0"/>
        <w:topLinePunct w:val="0"/>
        <w:bidi w:val="0"/>
        <w:spacing w:line="520" w:lineRule="exact"/>
        <w:rPr>
          <w:rFonts w:hint="eastAsia" w:ascii="仿宋" w:hAnsi="仿宋" w:eastAsia="仿宋" w:cs="仿宋"/>
          <w:b/>
          <w:color w:val="auto"/>
          <w:highlight w:val="none"/>
        </w:rPr>
      </w:pPr>
    </w:p>
    <w:p w14:paraId="26FB616B">
      <w:pPr>
        <w:pageBreakBefore w:val="0"/>
        <w:kinsoku/>
        <w:wordWrap/>
        <w:overflowPunct w:val="0"/>
        <w:topLinePunct w:val="0"/>
        <w:bidi w:val="0"/>
        <w:spacing w:line="520" w:lineRule="exact"/>
        <w:rPr>
          <w:rFonts w:hint="eastAsia" w:ascii="仿宋" w:hAnsi="仿宋" w:eastAsia="仿宋" w:cs="仿宋"/>
          <w:b/>
          <w:color w:val="auto"/>
          <w:highlight w:val="none"/>
        </w:rPr>
      </w:pPr>
    </w:p>
    <w:p w14:paraId="4265D085">
      <w:pPr>
        <w:pageBreakBefore w:val="0"/>
        <w:kinsoku/>
        <w:wordWrap/>
        <w:overflowPunct w:val="0"/>
        <w:topLinePunct w:val="0"/>
        <w:bidi w:val="0"/>
        <w:spacing w:line="520" w:lineRule="exact"/>
        <w:rPr>
          <w:rFonts w:hint="eastAsia" w:ascii="仿宋" w:hAnsi="仿宋" w:eastAsia="仿宋" w:cs="仿宋"/>
          <w:b/>
          <w:color w:val="auto"/>
          <w:highlight w:val="none"/>
        </w:rPr>
      </w:pPr>
    </w:p>
    <w:p w14:paraId="1C10F332">
      <w:pPr>
        <w:pageBreakBefore w:val="0"/>
        <w:kinsoku/>
        <w:wordWrap/>
        <w:overflowPunct w:val="0"/>
        <w:topLinePunct w:val="0"/>
        <w:bidi w:val="0"/>
        <w:spacing w:line="520" w:lineRule="exact"/>
        <w:rPr>
          <w:rFonts w:hint="eastAsia"/>
          <w:color w:val="auto"/>
          <w:highlight w:val="none"/>
        </w:rPr>
      </w:pPr>
    </w:p>
    <w:p w14:paraId="447218AD">
      <w:pPr>
        <w:pStyle w:val="4"/>
        <w:pageBreakBefore w:val="0"/>
        <w:kinsoku/>
        <w:wordWrap/>
        <w:overflowPunct w:val="0"/>
        <w:topLinePunct w:val="0"/>
        <w:bidi w:val="0"/>
        <w:spacing w:line="520" w:lineRule="exact"/>
        <w:rPr>
          <w:rFonts w:hint="eastAsia"/>
          <w:color w:val="auto"/>
          <w:highlight w:val="none"/>
        </w:rPr>
      </w:pPr>
    </w:p>
    <w:p w14:paraId="79902D99">
      <w:pPr>
        <w:pageBreakBefore w:val="0"/>
        <w:kinsoku/>
        <w:wordWrap/>
        <w:overflowPunct w:val="0"/>
        <w:topLinePunct w:val="0"/>
        <w:bidi w:val="0"/>
        <w:spacing w:line="520" w:lineRule="exact"/>
        <w:rPr>
          <w:rFonts w:hint="eastAsia"/>
          <w:color w:val="auto"/>
          <w:highlight w:val="none"/>
        </w:rPr>
      </w:pPr>
    </w:p>
    <w:p w14:paraId="5970E24C">
      <w:pPr>
        <w:pStyle w:val="4"/>
        <w:pageBreakBefore w:val="0"/>
        <w:kinsoku/>
        <w:wordWrap/>
        <w:overflowPunct w:val="0"/>
        <w:topLinePunct w:val="0"/>
        <w:bidi w:val="0"/>
        <w:spacing w:line="520" w:lineRule="exact"/>
        <w:rPr>
          <w:rFonts w:hint="eastAsia"/>
          <w:color w:val="auto"/>
          <w:highlight w:val="none"/>
        </w:rPr>
      </w:pPr>
    </w:p>
    <w:p w14:paraId="3E0986E4">
      <w:pPr>
        <w:pageBreakBefore w:val="0"/>
        <w:kinsoku/>
        <w:wordWrap/>
        <w:overflowPunct w:val="0"/>
        <w:topLinePunct w:val="0"/>
        <w:bidi w:val="0"/>
        <w:spacing w:line="520" w:lineRule="exact"/>
        <w:ind w:left="1469" w:hanging="1469" w:hangingChars="400"/>
        <w:jc w:val="center"/>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甲方(采购人)：</w:t>
      </w:r>
      <w:r>
        <w:rPr>
          <w:rFonts w:hint="eastAsia" w:ascii="仿宋" w:hAnsi="仿宋" w:eastAsia="仿宋" w:cs="仿宋"/>
          <w:color w:val="auto"/>
          <w:spacing w:val="23"/>
          <w:sz w:val="28"/>
          <w:szCs w:val="28"/>
          <w:highlight w:val="none"/>
          <w:u w:val="single"/>
        </w:rPr>
        <w:t></w:t>
      </w:r>
    </w:p>
    <w:p w14:paraId="53A579F7">
      <w:pPr>
        <w:pageBreakBefore w:val="0"/>
        <w:kinsoku/>
        <w:wordWrap/>
        <w:overflowPunct w:val="0"/>
        <w:topLinePunct w:val="0"/>
        <w:bidi w:val="0"/>
        <w:spacing w:line="520" w:lineRule="exact"/>
        <w:ind w:left="1285" w:hanging="1469" w:hangingChars="400"/>
        <w:jc w:val="center"/>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7DCCC374">
      <w:pPr>
        <w:pageBreakBefore w:val="0"/>
        <w:kinsoku/>
        <w:wordWrap/>
        <w:overflowPunct w:val="0"/>
        <w:topLinePunct w:val="0"/>
        <w:bidi w:val="0"/>
        <w:spacing w:line="520" w:lineRule="exact"/>
        <w:jc w:val="center"/>
        <w:rPr>
          <w:rFonts w:hint="eastAsia" w:ascii="仿宋" w:hAnsi="仿宋" w:eastAsia="仿宋" w:cs="仿宋"/>
          <w:b/>
          <w:color w:val="auto"/>
          <w:spacing w:val="23"/>
          <w:sz w:val="32"/>
          <w:szCs w:val="32"/>
          <w:highlight w:val="none"/>
        </w:rPr>
        <w:sectPr>
          <w:pgSz w:w="11906" w:h="16838"/>
          <w:pgMar w:top="1440" w:right="1417" w:bottom="1440" w:left="1417" w:header="851" w:footer="992" w:gutter="0"/>
          <w:cols w:space="0" w:num="1"/>
          <w:rtlGutter w:val="0"/>
          <w:docGrid w:type="lines" w:linePitch="312" w:charSpace="0"/>
        </w:sect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44F3379A">
      <w:pPr>
        <w:pageBreakBefore w:val="0"/>
        <w:kinsoku/>
        <w:wordWrap/>
        <w:overflowPunct w:val="0"/>
        <w:topLinePunct w:val="0"/>
        <w:bidi w:val="0"/>
        <w:spacing w:line="520" w:lineRule="exact"/>
        <w:jc w:val="both"/>
        <w:rPr>
          <w:rFonts w:hint="eastAsia" w:ascii="仿宋" w:hAnsi="仿宋" w:eastAsia="仿宋" w:cs="仿宋"/>
          <w:color w:val="auto"/>
          <w:sz w:val="28"/>
          <w:szCs w:val="28"/>
          <w:highlight w:val="none"/>
          <w:u w:val="single"/>
        </w:rPr>
      </w:pPr>
      <w:r>
        <w:rPr>
          <w:rFonts w:hint="eastAsia" w:ascii="仿宋" w:hAnsi="仿宋" w:eastAsia="仿宋" w:cs="仿宋"/>
          <w:bCs/>
          <w:color w:val="auto"/>
          <w:sz w:val="28"/>
          <w:szCs w:val="28"/>
          <w:highlight w:val="none"/>
        </w:rPr>
        <w:t>甲方（采购人）：</w:t>
      </w:r>
      <w:r>
        <w:rPr>
          <w:rFonts w:hint="eastAsia" w:ascii="仿宋" w:hAnsi="仿宋" w:eastAsia="仿宋" w:cs="仿宋"/>
          <w:bCs/>
          <w:color w:val="auto"/>
          <w:sz w:val="28"/>
          <w:szCs w:val="28"/>
          <w:highlight w:val="none"/>
          <w:u w:val="single"/>
        </w:rPr>
        <w:t xml:space="preserve">                                </w:t>
      </w:r>
      <w:bookmarkStart w:id="0" w:name="_GoBack"/>
      <w:bookmarkEnd w:id="0"/>
    </w:p>
    <w:p w14:paraId="76AB11CC">
      <w:pPr>
        <w:keepNext w:val="0"/>
        <w:keepLines w:val="0"/>
        <w:pageBreakBefore w:val="0"/>
        <w:wordWrap/>
        <w:topLinePunct w:val="0"/>
        <w:autoSpaceDE w:val="0"/>
        <w:autoSpaceDN w:val="0"/>
        <w:bidi w:val="0"/>
        <w:adjustRightInd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乙方（供应商）：</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 xml:space="preserve"> </w:t>
      </w:r>
    </w:p>
    <w:p w14:paraId="14676608">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依照《中华人民共和国民法典》等法律、行政法规，遵循平等、自愿、公平和诚实信用的原则，双方</w:t>
      </w:r>
      <w:r>
        <w:rPr>
          <w:rFonts w:hint="eastAsia" w:ascii="仿宋" w:hAnsi="仿宋" w:eastAsia="仿宋" w:cs="仿宋"/>
          <w:b w:val="0"/>
          <w:bCs w:val="0"/>
          <w:color w:val="auto"/>
          <w:sz w:val="28"/>
          <w:szCs w:val="28"/>
          <w:highlight w:val="none"/>
          <w:u w:val="single"/>
          <w:lang w:eastAsia="zh-CN"/>
        </w:rPr>
        <w:t>西安高新区2026年餐饮油烟监测项目</w:t>
      </w:r>
      <w:r>
        <w:rPr>
          <w:rFonts w:hint="eastAsia" w:ascii="仿宋" w:hAnsi="仿宋" w:eastAsia="仿宋" w:cs="仿宋"/>
          <w:b w:val="0"/>
          <w:bCs w:val="0"/>
          <w:color w:val="auto"/>
          <w:sz w:val="28"/>
          <w:szCs w:val="28"/>
          <w:highlight w:val="none"/>
          <w:u w:val="single"/>
          <w:lang w:val="en-US" w:eastAsia="zh-CN"/>
        </w:rPr>
        <w:t>一包/二包</w:t>
      </w:r>
      <w:r>
        <w:rPr>
          <w:rFonts w:hint="eastAsia" w:ascii="仿宋" w:hAnsi="仿宋" w:eastAsia="仿宋" w:cs="仿宋"/>
          <w:b w:val="0"/>
          <w:bCs w:val="0"/>
          <w:color w:val="auto"/>
          <w:sz w:val="28"/>
          <w:szCs w:val="28"/>
          <w:highlight w:val="none"/>
        </w:rPr>
        <w:t>事项订立本合同:</w:t>
      </w:r>
    </w:p>
    <w:p w14:paraId="2D40EDA2">
      <w:pPr>
        <w:keepNext w:val="0"/>
        <w:keepLines w:val="0"/>
        <w:pageBreakBefore w:val="0"/>
        <w:widowControl w:val="0"/>
        <w:numPr>
          <w:ilvl w:val="0"/>
          <w:numId w:val="1"/>
        </w:numPr>
        <w:kinsoku/>
        <w:wordWrap/>
        <w:overflowPunct w:val="0"/>
        <w:topLinePunct w:val="0"/>
        <w:autoSpaceDE w:val="0"/>
        <w:autoSpaceDN w:val="0"/>
        <w:bidi w:val="0"/>
        <w:adjustRightInd w:val="0"/>
        <w:snapToGrid w:val="0"/>
        <w:spacing w:line="360" w:lineRule="auto"/>
        <w:ind w:left="0" w:right="0" w:rightChars="0"/>
        <w:jc w:val="both"/>
        <w:textAlignment w:val="baseline"/>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项目概况</w:t>
      </w:r>
    </w:p>
    <w:p w14:paraId="047D917E">
      <w:pPr>
        <w:pStyle w:val="8"/>
        <w:keepNext w:val="0"/>
        <w:keepLines w:val="0"/>
        <w:pageBreakBefore w:val="0"/>
        <w:widowControl/>
        <w:numPr>
          <w:ilvl w:val="0"/>
          <w:numId w:val="0"/>
        </w:numPr>
        <w:wordWrap/>
        <w:overflowPunct/>
        <w:topLinePunct w:val="0"/>
        <w:bidi w:val="0"/>
        <w:spacing w:line="360" w:lineRule="auto"/>
        <w:ind w:leftChars="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为落实《西安市2023-2027年餐饮单位油烟及燃煤污染治理工作方案》(市城管发[2023]86号)要求，引入第三方专业检测机构对区内产生油烟的餐饮单位油烟净化效果进行抽查检测，出具油烟排放监测报告。对达不到《饮食业油烟排放标准》（GB18483-2001）排放限值的餐饮单位，依法责令限期整改，确保油烟达标排放。</w:t>
      </w:r>
    </w:p>
    <w:p w14:paraId="2E9D5190">
      <w:pPr>
        <w:pStyle w:val="8"/>
        <w:keepNext w:val="0"/>
        <w:keepLines w:val="0"/>
        <w:pageBreakBefore w:val="0"/>
        <w:widowControl/>
        <w:numPr>
          <w:ilvl w:val="0"/>
          <w:numId w:val="0"/>
        </w:numPr>
        <w:wordWrap/>
        <w:overflowPunct/>
        <w:topLinePunct w:val="0"/>
        <w:bidi w:val="0"/>
        <w:spacing w:line="360" w:lineRule="auto"/>
        <w:ind w:leftChars="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二、服务范围</w:t>
      </w:r>
    </w:p>
    <w:p w14:paraId="6CA64374">
      <w:pPr>
        <w:pStyle w:val="8"/>
        <w:keepNext w:val="0"/>
        <w:keepLines w:val="0"/>
        <w:pageBreakBefore w:val="0"/>
        <w:widowControl/>
        <w:numPr>
          <w:ilvl w:val="0"/>
          <w:numId w:val="0"/>
        </w:numPr>
        <w:wordWrap/>
        <w:overflowPunct/>
        <w:topLinePunct w:val="0"/>
        <w:bidi w:val="0"/>
        <w:spacing w:line="360" w:lineRule="auto"/>
        <w:ind w:leftChars="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一包：对丈八街道区域内约400家餐饮单位（含单位职工食堂等），共计433个排烟口实施监督监测。</w:t>
      </w:r>
    </w:p>
    <w:p w14:paraId="3155FCD7">
      <w:pPr>
        <w:pStyle w:val="8"/>
        <w:keepNext w:val="0"/>
        <w:keepLines w:val="0"/>
        <w:pageBreakBefore w:val="0"/>
        <w:widowControl/>
        <w:numPr>
          <w:ilvl w:val="0"/>
          <w:numId w:val="0"/>
        </w:numPr>
        <w:wordWrap/>
        <w:overflowPunct/>
        <w:topLinePunct w:val="0"/>
        <w:bidi w:val="0"/>
        <w:spacing w:line="360" w:lineRule="auto"/>
        <w:ind w:right="0" w:rightChars="0" w:firstLine="560" w:firstLineChars="200"/>
        <w:rPr>
          <w:rFonts w:hint="default"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二包：对其他区域内（鱼化寨、细柳、兴隆、五星、东大、草堂、庞光及秦渡街道）约180家餐饮单位（含酒店、学校及职工食堂等），共计217个排烟口实施监督监测。</w:t>
      </w:r>
    </w:p>
    <w:p w14:paraId="2A7E3E1B">
      <w:pPr>
        <w:pStyle w:val="8"/>
        <w:keepNext w:val="0"/>
        <w:keepLines w:val="0"/>
        <w:pageBreakBefore w:val="0"/>
        <w:numPr>
          <w:ilvl w:val="0"/>
          <w:numId w:val="0"/>
        </w:numPr>
        <w:wordWrap/>
        <w:topLinePunct w:val="0"/>
        <w:bidi w:val="0"/>
        <w:spacing w:line="360" w:lineRule="auto"/>
        <w:ind w:left="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三、服务要求</w:t>
      </w:r>
    </w:p>
    <w:p w14:paraId="64367605">
      <w:pPr>
        <w:pStyle w:val="8"/>
        <w:keepNext w:val="0"/>
        <w:keepLines w:val="0"/>
        <w:pageBreakBefore w:val="0"/>
        <w:widowControl/>
        <w:numPr>
          <w:ilvl w:val="0"/>
          <w:numId w:val="0"/>
        </w:numPr>
        <w:wordWrap/>
        <w:overflowPunct/>
        <w:topLinePunct w:val="0"/>
        <w:bidi w:val="0"/>
        <w:spacing w:line="360" w:lineRule="auto"/>
        <w:ind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1.检测机构须具备合法有效《检验检测机构资质认定》资质，检测能力须满足本项目油烟监测全部内容；</w:t>
      </w:r>
    </w:p>
    <w:p w14:paraId="04D8DB3A">
      <w:pPr>
        <w:pStyle w:val="8"/>
        <w:keepNext w:val="0"/>
        <w:keepLines w:val="0"/>
        <w:pageBreakBefore w:val="0"/>
        <w:widowControl/>
        <w:numPr>
          <w:ilvl w:val="0"/>
          <w:numId w:val="0"/>
        </w:numPr>
        <w:wordWrap/>
        <w:overflowPunct/>
        <w:topLinePunct w:val="0"/>
        <w:bidi w:val="0"/>
        <w:spacing w:line="360" w:lineRule="auto"/>
        <w:ind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2.按照项目服务内容、时限及规范要求，配备足额合格专业技术设备及持证专业技术人员，编制详细检测工作计划，确保按期完成全部监测工作；</w:t>
      </w:r>
    </w:p>
    <w:p w14:paraId="3F3309C9">
      <w:pPr>
        <w:pStyle w:val="8"/>
        <w:keepNext w:val="0"/>
        <w:keepLines w:val="0"/>
        <w:pageBreakBefore w:val="0"/>
        <w:widowControl/>
        <w:numPr>
          <w:ilvl w:val="0"/>
          <w:numId w:val="0"/>
        </w:numPr>
        <w:wordWrap/>
        <w:overflowPunct/>
        <w:topLinePunct w:val="0"/>
        <w:bidi w:val="0"/>
        <w:spacing w:line="360" w:lineRule="auto"/>
        <w:ind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3.提前对辖区餐饮商户油烟排放条件开展排查，建立完整工作台账；对不具备监测条件的单位出具专项整改方案，跟踪整改落实；对无法完成整改的单位，及时上报并提出处置建议；</w:t>
      </w:r>
    </w:p>
    <w:p w14:paraId="018085DB">
      <w:pPr>
        <w:pStyle w:val="8"/>
        <w:keepNext w:val="0"/>
        <w:keepLines w:val="0"/>
        <w:pageBreakBefore w:val="0"/>
        <w:widowControl/>
        <w:numPr>
          <w:ilvl w:val="0"/>
          <w:numId w:val="0"/>
        </w:numPr>
        <w:wordWrap/>
        <w:overflowPunct/>
        <w:topLinePunct w:val="0"/>
        <w:bidi w:val="0"/>
        <w:spacing w:line="360" w:lineRule="auto"/>
        <w:ind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4.监测采样所需采样口开设、辅助作业等工作由供应商自行负责，确保符合安全及技术规范；</w:t>
      </w:r>
    </w:p>
    <w:p w14:paraId="6F87F2DE">
      <w:pPr>
        <w:pStyle w:val="8"/>
        <w:keepNext w:val="0"/>
        <w:keepLines w:val="0"/>
        <w:pageBreakBefore w:val="0"/>
        <w:widowControl/>
        <w:numPr>
          <w:ilvl w:val="0"/>
          <w:numId w:val="0"/>
        </w:numPr>
        <w:wordWrap/>
        <w:overflowPunct/>
        <w:topLinePunct w:val="0"/>
        <w:bidi w:val="0"/>
        <w:spacing w:line="360" w:lineRule="auto"/>
        <w:ind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5.项目实施全过程须留存影像资料、采样凭证、检测记录、整改回执等全套资料，随时接受核查，作为项目管理及费用结算依据。</w:t>
      </w:r>
    </w:p>
    <w:p w14:paraId="3A612063">
      <w:pPr>
        <w:pStyle w:val="8"/>
        <w:keepNext w:val="0"/>
        <w:keepLines w:val="0"/>
        <w:pageBreakBefore w:val="0"/>
        <w:numPr>
          <w:ilvl w:val="0"/>
          <w:numId w:val="0"/>
        </w:numPr>
        <w:wordWrap/>
        <w:topLinePunct w:val="0"/>
        <w:bidi w:val="0"/>
        <w:spacing w:line="360" w:lineRule="auto"/>
        <w:ind w:left="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四、质量、安全及技术规范要求</w:t>
      </w:r>
    </w:p>
    <w:p w14:paraId="15157291">
      <w:pPr>
        <w:keepNext w:val="0"/>
        <w:keepLines w:val="0"/>
        <w:pageBreakBefore w:val="0"/>
        <w:numPr>
          <w:ilvl w:val="0"/>
          <w:numId w:val="0"/>
        </w:numPr>
        <w:wordWrap/>
        <w:topLinePunct w:val="0"/>
        <w:bidi w:val="0"/>
        <w:spacing w:line="360" w:lineRule="auto"/>
        <w:ind w:leftChars="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1.依据《饮食业油烟排放标准》（GB18483-2001），主要对餐饮单位食物烹饪、加工过程中挥发的油脂、有机物质及其加热分解或裂解产物等进行监测。每家餐饮单位监测完成后，须出具书面监测报告，报告内容须完整规范、科学有效。采样检测后5个工作日内提供监测报告；应急等特殊情况，采样检测后48小时内提供监测报告；</w:t>
      </w:r>
    </w:p>
    <w:p w14:paraId="2BC9086C">
      <w:pPr>
        <w:keepNext w:val="0"/>
        <w:keepLines w:val="0"/>
        <w:pageBreakBefore w:val="0"/>
        <w:numPr>
          <w:ilvl w:val="0"/>
          <w:numId w:val="0"/>
        </w:numPr>
        <w:wordWrap/>
        <w:topLinePunct w:val="0"/>
        <w:bidi w:val="0"/>
        <w:spacing w:line="360" w:lineRule="auto"/>
        <w:ind w:leftChars="0" w:right="0" w:rightChars="0" w:firstLine="560" w:firstLineChars="200"/>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2.检测技术方法符合HJ/T62-2001《饮食业油烟净化设备技术要求及检测技术规范（试行）》；</w:t>
      </w:r>
    </w:p>
    <w:p w14:paraId="1984ED21">
      <w:pPr>
        <w:keepNext w:val="0"/>
        <w:keepLines w:val="0"/>
        <w:pageBreakBefore w:val="0"/>
        <w:widowControl/>
        <w:numPr>
          <w:ilvl w:val="0"/>
          <w:numId w:val="0"/>
        </w:numPr>
        <w:wordWrap/>
        <w:overflowPunct/>
        <w:topLinePunct w:val="0"/>
        <w:bidi w:val="0"/>
        <w:spacing w:line="360" w:lineRule="auto"/>
        <w:ind w:right="0" w:rightChars="0" w:firstLine="560" w:firstLineChars="20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3.严格遵守安全生产相关法律法规，作业过程科学、规范、安全、文明，落实安全防护及现场管理要求</w:t>
      </w:r>
      <w:r>
        <w:rPr>
          <w:rFonts w:hint="eastAsia" w:ascii="仿宋" w:hAnsi="仿宋" w:eastAsia="仿宋" w:cs="仿宋"/>
          <w:b/>
          <w:bCs/>
          <w:snapToGrid w:val="0"/>
          <w:color w:val="auto"/>
          <w:sz w:val="28"/>
          <w:szCs w:val="28"/>
          <w:highlight w:val="none"/>
          <w:lang w:val="en-US" w:eastAsia="zh-CN" w:bidi="ar-SA"/>
        </w:rPr>
        <w:t>。</w:t>
      </w:r>
    </w:p>
    <w:p w14:paraId="20EC9F1E">
      <w:pPr>
        <w:pStyle w:val="8"/>
        <w:keepNext w:val="0"/>
        <w:keepLines w:val="0"/>
        <w:pageBreakBefore w:val="0"/>
        <w:widowControl/>
        <w:numPr>
          <w:ilvl w:val="0"/>
          <w:numId w:val="0"/>
        </w:numPr>
        <w:wordWrap/>
        <w:overflowPunct/>
        <w:topLinePunct w:val="0"/>
        <w:bidi w:val="0"/>
        <w:spacing w:line="360" w:lineRule="auto"/>
        <w:ind w:left="0" w:right="0" w:rightChars="0"/>
        <w:rPr>
          <w:rFonts w:hint="eastAsia" w:ascii="仿宋" w:hAnsi="仿宋" w:eastAsia="仿宋" w:cs="仿宋"/>
          <w:b/>
          <w:bCs/>
          <w:snapToGrid w:val="0"/>
          <w:color w:val="auto"/>
          <w:sz w:val="28"/>
          <w:szCs w:val="28"/>
          <w:highlight w:val="none"/>
          <w:lang w:val="en-US" w:eastAsia="zh-CN" w:bidi="ar-SA"/>
        </w:rPr>
      </w:pPr>
      <w:r>
        <w:rPr>
          <w:rFonts w:hint="eastAsia" w:ascii="仿宋" w:hAnsi="仿宋" w:eastAsia="仿宋" w:cs="仿宋"/>
          <w:b/>
          <w:bCs/>
          <w:snapToGrid w:val="0"/>
          <w:color w:val="auto"/>
          <w:sz w:val="28"/>
          <w:szCs w:val="28"/>
          <w:highlight w:val="none"/>
          <w:lang w:val="en-US" w:eastAsia="zh-CN" w:bidi="ar-SA"/>
        </w:rPr>
        <w:t>五、服务期限、成果交付期限及交付地点：</w:t>
      </w:r>
    </w:p>
    <w:p w14:paraId="748955F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right="0" w:rightChars="0" w:firstLine="560" w:firstLineChars="200"/>
        <w:textAlignment w:val="baseline"/>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一包：自合同签订之日起一年。自</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年</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月</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日至</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年</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月</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日</w:t>
      </w:r>
    </w:p>
    <w:p w14:paraId="1747E009">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监测报告交付期限：采样检测后</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个工作日内提供监测报告；应急等特殊情况，采样检测后</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小时内提供监测报告。</w:t>
      </w:r>
    </w:p>
    <w:p w14:paraId="5CB56A9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right="0" w:rightChars="0" w:firstLine="560" w:firstLineChars="200"/>
        <w:textAlignment w:val="baseline"/>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二包:自合同签订之日起一年。自</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年</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月</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日至</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年</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月</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日</w:t>
      </w:r>
    </w:p>
    <w:p w14:paraId="6AA7D5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监测报告交付期限：采样检测后</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个工作日内提供监测报告；应急等特殊情况，采样检测后</w:t>
      </w:r>
      <w:r>
        <w:rPr>
          <w:rFonts w:hint="eastAsia" w:ascii="仿宋" w:hAnsi="仿宋" w:eastAsia="仿宋" w:cs="仿宋"/>
          <w:b w:val="0"/>
          <w:bCs w:val="0"/>
          <w:snapToGrid w:val="0"/>
          <w:color w:val="auto"/>
          <w:sz w:val="28"/>
          <w:szCs w:val="28"/>
          <w:highlight w:val="none"/>
          <w:u w:val="single"/>
          <w:lang w:val="en-US" w:eastAsia="zh-CN" w:bidi="ar-SA"/>
        </w:rPr>
        <w:t xml:space="preserve">    </w:t>
      </w:r>
      <w:r>
        <w:rPr>
          <w:rFonts w:hint="eastAsia" w:ascii="仿宋" w:hAnsi="仿宋" w:eastAsia="仿宋" w:cs="仿宋"/>
          <w:b w:val="0"/>
          <w:bCs w:val="0"/>
          <w:snapToGrid w:val="0"/>
          <w:color w:val="auto"/>
          <w:sz w:val="28"/>
          <w:szCs w:val="28"/>
          <w:highlight w:val="none"/>
          <w:lang w:val="en-US" w:eastAsia="zh-CN" w:bidi="ar-SA"/>
        </w:rPr>
        <w:t>小时内提供监测报告。</w:t>
      </w:r>
    </w:p>
    <w:p w14:paraId="1F5B353C">
      <w:pPr>
        <w:pStyle w:val="3"/>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 w:hAnsi="仿宋" w:eastAsia="仿宋" w:cs="仿宋"/>
          <w:b w:val="0"/>
          <w:bCs w:val="0"/>
          <w:snapToGrid w:val="0"/>
          <w:color w:val="auto"/>
          <w:sz w:val="28"/>
          <w:szCs w:val="28"/>
          <w:highlight w:val="none"/>
          <w:lang w:val="en-US" w:eastAsia="zh-CN" w:bidi="ar-SA"/>
        </w:rPr>
      </w:pPr>
      <w:r>
        <w:rPr>
          <w:rFonts w:hint="eastAsia" w:ascii="仿宋" w:hAnsi="仿宋" w:eastAsia="仿宋" w:cs="仿宋"/>
          <w:b w:val="0"/>
          <w:bCs w:val="0"/>
          <w:snapToGrid w:val="0"/>
          <w:color w:val="auto"/>
          <w:sz w:val="28"/>
          <w:szCs w:val="28"/>
          <w:highlight w:val="none"/>
          <w:lang w:val="en-US" w:eastAsia="zh-CN" w:bidi="ar-SA"/>
        </w:rPr>
        <w:t>交付地点：西安市城市管理综合行政执法支队高新区大队（锦业一路75号）。</w:t>
      </w:r>
    </w:p>
    <w:p w14:paraId="4D2FBDCC">
      <w:pPr>
        <w:pStyle w:val="3"/>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六、合同价款</w:t>
      </w:r>
    </w:p>
    <w:p w14:paraId="11B216DB">
      <w:pPr>
        <w:keepNext w:val="0"/>
        <w:keepLines w:val="0"/>
        <w:pageBreakBefore w:val="0"/>
        <w:widowControl w:val="0"/>
        <w:kinsoku/>
        <w:wordWrap/>
        <w:overflowPunct w:val="0"/>
        <w:topLinePunct w:val="0"/>
        <w:autoSpaceDE w:val="0"/>
        <w:autoSpaceDN w:val="0"/>
        <w:bidi w:val="0"/>
        <w:adjustRightInd w:val="0"/>
        <w:snapToGrid/>
        <w:spacing w:line="360" w:lineRule="auto"/>
        <w:ind w:right="0" w:rightChars="0" w:firstLine="560" w:firstLineChars="200"/>
        <w:jc w:val="both"/>
        <w:textAlignment w:val="auto"/>
        <w:rPr>
          <w:rFonts w:hint="eastAsia" w:ascii="仿宋" w:hAnsi="仿宋" w:eastAsia="仿宋" w:cs="仿宋"/>
          <w:bCs/>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暂定总价</w:t>
      </w:r>
      <w:r>
        <w:rPr>
          <w:rFonts w:hint="eastAsia" w:ascii="仿宋" w:hAnsi="仿宋" w:eastAsia="仿宋" w:cs="仿宋"/>
          <w:color w:val="auto"/>
          <w:sz w:val="28"/>
          <w:szCs w:val="28"/>
          <w:highlight w:val="none"/>
        </w:rPr>
        <w:t>金额</w:t>
      </w:r>
      <w:r>
        <w:rPr>
          <w:rFonts w:hint="eastAsia" w:ascii="仿宋" w:hAnsi="仿宋" w:eastAsia="仿宋" w:cs="仿宋"/>
          <w:bCs/>
          <w:color w:val="auto"/>
          <w:sz w:val="28"/>
          <w:szCs w:val="28"/>
          <w:highlight w:val="none"/>
        </w:rPr>
        <w:t>为人民币（大写）</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val="en-US" w:eastAsia="zh-CN"/>
        </w:rPr>
        <w:t>小写）</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u w:val="single"/>
          <w:lang w:val="en-US" w:eastAsia="zh-CN"/>
        </w:rPr>
        <w:t>元</w:t>
      </w:r>
      <w:r>
        <w:rPr>
          <w:rFonts w:hint="eastAsia" w:ascii="仿宋" w:hAnsi="仿宋" w:eastAsia="仿宋" w:cs="仿宋"/>
          <w:bCs/>
          <w:color w:val="auto"/>
          <w:sz w:val="28"/>
          <w:szCs w:val="28"/>
          <w:highlight w:val="none"/>
        </w:rPr>
        <w:t>。</w:t>
      </w:r>
    </w:p>
    <w:p w14:paraId="797C0216">
      <w:pPr>
        <w:pStyle w:val="3"/>
        <w:keepNext w:val="0"/>
        <w:keepLines w:val="0"/>
        <w:pageBreakBefore w:val="0"/>
        <w:wordWrap/>
        <w:topLinePunct w:val="0"/>
        <w:autoSpaceDE w:val="0"/>
        <w:autoSpaceDN w:val="0"/>
        <w:bidi w:val="0"/>
        <w:adjustRightInd w:val="0"/>
        <w:spacing w:line="360" w:lineRule="auto"/>
        <w:ind w:firstLine="744" w:firstLineChars="300"/>
        <w:rPr>
          <w:rFonts w:hint="eastAsia"/>
          <w:color w:val="auto"/>
          <w:highlight w:val="none"/>
        </w:rPr>
      </w:pPr>
      <w:r>
        <w:rPr>
          <w:rFonts w:hint="eastAsia" w:ascii="宋体" w:hAnsi="宋体" w:eastAsia="宋体" w:cs="宋体"/>
          <w:color w:val="auto"/>
          <w:spacing w:val="4"/>
          <w:sz w:val="24"/>
          <w:szCs w:val="24"/>
          <w:highlight w:val="none"/>
          <w:lang w:val="en-US" w:eastAsia="zh-CN"/>
        </w:rPr>
        <w:t>其</w:t>
      </w:r>
      <w:r>
        <w:rPr>
          <w:rFonts w:hint="eastAsia" w:ascii="仿宋" w:hAnsi="仿宋" w:eastAsia="仿宋" w:cs="仿宋"/>
          <w:snapToGrid w:val="0"/>
          <w:color w:val="auto"/>
          <w:sz w:val="28"/>
          <w:szCs w:val="28"/>
          <w:highlight w:val="none"/>
          <w:lang w:val="en-US" w:eastAsia="zh-CN" w:bidi="ar-SA"/>
        </w:rPr>
        <w:t>中：合同单价为人民币(大写)</w:t>
      </w:r>
      <w:r>
        <w:rPr>
          <w:rFonts w:hint="eastAsia" w:ascii="仿宋" w:hAnsi="仿宋" w:eastAsia="仿宋" w:cs="仿宋"/>
          <w:snapToGrid w:val="0"/>
          <w:color w:val="auto"/>
          <w:sz w:val="28"/>
          <w:szCs w:val="28"/>
          <w:highlight w:val="none"/>
          <w:u w:val="single"/>
          <w:lang w:val="en-US" w:eastAsia="zh-CN" w:bidi="ar-SA"/>
        </w:rPr>
        <w:t xml:space="preserve">         </w:t>
      </w:r>
      <w:r>
        <w:rPr>
          <w:rFonts w:hint="eastAsia" w:ascii="仿宋" w:hAnsi="仿宋" w:eastAsia="仿宋" w:cs="仿宋"/>
          <w:snapToGrid w:val="0"/>
          <w:color w:val="auto"/>
          <w:sz w:val="28"/>
          <w:szCs w:val="28"/>
          <w:highlight w:val="none"/>
          <w:lang w:val="en-US" w:eastAsia="zh-CN" w:bidi="ar-SA"/>
        </w:rPr>
        <w:t xml:space="preserve"> (￥</w:t>
      </w:r>
      <w:r>
        <w:rPr>
          <w:rFonts w:hint="eastAsia" w:ascii="仿宋" w:hAnsi="仿宋" w:eastAsia="仿宋" w:cs="仿宋"/>
          <w:snapToGrid w:val="0"/>
          <w:color w:val="auto"/>
          <w:sz w:val="28"/>
          <w:szCs w:val="28"/>
          <w:highlight w:val="none"/>
          <w:u w:val="single"/>
          <w:lang w:val="en-US" w:eastAsia="zh-CN" w:bidi="ar-SA"/>
        </w:rPr>
        <w:t xml:space="preserve">    </w:t>
      </w:r>
      <w:r>
        <w:rPr>
          <w:rFonts w:hint="eastAsia" w:ascii="仿宋" w:hAnsi="仿宋" w:eastAsia="仿宋" w:cs="仿宋"/>
          <w:snapToGrid w:val="0"/>
          <w:color w:val="auto"/>
          <w:sz w:val="28"/>
          <w:szCs w:val="28"/>
          <w:highlight w:val="none"/>
          <w:lang w:val="en-US" w:eastAsia="zh-CN" w:bidi="ar-SA"/>
        </w:rPr>
        <w:t>元/个排烟口)。</w:t>
      </w:r>
    </w:p>
    <w:p w14:paraId="503E653E">
      <w:pPr>
        <w:keepNext w:val="0"/>
        <w:keepLines w:val="0"/>
        <w:pageBreakBefore w:val="0"/>
        <w:widowControl w:val="0"/>
        <w:numPr>
          <w:ilvl w:val="0"/>
          <w:numId w:val="0"/>
        </w:numPr>
        <w:kinsoku/>
        <w:wordWrap/>
        <w:overflowPunct w:val="0"/>
        <w:topLinePunct w:val="0"/>
        <w:autoSpaceDE w:val="0"/>
        <w:autoSpaceDN w:val="0"/>
        <w:bidi w:val="0"/>
        <w:adjustRightInd w:val="0"/>
        <w:snapToGrid/>
        <w:spacing w:line="360" w:lineRule="auto"/>
        <w:ind w:right="0" w:rightChars="0" w:firstLine="560" w:firstLineChars="20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kern w:val="2"/>
          <w:sz w:val="28"/>
          <w:szCs w:val="28"/>
          <w:highlight w:val="none"/>
          <w:u w:val="none"/>
          <w:lang w:val="en-US" w:eastAsia="zh-CN" w:bidi="ar-SA"/>
        </w:rPr>
        <w:t>2</w:t>
      </w:r>
      <w:r>
        <w:rPr>
          <w:rFonts w:hint="eastAsia" w:ascii="仿宋" w:hAnsi="仿宋" w:eastAsia="仿宋" w:cs="仿宋"/>
          <w:color w:val="auto"/>
          <w:sz w:val="28"/>
          <w:szCs w:val="28"/>
          <w:highlight w:val="none"/>
          <w:lang w:val="en-US" w:eastAsia="zh-CN"/>
        </w:rPr>
        <w:t>.合同价款确定方式：固定单价合同。合同价款包括但不限于完成该项目的人工费、管理费、采样费、监测费、仪器设备费、交通费、报告编制费、招标代理服务费、利润、税金、风险及完成工作准备阶段、实施阶段、成果交付阶段、验收阶段等完成本项目所需的全部费用。</w:t>
      </w:r>
    </w:p>
    <w:p w14:paraId="13C092C9">
      <w:pPr>
        <w:keepNext w:val="0"/>
        <w:keepLines w:val="0"/>
        <w:pageBreakBefore w:val="0"/>
        <w:widowControl w:val="0"/>
        <w:numPr>
          <w:ilvl w:val="0"/>
          <w:numId w:val="0"/>
        </w:numPr>
        <w:kinsoku/>
        <w:wordWrap/>
        <w:overflowPunct w:val="0"/>
        <w:topLinePunct w:val="0"/>
        <w:autoSpaceDE w:val="0"/>
        <w:autoSpaceDN w:val="0"/>
        <w:bidi w:val="0"/>
        <w:adjustRightInd w:val="0"/>
        <w:snapToGrid/>
        <w:spacing w:line="360" w:lineRule="auto"/>
        <w:ind w:right="0" w:right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七、款项结算</w:t>
      </w:r>
    </w:p>
    <w:p w14:paraId="14F0873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28"/>
          <w:szCs w:val="28"/>
          <w:highlight w:val="none"/>
        </w:rPr>
        <w:t>付款方式：</w:t>
      </w:r>
      <w:r>
        <w:rPr>
          <w:rFonts w:hint="eastAsia" w:ascii="仿宋" w:hAnsi="仿宋" w:eastAsia="仿宋" w:cs="仿宋"/>
          <w:bCs/>
          <w:color w:val="auto"/>
          <w:kern w:val="2"/>
          <w:sz w:val="28"/>
          <w:szCs w:val="28"/>
          <w:highlight w:val="none"/>
          <w:u w:val="none"/>
          <w:lang w:val="en-US" w:eastAsia="zh-CN" w:bidi="ar-SA"/>
        </w:rPr>
        <w:t>项目服务完成并经甲方验收合格后，按实际检测量*检测单价，据实结算，一次性支付。</w:t>
      </w:r>
    </w:p>
    <w:p w14:paraId="383D8EDB">
      <w:pPr>
        <w:keepNext w:val="0"/>
        <w:keepLines w:val="0"/>
        <w:pageBreakBefore w:val="0"/>
        <w:widowControl w:val="0"/>
        <w:tabs>
          <w:tab w:val="left" w:pos="9030"/>
        </w:tabs>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付款依据：乙方开具的等额发票、竞争性磋商文件及响应文件、合同、服务清单、验收报告。</w:t>
      </w:r>
    </w:p>
    <w:p w14:paraId="1AEDCED4">
      <w:pPr>
        <w:keepNext w:val="0"/>
        <w:keepLines w:val="0"/>
        <w:pageBreakBefore w:val="0"/>
        <w:widowControl w:val="0"/>
        <w:tabs>
          <w:tab w:val="left" w:pos="9030"/>
        </w:tabs>
        <w:kinsoku/>
        <w:wordWrap/>
        <w:overflowPunct w:val="0"/>
        <w:topLinePunct w:val="0"/>
        <w:autoSpaceDE w:val="0"/>
        <w:autoSpaceDN w:val="0"/>
        <w:bidi w:val="0"/>
        <w:adjustRightInd w:val="0"/>
        <w:snapToGrid w:val="0"/>
        <w:spacing w:line="360" w:lineRule="auto"/>
        <w:ind w:right="0" w:rightChars="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八、验收</w:t>
      </w:r>
    </w:p>
    <w:p w14:paraId="3AF13B5A">
      <w:pPr>
        <w:keepNext w:val="0"/>
        <w:keepLines w:val="0"/>
        <w:pageBreakBefore w:val="0"/>
        <w:widowControl w:val="0"/>
        <w:tabs>
          <w:tab w:val="left" w:pos="9030"/>
        </w:tabs>
        <w:kinsoku/>
        <w:wordWrap/>
        <w:overflowPunct w:val="0"/>
        <w:topLinePunct w:val="0"/>
        <w:autoSpaceDE w:val="0"/>
        <w:autoSpaceDN w:val="0"/>
        <w:bidi w:val="0"/>
        <w:adjustRightInd w:val="0"/>
        <w:snapToGrid w:val="0"/>
        <w:spacing w:line="360" w:lineRule="auto"/>
        <w:ind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1、服务期满后，由乙方向甲方递交验收通知书，经甲方确认后，组织 乙方进行验收（必要时采购人可委托具有相关资质的第三方检测机构/技术 专家对本次服务进行验收）。验收合格后，填写政府采购项目验收单作为对本次服务的最终认可。</w:t>
      </w:r>
    </w:p>
    <w:p w14:paraId="7D27C4F9">
      <w:pPr>
        <w:keepNext w:val="0"/>
        <w:keepLines w:val="0"/>
        <w:pageBreakBefore w:val="0"/>
        <w:widowControl w:val="0"/>
        <w:tabs>
          <w:tab w:val="left" w:pos="9030"/>
        </w:tabs>
        <w:kinsoku/>
        <w:wordWrap/>
        <w:overflowPunct w:val="0"/>
        <w:topLinePunct w:val="0"/>
        <w:autoSpaceDE w:val="0"/>
        <w:autoSpaceDN w:val="0"/>
        <w:bidi w:val="0"/>
        <w:adjustRightInd w:val="0"/>
        <w:snapToGrid w:val="0"/>
        <w:spacing w:line="360" w:lineRule="auto"/>
        <w:ind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2、验收标准：按照国家、行业及本项目采购文件规定的验收标准执行，资料齐全、数据真实、结论准确、服务到位，经甲方验收合格视为完成。</w:t>
      </w:r>
    </w:p>
    <w:p w14:paraId="11A6C0DF">
      <w:pPr>
        <w:keepNext w:val="0"/>
        <w:keepLines w:val="0"/>
        <w:pageBreakBefore w:val="0"/>
        <w:widowControl w:val="0"/>
        <w:kinsoku/>
        <w:wordWrap/>
        <w:overflowPunct w:val="0"/>
        <w:topLinePunct w:val="0"/>
        <w:autoSpaceDE w:val="0"/>
        <w:autoSpaceDN w:val="0"/>
        <w:bidi w:val="0"/>
        <w:adjustRightInd w:val="0"/>
        <w:snapToGrid/>
        <w:spacing w:line="360" w:lineRule="auto"/>
        <w:ind w:right="0" w:right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九、双方的权利和义务</w:t>
      </w:r>
    </w:p>
    <w:p w14:paraId="03B7C94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双方确定，在本合同有效期内，甲方指定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为甲方项目联系人（电话：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），乙方指定</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为乙方项目联系人（电话：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BCF7821">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一方变更项目联系人的，应当及时以书面形式通知另一方。未及时通知并影响本合同履行或造成损失的，应承担相应的责任。</w:t>
      </w:r>
    </w:p>
    <w:p w14:paraId="234E9CF0">
      <w:pPr>
        <w:keepNext w:val="0"/>
        <w:keepLines w:val="0"/>
        <w:pageBreakBefore w:val="0"/>
        <w:widowControl w:val="0"/>
        <w:kinsoku/>
        <w:wordWrap/>
        <w:overflowPunct w:val="0"/>
        <w:topLinePunct w:val="0"/>
        <w:autoSpaceDE w:val="0"/>
        <w:autoSpaceDN w:val="0"/>
        <w:bidi w:val="0"/>
        <w:adjustRightInd w:val="0"/>
        <w:snapToGrid w:val="0"/>
        <w:spacing w:line="360" w:lineRule="auto"/>
        <w:ind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甲方的权利和</w:t>
      </w:r>
      <w:r>
        <w:rPr>
          <w:rFonts w:hint="eastAsia" w:ascii="仿宋" w:hAnsi="仿宋" w:eastAsia="仿宋" w:cs="仿宋"/>
          <w:color w:val="auto"/>
          <w:sz w:val="28"/>
          <w:szCs w:val="28"/>
          <w:highlight w:val="none"/>
          <w:lang w:val="en-US" w:eastAsia="zh-CN"/>
        </w:rPr>
        <w:t>义务</w:t>
      </w:r>
    </w:p>
    <w:p w14:paraId="588DB709">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（1）甲方有权监督乙方工作执行情况。</w:t>
      </w:r>
    </w:p>
    <w:p w14:paraId="0C8B52A6">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（2）甲方有权向乙方提出合理化建议，乙方应予以采纳。</w:t>
      </w:r>
    </w:p>
    <w:p w14:paraId="411D217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甲方有权对乙方的质量、进度、服务、设备、器具、安全等情况进行安全监督检查，如乙方未达到标准或出现不合格情况，甲方有权要求乙方进行整改和完善。逾期未整改的，甲方有权扣除本次检测费用的20%。</w:t>
      </w:r>
    </w:p>
    <w:p w14:paraId="3EC69A66">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（4）如对成果报告有特殊要求，甲方提前说明。</w:t>
      </w:r>
    </w:p>
    <w:p w14:paraId="7DC06FC7">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（5）按照本合同约定及时足额支付费用。</w:t>
      </w:r>
    </w:p>
    <w:p w14:paraId="1AF669E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乙方的</w:t>
      </w:r>
      <w:r>
        <w:rPr>
          <w:rFonts w:hint="eastAsia" w:ascii="仿宋" w:hAnsi="仿宋" w:eastAsia="仿宋" w:cs="仿宋"/>
          <w:color w:val="auto"/>
          <w:sz w:val="28"/>
          <w:szCs w:val="28"/>
          <w:highlight w:val="none"/>
          <w:lang w:val="en-US" w:eastAsia="zh-CN"/>
        </w:rPr>
        <w:t>权利和义务</w:t>
      </w:r>
    </w:p>
    <w:p w14:paraId="4C10A1A0">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（1）接受项目行业管理部门及政府有关部门的监督指导，接受甲方的监督。</w:t>
      </w:r>
    </w:p>
    <w:p w14:paraId="7F06CDBE">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（2）按照合同约定提供技术服务，为甲方提供技术服务成果。承诺采用合理严谨的态度及科学准确的方法提供技术服务，以保证成果的准确性和有效性。</w:t>
      </w:r>
    </w:p>
    <w:p w14:paraId="073D3B5A">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乙方在接到甲方监测任务后，应及时响应并派遣满足工作需要的专业技术人员对委托内容开展作业，在委托时限内按时完成监测并向甲方提供正式监测报告。在监测过程中如遇不可抗拒的自然因素，乙方应及时向甲方申请，则监测周期另议或顺延。</w:t>
      </w:r>
    </w:p>
    <w:p w14:paraId="6F97AC01">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（4）乙方及其雇用的员工应严格遵守国家的法律、法规，如果乙方及其所雇用的员工违反法律、法规和相关规定，所造成的后果由乙方自行负责，与甲方无关，若因此给甲方造成损失的，由乙方承担。</w:t>
      </w:r>
    </w:p>
    <w:p w14:paraId="6FB76355">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（5）按照合同内容要求甲方按期支付费用。</w:t>
      </w:r>
    </w:p>
    <w:p w14:paraId="4E8C16BC">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（6）就监测服务的有关内容，接受甲方的咨询。</w:t>
      </w:r>
    </w:p>
    <w:p w14:paraId="19B159B4">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（7）乙方正常开展服务工作所需费用，均包含在合同金额中，由于甲方原因导致乙方超出合同范围工作所产生的费用由甲方承担。</w:t>
      </w:r>
    </w:p>
    <w:p w14:paraId="64424ECE">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（8）未经甲方同意，乙方不得擅自将所承包的合同转让给他人，或肢解分包给他人。</w:t>
      </w:r>
    </w:p>
    <w:p w14:paraId="647CD66F">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9）乙方进行监测后出具的报告仅对被测样品负责。在任何情况下，乙方的责任不能超出乙方对样品作出的监测报告的范围。乙方有责任根据样品有效期对样品进行保管，在此期间，若因乙方过错导致样品丢失所造成的一切损失由乙方承担。</w:t>
      </w:r>
    </w:p>
    <w:p w14:paraId="7F4AF554">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（10）乙方对涉及秘密级业务的技术资料、数据、保密信息等进行严格保密，一旦泄密，需承担相应法律责任。</w:t>
      </w:r>
    </w:p>
    <w:p w14:paraId="56F7F1E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（11）接受甲方的管理、监督、检查和考核，对甲方发出的整改通知，应及时按甲方的要求进行整改。乙方无正当理由拒绝整改时，甲方可以另行委托他人予以整改，所发生的费用由乙方承担。</w:t>
      </w:r>
    </w:p>
    <w:p w14:paraId="7056C953">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12）乙方必须遵循安全作业和文明作业的规定，在履行本合同的过程中，采取严格的安全防范措施。在服务过程中发生的一切人身伤亡事故及其他损害，由乙方自行承担所有责任。若造成甲方因此而承担有关法律责任，乙方除应承担因此造成的一切损失外，甲方有权单方面解除本合同；</w:t>
      </w:r>
    </w:p>
    <w:p w14:paraId="1D88DA8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（13）乙方定期按照国家规定要求对仪器设备进行校验校准，客观、公正、科学、实事求是的按照合同要求进行监测，确保数据的真实性、可靠性。对所监测内容和结果负全部技术责任。</w:t>
      </w:r>
    </w:p>
    <w:p w14:paraId="765210A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0" w:firstLineChars="0"/>
        <w:jc w:val="both"/>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十、知识产权归属</w:t>
      </w:r>
    </w:p>
    <w:p w14:paraId="0620BF00">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乙方需保证本项目所提供的服务或其任何一部分或其授予的权利不会侵犯任何第三人的知识产权或其他权利，也没有其他针对乙方拥有本项目所提供的服务成果权利的未决诉讼，或甲方行使乙方对本项目所提供的服务成果权利会侵犯任何第三人的合法权利。</w:t>
      </w:r>
    </w:p>
    <w:p w14:paraId="63163B25">
      <w:pPr>
        <w:keepNext w:val="0"/>
        <w:keepLines w:val="0"/>
        <w:pageBreakBefore w:val="0"/>
        <w:widowControl w:val="0"/>
        <w:kinsoku/>
        <w:wordWrap/>
        <w:overflowPunct w:val="0"/>
        <w:topLinePunct w:val="0"/>
        <w:autoSpaceDE w:val="0"/>
        <w:autoSpaceDN w:val="0"/>
        <w:bidi w:val="0"/>
        <w:adjustRightInd w:val="0"/>
        <w:snapToGrid w:val="0"/>
        <w:spacing w:line="360" w:lineRule="auto"/>
        <w:ind w:right="0" w:rightChars="0"/>
        <w:jc w:val="both"/>
        <w:rPr>
          <w:rFonts w:hint="eastAsia" w:ascii="仿宋" w:hAnsi="仿宋" w:eastAsia="仿宋" w:cs="仿宋"/>
          <w:b/>
          <w:bCs/>
          <w:color w:val="auto"/>
          <w:kern w:val="0"/>
          <w:sz w:val="28"/>
          <w:szCs w:val="28"/>
          <w:highlight w:val="none"/>
        </w:rPr>
      </w:pPr>
      <w:r>
        <w:rPr>
          <w:rFonts w:hint="eastAsia" w:ascii="仿宋" w:hAnsi="仿宋" w:eastAsia="仿宋" w:cs="仿宋"/>
          <w:b/>
          <w:color w:val="auto"/>
          <w:sz w:val="28"/>
          <w:szCs w:val="28"/>
          <w:highlight w:val="none"/>
          <w:lang w:val="en-US" w:eastAsia="zh-CN"/>
        </w:rPr>
        <w:t>十一</w:t>
      </w:r>
      <w:r>
        <w:rPr>
          <w:rFonts w:hint="eastAsia" w:ascii="仿宋" w:hAnsi="仿宋" w:eastAsia="仿宋" w:cs="仿宋"/>
          <w:b/>
          <w:color w:val="auto"/>
          <w:sz w:val="28"/>
          <w:szCs w:val="28"/>
          <w:highlight w:val="none"/>
        </w:rPr>
        <w:t>、</w:t>
      </w:r>
      <w:r>
        <w:rPr>
          <w:rFonts w:hint="eastAsia" w:ascii="仿宋" w:hAnsi="仿宋" w:eastAsia="仿宋" w:cs="仿宋"/>
          <w:b/>
          <w:bCs/>
          <w:color w:val="auto"/>
          <w:kern w:val="0"/>
          <w:sz w:val="28"/>
          <w:szCs w:val="28"/>
          <w:highlight w:val="none"/>
        </w:rPr>
        <w:t>争议解决</w:t>
      </w:r>
    </w:p>
    <w:p w14:paraId="05FA8023">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因本合同或与本合同有关的一切事项发生争议，由双方友好协商解决。协商不成的，任何一方均可选择以下方式解决：</w:t>
      </w:r>
    </w:p>
    <w:p w14:paraId="3B751955">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1.向甲方所在地仲裁委员会申请仲裁。</w:t>
      </w:r>
    </w:p>
    <w:p w14:paraId="3940237F">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2.向甲方所在地人民法院提起诉讼。</w:t>
      </w:r>
    </w:p>
    <w:p w14:paraId="05A70FCD">
      <w:pPr>
        <w:keepNext w:val="0"/>
        <w:keepLines w:val="0"/>
        <w:pageBreakBefore w:val="0"/>
        <w:widowControl w:val="0"/>
        <w:kinsoku/>
        <w:wordWrap/>
        <w:overflowPunct w:val="0"/>
        <w:topLinePunct w:val="0"/>
        <w:autoSpaceDE w:val="0"/>
        <w:autoSpaceDN w:val="0"/>
        <w:bidi w:val="0"/>
        <w:adjustRightInd w:val="0"/>
        <w:snapToGrid w:val="0"/>
        <w:spacing w:line="360" w:lineRule="auto"/>
        <w:ind w:right="0" w:rightChars="0"/>
        <w:jc w:val="both"/>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lang w:val="en-US" w:eastAsia="zh-CN"/>
        </w:rPr>
        <w:t>十二</w:t>
      </w:r>
      <w:r>
        <w:rPr>
          <w:rFonts w:hint="eastAsia" w:ascii="仿宋" w:hAnsi="仿宋" w:eastAsia="仿宋" w:cs="仿宋"/>
          <w:b/>
          <w:color w:val="auto"/>
          <w:sz w:val="28"/>
          <w:szCs w:val="28"/>
          <w:highlight w:val="none"/>
        </w:rPr>
        <w:t>、违约责任</w:t>
      </w:r>
    </w:p>
    <w:p w14:paraId="057D497A">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乙方未依照约定的时间出具监测报告，应当承担违约责任：应急等特殊情况，应当于48小时内出具监测报告而未出具，逾期12小时以内的，甲方有权扣除本次检测费用的10%，逾期24小时以内的，甲方有权扣除本次检测费用的20%，逾期超过24小时的，甲方有权解除本合同；正常情况下，应当于5个工作日内出具监测报告的而未出具，逾期1个工作日内的，甲方有权扣除本次检测费用的10%，逾期2个工作日以内的，甲方有权扣除本次检测费用的20%，逾期超过2个工作日的，甲方有权解除本合同。</w:t>
      </w:r>
    </w:p>
    <w:p w14:paraId="5992FD57">
      <w:pPr>
        <w:keepNext w:val="0"/>
        <w:keepLines w:val="0"/>
        <w:pageBreakBefore w:val="0"/>
        <w:widowControl w:val="0"/>
        <w:kinsoku/>
        <w:wordWrap/>
        <w:overflowPunct w:val="0"/>
        <w:topLinePunct w:val="0"/>
        <w:autoSpaceDE w:val="0"/>
        <w:autoSpaceDN w:val="0"/>
        <w:bidi w:val="0"/>
        <w:adjustRightInd w:val="0"/>
        <w:snapToGrid w:val="0"/>
        <w:spacing w:line="360" w:lineRule="auto"/>
        <w:ind w:right="0" w:rightChars="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甲方依据本条解除合同时，已出具监测报告的检测费用据实结算。</w:t>
      </w:r>
    </w:p>
    <w:p w14:paraId="2614D696">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2.甲乙双方在合同履行过程中如未取得对方的书面同意，一方不能提前解除合同。如果未经对方同意解除合同，应承担违约责任。</w:t>
      </w:r>
    </w:p>
    <w:p w14:paraId="4573ADC3">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b w:val="0"/>
          <w:bCs/>
          <w:color w:val="auto"/>
          <w:sz w:val="28"/>
          <w:szCs w:val="28"/>
          <w:highlight w:val="none"/>
          <w:lang w:val="en-US" w:eastAsia="zh-CN"/>
        </w:rPr>
        <w:t>3.任何一方违反本合同的约定，应承担由此引起的一切经济损失及法律责任（包括但不限于守约方的经济损失、律师费、诉讼费等为实现债权产生的一切费用）。</w:t>
      </w:r>
    </w:p>
    <w:p w14:paraId="2B24A619">
      <w:pPr>
        <w:keepNext w:val="0"/>
        <w:keepLines w:val="0"/>
        <w:pageBreakBefore w:val="0"/>
        <w:widowControl/>
        <w:kinsoku/>
        <w:wordWrap/>
        <w:overflowPunct/>
        <w:topLinePunct w:val="0"/>
        <w:autoSpaceDE w:val="0"/>
        <w:autoSpaceDN w:val="0"/>
        <w:bidi w:val="0"/>
        <w:adjustRightInd w:val="0"/>
        <w:snapToGrid w:val="0"/>
        <w:spacing w:line="360" w:lineRule="auto"/>
        <w:ind w:left="0" w:right="0" w:rightChars="0" w:firstLine="596"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pacing w:val="9"/>
          <w:sz w:val="28"/>
          <w:szCs w:val="28"/>
          <w:highlight w:val="none"/>
        </w:rPr>
        <w:t>4</w:t>
      </w:r>
      <w:r>
        <w:rPr>
          <w:rFonts w:hint="eastAsia" w:ascii="仿宋" w:hAnsi="仿宋" w:eastAsia="仿宋" w:cs="仿宋"/>
          <w:color w:val="auto"/>
          <w:spacing w:val="9"/>
          <w:sz w:val="28"/>
          <w:szCs w:val="28"/>
          <w:highlight w:val="none"/>
          <w:lang w:eastAsia="zh-CN"/>
        </w:rPr>
        <w:t>.</w:t>
      </w:r>
      <w:r>
        <w:rPr>
          <w:rFonts w:hint="eastAsia" w:ascii="仿宋" w:hAnsi="仿宋" w:eastAsia="仿宋" w:cs="仿宋"/>
          <w:color w:val="auto"/>
          <w:spacing w:val="9"/>
          <w:sz w:val="28"/>
          <w:szCs w:val="28"/>
          <w:highlight w:val="none"/>
        </w:rPr>
        <w:t>未经甲方同意，乙方不得擅自将本合同服务转包第三方承担。</w:t>
      </w:r>
    </w:p>
    <w:p w14:paraId="4958720F">
      <w:pPr>
        <w:keepNext w:val="0"/>
        <w:keepLines w:val="0"/>
        <w:pageBreakBefore w:val="0"/>
        <w:widowControl w:val="0"/>
        <w:kinsoku/>
        <w:wordWrap/>
        <w:overflowPunct w:val="0"/>
        <w:topLinePunct w:val="0"/>
        <w:bidi w:val="0"/>
        <w:adjustRightInd w:val="0"/>
        <w:spacing w:line="360" w:lineRule="auto"/>
        <w:ind w:right="0" w:rightChars="0"/>
        <w:jc w:val="both"/>
        <w:rPr>
          <w:rFonts w:hint="eastAsia" w:ascii="仿宋" w:hAnsi="仿宋" w:eastAsia="仿宋" w:cs="仿宋"/>
          <w:b/>
          <w:bCs/>
          <w:color w:val="auto"/>
          <w:sz w:val="28"/>
          <w:szCs w:val="28"/>
          <w:highlight w:val="none"/>
        </w:rPr>
      </w:pPr>
      <w:r>
        <w:rPr>
          <w:rFonts w:hint="eastAsia" w:ascii="仿宋" w:hAnsi="仿宋" w:eastAsia="仿宋" w:cs="仿宋"/>
          <w:b/>
          <w:bCs/>
          <w:color w:val="auto"/>
          <w:kern w:val="0"/>
          <w:sz w:val="28"/>
          <w:szCs w:val="28"/>
          <w:highlight w:val="none"/>
          <w:lang w:val="en-US" w:eastAsia="zh-CN"/>
        </w:rPr>
        <w:t>十三、</w:t>
      </w:r>
      <w:r>
        <w:rPr>
          <w:rFonts w:hint="eastAsia" w:ascii="仿宋" w:hAnsi="仿宋" w:eastAsia="仿宋" w:cs="仿宋"/>
          <w:b/>
          <w:bCs/>
          <w:color w:val="auto"/>
          <w:kern w:val="0"/>
          <w:sz w:val="28"/>
          <w:szCs w:val="28"/>
          <w:highlight w:val="none"/>
        </w:rPr>
        <w:fldChar w:fldCharType="begin"/>
      </w:r>
      <w:r>
        <w:rPr>
          <w:rFonts w:hint="eastAsia" w:ascii="仿宋" w:hAnsi="仿宋" w:eastAsia="仿宋" w:cs="仿宋"/>
          <w:b/>
          <w:bCs/>
          <w:color w:val="auto"/>
          <w:kern w:val="0"/>
          <w:sz w:val="28"/>
          <w:szCs w:val="28"/>
          <w:highlight w:val="none"/>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bCs/>
          <w:color w:val="auto"/>
          <w:kern w:val="0"/>
          <w:sz w:val="28"/>
          <w:szCs w:val="28"/>
          <w:highlight w:val="none"/>
        </w:rPr>
        <w:fldChar w:fldCharType="separate"/>
      </w:r>
      <w:r>
        <w:rPr>
          <w:rFonts w:hint="eastAsia" w:ascii="仿宋" w:hAnsi="仿宋" w:eastAsia="仿宋" w:cs="仿宋"/>
          <w:b/>
          <w:bCs/>
          <w:color w:val="auto"/>
          <w:kern w:val="0"/>
          <w:sz w:val="28"/>
          <w:szCs w:val="28"/>
          <w:highlight w:val="none"/>
        </w:rPr>
        <w:t>不可抗力</w:t>
      </w:r>
      <w:r>
        <w:rPr>
          <w:rFonts w:hint="eastAsia" w:ascii="仿宋" w:hAnsi="仿宋" w:eastAsia="仿宋" w:cs="仿宋"/>
          <w:b/>
          <w:bCs/>
          <w:color w:val="auto"/>
          <w:kern w:val="0"/>
          <w:sz w:val="28"/>
          <w:szCs w:val="28"/>
          <w:highlight w:val="none"/>
        </w:rPr>
        <w:fldChar w:fldCharType="end"/>
      </w:r>
    </w:p>
    <w:p w14:paraId="4B764FA4">
      <w:pPr>
        <w:keepNext w:val="0"/>
        <w:keepLines w:val="0"/>
        <w:pageBreakBefore w:val="0"/>
        <w:kinsoku/>
        <w:wordWrap/>
        <w:overflowPunct/>
        <w:topLinePunct w:val="0"/>
        <w:bidi w:val="0"/>
        <w:adjustRightInd/>
        <w:spacing w:line="360" w:lineRule="auto"/>
        <w:ind w:left="0" w:right="0" w:rightChars="0" w:firstLine="560" w:firstLineChars="200"/>
        <w:rPr>
          <w:rFonts w:hint="eastAsia" w:ascii="仿宋" w:hAnsi="仿宋" w:eastAsia="仿宋" w:cs="仿宋"/>
          <w:b/>
          <w:bCs/>
          <w:color w:val="auto"/>
          <w:kern w:val="0"/>
          <w:sz w:val="28"/>
          <w:szCs w:val="28"/>
          <w:highlight w:val="none"/>
        </w:rPr>
      </w:pPr>
      <w:r>
        <w:rPr>
          <w:rFonts w:hint="eastAsia" w:ascii="仿宋_GB2312" w:hAnsi="仿宋_GB2312" w:eastAsia="仿宋_GB2312" w:cs="仿宋_GB2312"/>
          <w:color w:val="auto"/>
          <w:sz w:val="28"/>
          <w:szCs w:val="28"/>
          <w:highlight w:val="none"/>
          <w:lang w:eastAsia="zh-CN"/>
        </w:rPr>
        <w:t>甲乙双方任何一方由于</w:t>
      </w:r>
      <w:r>
        <w:rPr>
          <w:rFonts w:hint="eastAsia" w:ascii="仿宋_GB2312" w:hAnsi="仿宋_GB2312" w:eastAsia="仿宋_GB2312" w:cs="仿宋_GB2312"/>
          <w:color w:val="auto"/>
          <w:sz w:val="28"/>
          <w:szCs w:val="28"/>
          <w:highlight w:val="none"/>
          <w:lang w:eastAsia="zh-CN"/>
        </w:rPr>
        <w:fldChar w:fldCharType="begin"/>
      </w:r>
      <w:r>
        <w:rPr>
          <w:rFonts w:hint="eastAsia" w:ascii="仿宋_GB2312" w:hAnsi="仿宋_GB2312" w:eastAsia="仿宋_GB2312" w:cs="仿宋_GB2312"/>
          <w:color w:val="auto"/>
          <w:sz w:val="28"/>
          <w:szCs w:val="28"/>
          <w:highlight w:val="none"/>
          <w:lang w:eastAsia="zh-CN"/>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_GB2312" w:hAnsi="仿宋_GB2312" w:eastAsia="仿宋_GB2312" w:cs="仿宋_GB2312"/>
          <w:color w:val="auto"/>
          <w:sz w:val="28"/>
          <w:szCs w:val="28"/>
          <w:highlight w:val="none"/>
          <w:lang w:eastAsia="zh-CN"/>
        </w:rPr>
        <w:fldChar w:fldCharType="separate"/>
      </w:r>
      <w:r>
        <w:rPr>
          <w:rFonts w:hint="eastAsia" w:ascii="仿宋_GB2312" w:hAnsi="仿宋_GB2312" w:eastAsia="仿宋_GB2312" w:cs="仿宋_GB2312"/>
          <w:color w:val="auto"/>
          <w:sz w:val="28"/>
          <w:szCs w:val="28"/>
          <w:highlight w:val="none"/>
          <w:lang w:eastAsia="zh-CN"/>
        </w:rPr>
        <w:t>不可抗力</w:t>
      </w:r>
      <w:r>
        <w:rPr>
          <w:rFonts w:hint="eastAsia" w:ascii="仿宋_GB2312" w:hAnsi="仿宋_GB2312" w:eastAsia="仿宋_GB2312" w:cs="仿宋_GB2312"/>
          <w:color w:val="auto"/>
          <w:sz w:val="28"/>
          <w:szCs w:val="28"/>
          <w:highlight w:val="none"/>
          <w:lang w:eastAsia="zh-CN"/>
        </w:rPr>
        <w:fldChar w:fldCharType="end"/>
      </w:r>
      <w:r>
        <w:rPr>
          <w:rFonts w:hint="eastAsia" w:ascii="仿宋_GB2312" w:hAnsi="仿宋_GB2312" w:eastAsia="仿宋_GB2312" w:cs="仿宋_GB2312"/>
          <w:color w:val="auto"/>
          <w:sz w:val="28"/>
          <w:szCs w:val="28"/>
          <w:highlight w:val="none"/>
          <w:lang w:eastAsia="zh-CN"/>
        </w:rPr>
        <w:t>原因不能履行合同时，应及时向对</w:t>
      </w:r>
      <w:r>
        <w:rPr>
          <w:rFonts w:hint="eastAsia" w:ascii="仿宋_GB2312" w:hAnsi="仿宋_GB2312" w:eastAsia="仿宋_GB2312" w:cs="仿宋_GB2312"/>
          <w:color w:val="auto"/>
          <w:sz w:val="28"/>
          <w:szCs w:val="28"/>
          <w:highlight w:val="none"/>
          <w:lang w:eastAsia="zh-CN"/>
        </w:rPr>
        <w:fldChar w:fldCharType="begin"/>
      </w:r>
      <w:r>
        <w:rPr>
          <w:rFonts w:hint="eastAsia" w:ascii="仿宋_GB2312" w:hAnsi="仿宋_GB2312" w:eastAsia="仿宋_GB2312" w:cs="仿宋_GB2312"/>
          <w:color w:val="auto"/>
          <w:sz w:val="28"/>
          <w:szCs w:val="28"/>
          <w:highlight w:val="none"/>
          <w:lang w:eastAsia="zh-CN"/>
        </w:rPr>
        <w:instrText xml:space="preserve">HYPERLINK "http://set2.mail.qq.com/cgi-bin/mail_spam?action=check_link&amp;spam=0&amp;url=http%3A%2F%2Fwww%2Ebaidu%2Ecom%2Fs%3Fwd%3D%25E6%2596%25B9%25E9%2580%259A%26hl_tag%3Dtextlink%26tn%3DSE_hldp01350_v6v6zkg6"</w:instrText>
      </w:r>
      <w:r>
        <w:rPr>
          <w:rFonts w:hint="eastAsia" w:ascii="仿宋_GB2312" w:hAnsi="仿宋_GB2312" w:eastAsia="仿宋_GB2312" w:cs="仿宋_GB2312"/>
          <w:color w:val="auto"/>
          <w:sz w:val="28"/>
          <w:szCs w:val="28"/>
          <w:highlight w:val="none"/>
          <w:lang w:eastAsia="zh-CN"/>
        </w:rPr>
        <w:fldChar w:fldCharType="separate"/>
      </w:r>
      <w:r>
        <w:rPr>
          <w:rFonts w:hint="eastAsia" w:ascii="仿宋_GB2312" w:hAnsi="仿宋_GB2312" w:eastAsia="仿宋_GB2312" w:cs="仿宋_GB2312"/>
          <w:color w:val="auto"/>
          <w:sz w:val="28"/>
          <w:szCs w:val="28"/>
          <w:highlight w:val="none"/>
          <w:lang w:eastAsia="zh-CN"/>
        </w:rPr>
        <w:t>方通</w:t>
      </w:r>
      <w:r>
        <w:rPr>
          <w:rFonts w:hint="eastAsia" w:ascii="仿宋_GB2312" w:hAnsi="仿宋_GB2312" w:eastAsia="仿宋_GB2312" w:cs="仿宋_GB2312"/>
          <w:color w:val="auto"/>
          <w:sz w:val="28"/>
          <w:szCs w:val="28"/>
          <w:highlight w:val="none"/>
          <w:lang w:eastAsia="zh-CN"/>
        </w:rPr>
        <w:fldChar w:fldCharType="end"/>
      </w:r>
      <w:r>
        <w:rPr>
          <w:rFonts w:hint="eastAsia" w:ascii="仿宋_GB2312" w:hAnsi="仿宋_GB2312" w:eastAsia="仿宋_GB2312" w:cs="仿宋_GB2312"/>
          <w:color w:val="auto"/>
          <w:sz w:val="28"/>
          <w:szCs w:val="28"/>
          <w:highlight w:val="none"/>
          <w:lang w:eastAsia="zh-CN"/>
        </w:rPr>
        <w:t>报不能履行或不能完全履行的理由，以减轻可能给对方造成的损失，在取得有关机构证明后，允许延期履行、部分履行或不履行合同，并根据情况可部分或全部免予承担</w:t>
      </w:r>
      <w:r>
        <w:rPr>
          <w:rFonts w:hint="eastAsia" w:ascii="仿宋_GB2312" w:hAnsi="仿宋_GB2312" w:eastAsia="仿宋_GB2312" w:cs="仿宋_GB2312"/>
          <w:color w:val="auto"/>
          <w:sz w:val="28"/>
          <w:szCs w:val="28"/>
          <w:highlight w:val="none"/>
          <w:lang w:eastAsia="zh-CN"/>
        </w:rPr>
        <w:fldChar w:fldCharType="begin"/>
      </w:r>
      <w:r>
        <w:rPr>
          <w:rFonts w:hint="eastAsia" w:ascii="仿宋_GB2312" w:hAnsi="仿宋_GB2312" w:eastAsia="仿宋_GB2312" w:cs="仿宋_GB2312"/>
          <w:color w:val="auto"/>
          <w:sz w:val="28"/>
          <w:szCs w:val="28"/>
          <w:highlight w:val="none"/>
          <w:lang w:eastAsia="zh-CN"/>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_GB2312" w:hAnsi="仿宋_GB2312" w:eastAsia="仿宋_GB2312" w:cs="仿宋_GB2312"/>
          <w:color w:val="auto"/>
          <w:sz w:val="28"/>
          <w:szCs w:val="28"/>
          <w:highlight w:val="none"/>
          <w:lang w:eastAsia="zh-CN"/>
        </w:rPr>
        <w:fldChar w:fldCharType="separate"/>
      </w:r>
      <w:r>
        <w:rPr>
          <w:rFonts w:hint="eastAsia" w:ascii="仿宋_GB2312" w:hAnsi="仿宋_GB2312" w:eastAsia="仿宋_GB2312" w:cs="仿宋_GB2312"/>
          <w:color w:val="auto"/>
          <w:sz w:val="28"/>
          <w:szCs w:val="28"/>
          <w:highlight w:val="none"/>
          <w:lang w:eastAsia="zh-CN"/>
        </w:rPr>
        <w:t>违约责任</w:t>
      </w:r>
      <w:r>
        <w:rPr>
          <w:rFonts w:hint="eastAsia" w:ascii="仿宋_GB2312" w:hAnsi="仿宋_GB2312" w:eastAsia="仿宋_GB2312" w:cs="仿宋_GB2312"/>
          <w:color w:val="auto"/>
          <w:sz w:val="28"/>
          <w:szCs w:val="28"/>
          <w:highlight w:val="none"/>
          <w:lang w:eastAsia="zh-CN"/>
        </w:rPr>
        <w:fldChar w:fldCharType="end"/>
      </w:r>
      <w:r>
        <w:rPr>
          <w:rFonts w:hint="eastAsia" w:ascii="仿宋_GB2312" w:hAnsi="仿宋_GB2312" w:eastAsia="仿宋_GB2312" w:cs="仿宋_GB2312"/>
          <w:color w:val="auto"/>
          <w:sz w:val="28"/>
          <w:szCs w:val="28"/>
          <w:highlight w:val="none"/>
          <w:lang w:eastAsia="zh-CN"/>
        </w:rPr>
        <w:t>。</w:t>
      </w:r>
    </w:p>
    <w:p w14:paraId="7BE02346">
      <w:pPr>
        <w:keepNext w:val="0"/>
        <w:keepLines w:val="0"/>
        <w:pageBreakBefore w:val="0"/>
        <w:widowControl w:val="0"/>
        <w:kinsoku/>
        <w:wordWrap/>
        <w:overflowPunct w:val="0"/>
        <w:topLinePunct w:val="0"/>
        <w:autoSpaceDE w:val="0"/>
        <w:autoSpaceDN w:val="0"/>
        <w:bidi w:val="0"/>
        <w:adjustRightInd w:val="0"/>
        <w:snapToGrid w:val="0"/>
        <w:spacing w:line="360" w:lineRule="auto"/>
        <w:ind w:right="0" w:rightChars="0"/>
        <w:jc w:val="both"/>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十</w:t>
      </w:r>
      <w:r>
        <w:rPr>
          <w:rFonts w:hint="eastAsia" w:ascii="仿宋" w:hAnsi="仿宋" w:eastAsia="仿宋" w:cs="仿宋"/>
          <w:b/>
          <w:bCs/>
          <w:color w:val="auto"/>
          <w:kern w:val="0"/>
          <w:sz w:val="28"/>
          <w:szCs w:val="28"/>
          <w:highlight w:val="none"/>
          <w:lang w:val="en-US" w:eastAsia="zh-CN"/>
        </w:rPr>
        <w:t>四</w:t>
      </w:r>
      <w:r>
        <w:rPr>
          <w:rFonts w:hint="eastAsia" w:ascii="仿宋" w:hAnsi="仿宋" w:eastAsia="仿宋" w:cs="仿宋"/>
          <w:b/>
          <w:bCs/>
          <w:color w:val="auto"/>
          <w:kern w:val="0"/>
          <w:sz w:val="28"/>
          <w:szCs w:val="28"/>
          <w:highlight w:val="none"/>
        </w:rPr>
        <w:t>、</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kern w:val="0"/>
          <w:sz w:val="28"/>
          <w:szCs w:val="28"/>
          <w:highlight w:val="none"/>
        </w:rPr>
        <w:t>无效合同</w:t>
      </w:r>
      <w:r>
        <w:rPr>
          <w:rFonts w:hint="eastAsia" w:ascii="仿宋" w:hAnsi="仿宋" w:eastAsia="仿宋" w:cs="仿宋"/>
          <w:b/>
          <w:bCs/>
          <w:color w:val="auto"/>
          <w:kern w:val="0"/>
          <w:sz w:val="28"/>
          <w:szCs w:val="28"/>
          <w:highlight w:val="none"/>
        </w:rPr>
        <w:fldChar w:fldCharType="end"/>
      </w:r>
    </w:p>
    <w:p w14:paraId="30D42AFA">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b/>
          <w:color w:val="auto"/>
          <w:sz w:val="28"/>
          <w:szCs w:val="28"/>
          <w:highlight w:val="none"/>
        </w:rPr>
      </w:pPr>
      <w:r>
        <w:rPr>
          <w:rFonts w:hint="eastAsia" w:ascii="仿宋" w:hAnsi="仿宋" w:eastAsia="仿宋" w:cs="仿宋"/>
          <w:color w:val="auto"/>
          <w:kern w:val="0"/>
          <w:sz w:val="28"/>
          <w:szCs w:val="28"/>
          <w:highlight w:val="none"/>
        </w:rPr>
        <w:t>甲乙双方如因违反政府采购法及相关法律法规的规定，被宣告</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kern w:val="0"/>
          <w:sz w:val="28"/>
          <w:szCs w:val="28"/>
          <w:highlight w:val="none"/>
        </w:rPr>
        <w:t>合同无效</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的，一切责任概由过错方自行承担。</w:t>
      </w:r>
    </w:p>
    <w:p w14:paraId="041421C2">
      <w:pPr>
        <w:keepNext w:val="0"/>
        <w:keepLines w:val="0"/>
        <w:pageBreakBefore w:val="0"/>
        <w:widowControl w:val="0"/>
        <w:kinsoku/>
        <w:wordWrap/>
        <w:overflowPunct w:val="0"/>
        <w:topLinePunct w:val="0"/>
        <w:bidi w:val="0"/>
        <w:adjustRightInd w:val="0"/>
        <w:spacing w:line="360" w:lineRule="auto"/>
        <w:ind w:right="0" w:rightChars="0"/>
        <w:jc w:val="both"/>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十五、</w:t>
      </w:r>
      <w:r>
        <w:rPr>
          <w:rFonts w:hint="eastAsia" w:ascii="仿宋" w:hAnsi="仿宋" w:eastAsia="仿宋" w:cs="仿宋"/>
          <w:b/>
          <w:bCs w:val="0"/>
          <w:color w:val="auto"/>
          <w:sz w:val="28"/>
          <w:szCs w:val="28"/>
          <w:highlight w:val="none"/>
        </w:rPr>
        <w:t>监督和管理</w:t>
      </w:r>
    </w:p>
    <w:p w14:paraId="71802E09">
      <w:pPr>
        <w:keepNext w:val="0"/>
        <w:keepLines w:val="0"/>
        <w:pageBreakBefore w:val="0"/>
        <w:kinsoku/>
        <w:wordWrap/>
        <w:overflowPunct/>
        <w:topLinePunct w:val="0"/>
        <w:bidi w:val="0"/>
        <w:adjustRightInd/>
        <w:spacing w:line="360" w:lineRule="auto"/>
        <w:ind w:left="0" w:right="0" w:rightChars="0"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CE51367">
      <w:pPr>
        <w:keepNext w:val="0"/>
        <w:keepLines w:val="0"/>
        <w:pageBreakBefore w:val="0"/>
        <w:kinsoku/>
        <w:wordWrap/>
        <w:overflowPunct/>
        <w:topLinePunct w:val="0"/>
        <w:bidi w:val="0"/>
        <w:adjustRightInd/>
        <w:spacing w:line="360" w:lineRule="auto"/>
        <w:ind w:left="0" w:right="0" w:rightChars="0" w:firstLine="560" w:firstLineChars="200"/>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2.甲乙双方均应自觉配合有关监督管理部门对</w:t>
      </w:r>
      <w:r>
        <w:rPr>
          <w:rFonts w:hint="eastAsia" w:ascii="仿宋_GB2312" w:hAnsi="仿宋_GB2312" w:eastAsia="仿宋_GB2312" w:cs="仿宋_GB2312"/>
          <w:color w:val="auto"/>
          <w:sz w:val="28"/>
          <w:szCs w:val="28"/>
          <w:highlight w:val="none"/>
          <w:lang w:eastAsia="zh-CN"/>
        </w:rPr>
        <w:fldChar w:fldCharType="begin"/>
      </w:r>
      <w:r>
        <w:rPr>
          <w:rFonts w:hint="eastAsia" w:ascii="仿宋_GB2312" w:hAnsi="仿宋_GB2312" w:eastAsia="仿宋_GB2312" w:cs="仿宋_GB2312"/>
          <w:color w:val="auto"/>
          <w:sz w:val="28"/>
          <w:szCs w:val="28"/>
          <w:highlight w:val="none"/>
          <w:lang w:eastAsia="zh-CN"/>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_GB2312" w:hAnsi="仿宋_GB2312" w:eastAsia="仿宋_GB2312" w:cs="仿宋_GB2312"/>
          <w:color w:val="auto"/>
          <w:sz w:val="28"/>
          <w:szCs w:val="28"/>
          <w:highlight w:val="none"/>
          <w:lang w:eastAsia="zh-CN"/>
        </w:rPr>
        <w:fldChar w:fldCharType="separate"/>
      </w:r>
      <w:r>
        <w:rPr>
          <w:rFonts w:hint="eastAsia" w:ascii="仿宋_GB2312" w:hAnsi="仿宋_GB2312" w:eastAsia="仿宋_GB2312" w:cs="仿宋_GB2312"/>
          <w:color w:val="auto"/>
          <w:sz w:val="28"/>
          <w:szCs w:val="28"/>
          <w:highlight w:val="none"/>
          <w:lang w:eastAsia="zh-CN"/>
        </w:rPr>
        <w:t>合同履行</w:t>
      </w:r>
      <w:r>
        <w:rPr>
          <w:rFonts w:hint="eastAsia" w:ascii="仿宋_GB2312" w:hAnsi="仿宋_GB2312" w:eastAsia="仿宋_GB2312" w:cs="仿宋_GB2312"/>
          <w:color w:val="auto"/>
          <w:sz w:val="28"/>
          <w:szCs w:val="28"/>
          <w:highlight w:val="none"/>
          <w:lang w:eastAsia="zh-CN"/>
        </w:rPr>
        <w:fldChar w:fldCharType="end"/>
      </w:r>
      <w:r>
        <w:rPr>
          <w:rFonts w:hint="eastAsia" w:ascii="仿宋_GB2312" w:hAnsi="仿宋_GB2312" w:eastAsia="仿宋_GB2312" w:cs="仿宋_GB2312"/>
          <w:color w:val="auto"/>
          <w:sz w:val="28"/>
          <w:szCs w:val="28"/>
          <w:highlight w:val="none"/>
          <w:lang w:eastAsia="zh-CN"/>
        </w:rPr>
        <w:t>情况的监督检查，如实反映情况，提供有关资料；否则，将对有关单位、当事人按照有关规定予以处罚。</w:t>
      </w:r>
    </w:p>
    <w:p w14:paraId="7E57B5E2">
      <w:pPr>
        <w:keepNext w:val="0"/>
        <w:keepLines w:val="0"/>
        <w:pageBreakBefore w:val="0"/>
        <w:kinsoku/>
        <w:wordWrap/>
        <w:overflowPunct w:val="0"/>
        <w:topLinePunct w:val="0"/>
        <w:bidi w:val="0"/>
        <w:adjustRightInd w:val="0"/>
        <w:spacing w:line="360" w:lineRule="auto"/>
        <w:ind w:right="0" w:rightChars="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十六、</w:t>
      </w:r>
      <w:r>
        <w:rPr>
          <w:rFonts w:hint="eastAsia" w:ascii="仿宋" w:hAnsi="仿宋" w:eastAsia="仿宋" w:cs="仿宋"/>
          <w:b/>
          <w:bCs/>
          <w:color w:val="auto"/>
          <w:sz w:val="28"/>
          <w:szCs w:val="28"/>
          <w:highlight w:val="none"/>
        </w:rPr>
        <w:t xml:space="preserve"> 信用融资（如有）</w:t>
      </w:r>
    </w:p>
    <w:p w14:paraId="5C944328">
      <w:pPr>
        <w:pStyle w:val="5"/>
        <w:keepNext w:val="0"/>
        <w:keepLines w:val="0"/>
        <w:pageBreakBefore w:val="0"/>
        <w:widowControl/>
        <w:wordWrap/>
        <w:topLinePunct w:val="0"/>
        <w:bidi w:val="0"/>
        <w:spacing w:line="360" w:lineRule="auto"/>
        <w:ind w:left="0" w:right="0" w:rightChars="0" w:firstLine="560" w:firstLineChars="200"/>
        <w:jc w:val="left"/>
        <w:rPr>
          <w:rFonts w:hint="eastAsia" w:ascii="仿宋_GB2312" w:hAnsi="仿宋_GB2312" w:eastAsia="仿宋_GB2312" w:cs="仿宋_GB2312"/>
          <w:b w:val="0"/>
          <w:bCs w:val="0"/>
          <w:snapToGrid w:val="0"/>
          <w:color w:val="auto"/>
          <w:sz w:val="28"/>
          <w:szCs w:val="28"/>
          <w:highlight w:val="none"/>
          <w:u w:val="single"/>
        </w:rPr>
      </w:pPr>
      <w:r>
        <w:rPr>
          <w:rFonts w:hint="eastAsia" w:ascii="仿宋_GB2312" w:hAnsi="仿宋_GB2312" w:eastAsia="仿宋_GB2312" w:cs="仿宋_GB2312"/>
          <w:b w:val="0"/>
          <w:bCs w:val="0"/>
          <w:snapToGrid w:val="0"/>
          <w:color w:val="auto"/>
          <w:kern w:val="0"/>
          <w:sz w:val="28"/>
          <w:szCs w:val="28"/>
          <w:highlight w:val="none"/>
        </w:rPr>
        <w:t>银行名称：</w:t>
      </w:r>
      <w:r>
        <w:rPr>
          <w:rFonts w:hint="eastAsia" w:ascii="仿宋_GB2312" w:hAnsi="仿宋_GB2312" w:eastAsia="仿宋_GB2312" w:cs="仿宋_GB2312"/>
          <w:b w:val="0"/>
          <w:bCs w:val="0"/>
          <w:snapToGrid w:val="0"/>
          <w:color w:val="auto"/>
          <w:kern w:val="0"/>
          <w:sz w:val="28"/>
          <w:szCs w:val="28"/>
          <w:highlight w:val="none"/>
          <w:u w:val="single"/>
        </w:rPr>
        <w:t xml:space="preserve">          </w:t>
      </w:r>
      <w:r>
        <w:rPr>
          <w:rFonts w:hint="eastAsia" w:ascii="仿宋_GB2312" w:hAnsi="仿宋_GB2312" w:eastAsia="仿宋_GB2312" w:cs="仿宋_GB2312"/>
          <w:b w:val="0"/>
          <w:bCs w:val="0"/>
          <w:snapToGrid w:val="0"/>
          <w:color w:val="auto"/>
          <w:kern w:val="0"/>
          <w:sz w:val="28"/>
          <w:szCs w:val="28"/>
          <w:highlight w:val="none"/>
        </w:rPr>
        <w:t xml:space="preserve"> ，收款账号：</w:t>
      </w:r>
      <w:r>
        <w:rPr>
          <w:rFonts w:hint="eastAsia" w:ascii="仿宋_GB2312" w:hAnsi="仿宋_GB2312" w:eastAsia="仿宋_GB2312" w:cs="仿宋_GB2312"/>
          <w:b w:val="0"/>
          <w:bCs w:val="0"/>
          <w:snapToGrid w:val="0"/>
          <w:color w:val="auto"/>
          <w:kern w:val="0"/>
          <w:sz w:val="28"/>
          <w:szCs w:val="28"/>
          <w:highlight w:val="none"/>
          <w:u w:val="single"/>
        </w:rPr>
        <w:t xml:space="preserve">        </w:t>
      </w:r>
    </w:p>
    <w:p w14:paraId="4288C7F5">
      <w:pPr>
        <w:keepNext w:val="0"/>
        <w:keepLines w:val="0"/>
        <w:pageBreakBefore w:val="0"/>
        <w:widowControl w:val="0"/>
        <w:kinsoku/>
        <w:wordWrap/>
        <w:overflowPunct w:val="0"/>
        <w:topLinePunct w:val="0"/>
        <w:autoSpaceDE w:val="0"/>
        <w:autoSpaceDN w:val="0"/>
        <w:bidi w:val="0"/>
        <w:adjustRightInd w:val="0"/>
        <w:snapToGrid w:val="0"/>
        <w:spacing w:line="360" w:lineRule="auto"/>
        <w:ind w:right="0" w:rightChars="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w:t>
      </w: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rPr>
        <w:t>、合同生效</w:t>
      </w:r>
    </w:p>
    <w:p w14:paraId="42B87C3B">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（一）本合同须经甲、乙双方的法定代表人（授权代表）在合同书上签字并加盖本单位公章后正式生效。</w:t>
      </w:r>
    </w:p>
    <w:p w14:paraId="511000D0">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（二）合同生效后，甲、乙双方须严格执行本合同条款的规定，全面履行合同，违者按《中华人民共和国民法典》的有关规定承担相应责任。</w:t>
      </w:r>
    </w:p>
    <w:p w14:paraId="5D90CC51">
      <w:pPr>
        <w:keepNext w:val="0"/>
        <w:keepLines w:val="0"/>
        <w:pageBreakBefore w:val="0"/>
        <w:widowControl w:val="0"/>
        <w:kinsoku/>
        <w:wordWrap/>
        <w:overflowPunct w:val="0"/>
        <w:topLinePunct w:val="0"/>
        <w:autoSpaceDE w:val="0"/>
        <w:autoSpaceDN w:val="0"/>
        <w:bidi w:val="0"/>
        <w:adjustRightInd w:val="0"/>
        <w:snapToGrid w:val="0"/>
        <w:spacing w:line="360" w:lineRule="auto"/>
        <w:ind w:left="0"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（三）本合同一式</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份，甲乙双方各执</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份。政府采购代理机构两份。</w:t>
      </w:r>
    </w:p>
    <w:p w14:paraId="2AFD5C8C">
      <w:pPr>
        <w:keepNext w:val="0"/>
        <w:keepLines w:val="0"/>
        <w:pageBreakBefore w:val="0"/>
        <w:widowControl w:val="0"/>
        <w:kinsoku/>
        <w:wordWrap/>
        <w:overflowPunct w:val="0"/>
        <w:topLinePunct w:val="0"/>
        <w:autoSpaceDE w:val="0"/>
        <w:autoSpaceDN w:val="0"/>
        <w:bidi w:val="0"/>
        <w:adjustRightInd w:val="0"/>
        <w:spacing w:line="360" w:lineRule="auto"/>
        <w:ind w:right="0" w:rightChars="0" w:firstLine="560" w:firstLineChars="2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（四）本合同如有未尽事宜，甲、乙双方协商解决。</w:t>
      </w:r>
    </w:p>
    <w:p w14:paraId="77D2FD7E">
      <w:pPr>
        <w:pStyle w:val="2"/>
        <w:keepNext w:val="0"/>
        <w:keepLines w:val="0"/>
        <w:pageBreakBefore w:val="0"/>
        <w:widowControl w:val="0"/>
        <w:kinsoku/>
        <w:wordWrap/>
        <w:overflowPunct w:val="0"/>
        <w:topLinePunct w:val="0"/>
        <w:autoSpaceDE w:val="0"/>
        <w:autoSpaceDN w:val="0"/>
        <w:bidi w:val="0"/>
        <w:adjustRightInd w:val="0"/>
        <w:spacing w:line="520" w:lineRule="exact"/>
        <w:ind w:left="0" w:right="0" w:rightChars="0"/>
        <w:rPr>
          <w:rFonts w:hint="eastAsia"/>
          <w:color w:val="auto"/>
          <w:highlight w:val="none"/>
        </w:rPr>
      </w:pPr>
    </w:p>
    <w:p w14:paraId="4BD62FE8">
      <w:pPr>
        <w:pStyle w:val="2"/>
        <w:keepNext w:val="0"/>
        <w:keepLines w:val="0"/>
        <w:pageBreakBefore w:val="0"/>
        <w:widowControl w:val="0"/>
        <w:kinsoku/>
        <w:wordWrap/>
        <w:overflowPunct w:val="0"/>
        <w:topLinePunct w:val="0"/>
        <w:autoSpaceDE w:val="0"/>
        <w:autoSpaceDN w:val="0"/>
        <w:bidi w:val="0"/>
        <w:adjustRightInd w:val="0"/>
        <w:spacing w:line="520" w:lineRule="exact"/>
        <w:ind w:left="0" w:right="0" w:rightChars="0"/>
        <w:rPr>
          <w:rFonts w:hint="eastAsia"/>
          <w:color w:val="auto"/>
          <w:highlight w:val="none"/>
        </w:rPr>
      </w:pPr>
    </w:p>
    <w:p w14:paraId="258C4186">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        （公章）  供应商(乙方)：      （公章）</w:t>
      </w:r>
    </w:p>
    <w:p w14:paraId="6BF767F7">
      <w:pPr>
        <w:keepNext w:val="0"/>
        <w:keepLines w:val="0"/>
        <w:pageBreakBefore w:val="0"/>
        <w:kinsoku/>
        <w:wordWrap/>
        <w:overflowPunct w:val="0"/>
        <w:topLinePunct w:val="0"/>
        <w:bidi w:val="0"/>
        <w:spacing w:line="520" w:lineRule="exact"/>
        <w:ind w:left="0" w:right="0" w:rightChars="0"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403B9E3C">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（签字或盖章）或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（签字或盖章）</w:t>
      </w:r>
    </w:p>
    <w:p w14:paraId="0BC7943E">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w:t>
      </w:r>
    </w:p>
    <w:p w14:paraId="7EAD2C95">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账    号：                    账    号：               .</w:t>
      </w:r>
    </w:p>
    <w:p w14:paraId="5ABD8348">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                    电    话：               .</w:t>
      </w:r>
    </w:p>
    <w:p w14:paraId="35ECC0EE">
      <w:pPr>
        <w:keepNext w:val="0"/>
        <w:keepLines w:val="0"/>
        <w:pageBreakBefore w:val="0"/>
        <w:kinsoku/>
        <w:wordWrap/>
        <w:overflowPunct w:val="0"/>
        <w:topLinePunct w:val="0"/>
        <w:bidi w:val="0"/>
        <w:spacing w:line="520" w:lineRule="exact"/>
        <w:ind w:left="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                    地    址：                .</w:t>
      </w:r>
    </w:p>
    <w:p w14:paraId="20C6AC44">
      <w:pPr>
        <w:keepNext w:val="0"/>
        <w:keepLines w:val="0"/>
        <w:pageBreakBefore w:val="0"/>
        <w:kinsoku/>
        <w:wordWrap/>
        <w:overflowPunct w:val="0"/>
        <w:topLinePunct w:val="0"/>
        <w:bidi w:val="0"/>
        <w:spacing w:line="520" w:lineRule="exact"/>
        <w:ind w:left="0" w:right="0" w:rightChars="0" w:firstLine="280" w:firstLineChars="100"/>
        <w:rPr>
          <w:rFonts w:hint="eastAsia"/>
          <w:color w:val="auto"/>
          <w:highlight w:val="none"/>
          <w:lang w:val="en-US" w:eastAsia="zh-Hans"/>
        </w:rPr>
      </w:pPr>
      <w:r>
        <w:rPr>
          <w:rFonts w:hint="eastAsia" w:ascii="仿宋" w:hAnsi="仿宋" w:eastAsia="仿宋" w:cs="仿宋"/>
          <w:color w:val="auto"/>
          <w:sz w:val="28"/>
          <w:szCs w:val="28"/>
          <w:highlight w:val="none"/>
        </w:rPr>
        <w:t>时    间：  年月日        时    间： 年月日</w:t>
      </w:r>
    </w:p>
    <w:p w14:paraId="5C62FDC0"/>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89600"/>
    <w:multiLevelType w:val="singleLevel"/>
    <w:tmpl w:val="8ED896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40F99"/>
    <w:rsid w:val="01926FD9"/>
    <w:rsid w:val="5AA8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3"/>
    <w:basedOn w:val="1"/>
    <w:unhideWhenUsed/>
    <w:qFormat/>
    <w:uiPriority w:val="99"/>
    <w:pPr>
      <w:spacing w:after="120"/>
    </w:pPr>
    <w:rPr>
      <w:sz w:val="16"/>
      <w:szCs w:val="16"/>
    </w:r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 w:type="paragraph" w:styleId="5">
    <w:name w:val="Body Text First Indent"/>
    <w:basedOn w:val="4"/>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4114</Words>
  <Characters>4220</Characters>
  <Lines>0</Lines>
  <Paragraphs>0</Paragraphs>
  <TotalTime>0</TotalTime>
  <ScaleCrop>false</ScaleCrop>
  <LinksUpToDate>false</LinksUpToDate>
  <CharactersWithSpaces>4663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2026-06-24T05:20:00Z</dcterms:created>
  <dc:creator>Administrator</dc:creator>
  <cp:lastModifiedBy>七安</cp:lastModifiedBy>
  <dcterms:modified xsi:type="dcterms:W3CDTF">2026-06-24T05:30:03Z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926C80DA200C46D398CE3F874457EC0E_12</vt:lpwstr>
  </property>
</Properties>
</file>