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版本号：DS2026-CS-03220260814001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高新区安置房项目剩余房源、经营性用房、配套商业设施及地下车位等资产评估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DS2026-CS-032</w:t>
      </w:r>
      <w:r>
        <w:br/>
      </w:r>
      <w:r>
        <w:br/>
      </w:r>
      <w:r>
        <w:br/>
      </w:r>
    </w:p>
    <w:p>
      <w:pPr>
        <w:pStyle w:val="null3"/>
        <w:jc w:val="center"/>
        <w:outlineLvl w:val="2"/>
      </w:pPr>
      <w:r>
        <w:rPr>
          <w:rFonts w:ascii="仿宋_GB2312" w:hAnsi="仿宋_GB2312" w:cs="仿宋_GB2312" w:eastAsia="仿宋_GB2312"/>
          <w:sz w:val="28"/>
          <w:b/>
        </w:rPr>
        <w:t>西安高新技术产业开发区城市更新发展服务中心</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委托，拟对</w:t>
      </w:r>
      <w:r>
        <w:rPr>
          <w:rFonts w:ascii="仿宋_GB2312" w:hAnsi="仿宋_GB2312" w:cs="仿宋_GB2312" w:eastAsia="仿宋_GB2312"/>
        </w:rPr>
        <w:t>高新区安置房项目剩余房源、经营性用房、配套商业设施及地下车位等资产评估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DS2026-CS-032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高新区安置房项目剩余房源、经营性用房、配套商业设施及地下车位等资产评估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拟对西安市高新辖区内涉及的安置房剩余房源、经营性用房、配套商业设施及地下车位等资产进行价值评估。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采购包1（高新区安置房项目剩余房源、经营性用房、配套商业设施及地下车位等资产评估）：属于专门面向中小企业采购。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2、供应商特定资格要求：未被列入“信用中国”及“中国政府采购网”失信行为记录。</w:t>
      </w:r>
    </w:p>
    <w:p>
      <w:pPr>
        <w:pStyle w:val="null3"/>
      </w:pPr>
      <w:r>
        <w:rPr>
          <w:rFonts w:ascii="仿宋_GB2312" w:hAnsi="仿宋_GB2312" w:cs="仿宋_GB2312" w:eastAsia="仿宋_GB2312"/>
        </w:rPr>
        <w:t>3、供应商特定资格要求：供应商须具备有效的二级（含二级）以上房地产估价机构备案证书。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西安高新区西太路2号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王思凡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13609169938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秦刚、张栋栋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投标服务及货物不会出现因第三方提出侵犯其专利权、商标权或其它知识产权而引发法律或经济纠纷，否则由供应商承担全部责任。任何被供应商用于未经授权的商业目的行为所造成的违约或侵权责任由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联系人：张栋栋</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地址：陕西省西安市雁塔区科技西路2825号绿地鸿海大厦7幢20704室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拟对西安市高新辖区内涉及的安置房剩余房源、经营性用房、配套商业设施及地下车位等资产进行价值评估。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高新区安置房项目剩余房源、经营性用房、配套商业设施及地下车位等资产评估</w:t>
            </w:r>
          </w:p>
        </w:tc>
        <w:tc>
          <w:tcPr>
            <w:tcW w:type="dxa" w:w="755"/>
          </w:tcPr>
          <w:p>
            <w:pPr>
              <w:pStyle w:val="null3"/>
              <w:jc w:val="right"/>
            </w:pPr>
            <w:r>
              <w:rPr>
                <w:rFonts w:ascii="仿宋_GB2312" w:hAnsi="仿宋_GB2312" w:cs="仿宋_GB2312" w:eastAsia="仿宋_GB2312"/>
              </w:rPr>
              <w:t>36.00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标的名称：高新区安置房项目剩余房源、经营性用房、配套商业设施及地下车位等资产评估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1"/>
              <w:gridCol w:w="353"/>
              <w:gridCol w:w="1938"/>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项目内容</w:t>
                  </w:r>
                </w:p>
              </w:tc>
              <w:tc>
                <w:tcPr>
                  <w:tcW w:type="dxa" w:w="1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具体采购需求和服务要求</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总体服务</w:t>
                  </w:r>
                </w:p>
                <w:p>
                  <w:pPr>
                    <w:pStyle w:val="null3"/>
                    <w:jc w:val="center"/>
                  </w:pPr>
                  <w:r>
                    <w:rPr>
                      <w:rFonts w:ascii="仿宋_GB2312" w:hAnsi="仿宋_GB2312" w:cs="仿宋_GB2312" w:eastAsia="仿宋_GB2312"/>
                      <w:sz w:val="21"/>
                      <w:b/>
                      <w:color w:val="000000"/>
                    </w:rPr>
                    <w:t>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本次项目为安置房源及周边配套价值专项评估服务，服务单位需严格遵守国有资产评估、不动产评估相关法律法规、行业标准及甲方管理规定，全面、精准、合规完成本次安置房源权属状况、房屋价值、小区配套、区位价值、周边公共配套设施价值等全维度评估工作，确保评估结果真实有效、公允合理，可作为安置房源定价、安置补偿、资产核算、项目报批的合法有效依据。</w:t>
                  </w:r>
                </w:p>
                <w:p>
                  <w:pPr>
                    <w:pStyle w:val="null3"/>
                    <w:numPr>
                      <w:ilvl w:val="0"/>
                      <w:numId w:val="1"/>
                    </w:numPr>
                    <w:jc w:val="both"/>
                  </w:pPr>
                  <w:r>
                    <w:rPr>
                      <w:rFonts w:ascii="仿宋_GB2312" w:hAnsi="仿宋_GB2312" w:cs="仿宋_GB2312" w:eastAsia="仿宋_GB2312"/>
                      <w:sz w:val="21"/>
                    </w:rPr>
                    <w:t>按照甲方要求提供足份的含必要附件符合法律法规及行业规范的的正式评估报告。</w:t>
                  </w:r>
                </w:p>
                <w:p>
                  <w:pPr>
                    <w:pStyle w:val="null3"/>
                    <w:numPr>
                      <w:ilvl w:val="0"/>
                      <w:numId w:val="1"/>
                    </w:numPr>
                    <w:jc w:val="both"/>
                  </w:pPr>
                  <w:r>
                    <w:rPr>
                      <w:rFonts w:ascii="仿宋_GB2312" w:hAnsi="仿宋_GB2312" w:cs="仿宋_GB2312" w:eastAsia="仿宋_GB2312"/>
                      <w:sz w:val="21"/>
                    </w:rPr>
                    <w:t>评估机构及其评估专业人员开展业务应当遵守法律、行政法规和评估准则，遵循独立、客观、公正的原则。</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评估机构应当依法独立、客观、公正开展业务，建立健全质量控制制度，保证评估报告的客观、真实、合理。评估机构应当建立健全内部管理制度，对本机构的评估专业人员遵守法律、行政法规和评估准则的情况进行监督，并对其从业行为负责。</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执业规范与责任要求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合规执业原则</w:t>
                  </w:r>
                </w:p>
                <w:p>
                  <w:pPr>
                    <w:pStyle w:val="null3"/>
                    <w:ind w:firstLine="420"/>
                    <w:jc w:val="both"/>
                  </w:pPr>
                  <w:r>
                    <w:rPr>
                      <w:rFonts w:ascii="仿宋_GB2312" w:hAnsi="仿宋_GB2312" w:cs="仿宋_GB2312" w:eastAsia="仿宋_GB2312"/>
                      <w:sz w:val="21"/>
                    </w:rPr>
                    <w:t>评估机构及其全体评估专业人员开展本次评估业务，必须严格遵守《中华人民共和国资产评估法》《房地产估价规范》《国有资产评估管理办法》等法律、行政法规、行业评估准则及地方相关政策规定，全程遵循独立、客观、公正、科学、审慎的执业原则。严禁弄虚作假、恶意高估低估、篡改调研数据、违规出具评估意见。</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机构内控管理要求</w:t>
                  </w:r>
                </w:p>
                <w:p>
                  <w:pPr>
                    <w:pStyle w:val="null3"/>
                    <w:ind w:firstLine="420"/>
                    <w:jc w:val="both"/>
                  </w:pPr>
                  <w:r>
                    <w:rPr>
                      <w:rFonts w:ascii="仿宋_GB2312" w:hAnsi="仿宋_GB2312" w:cs="仿宋_GB2312" w:eastAsia="仿宋_GB2312"/>
                      <w:sz w:val="21"/>
                    </w:rPr>
                    <w:t>评估机构需建立健全项目质量管控制度、内部审核制度、执业监督制度。对本次评估项目实行项目负责人、审核人、审定人三级审核机制，全程把控现场勘查、市场调研、数据测算、报告编制、成果审核全流程质量。机构需对本项目从业人员的执业行为、合规情况全程监督管理，对本次评估报告的真实性、合法性、合理性、完整性承担全部法律责任与行业责任，若因机构执业不规范造成报告失效、数据错误、行政追责、甲方损失的，由评估机构全权承担。</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人员资质要求</w:t>
                  </w:r>
                </w:p>
                <w:p>
                  <w:pPr>
                    <w:pStyle w:val="null3"/>
                    <w:ind w:firstLine="420"/>
                    <w:jc w:val="both"/>
                  </w:pPr>
                  <w:r>
                    <w:rPr>
                      <w:rFonts w:ascii="仿宋_GB2312" w:hAnsi="仿宋_GB2312" w:cs="仿宋_GB2312" w:eastAsia="仿宋_GB2312"/>
                      <w:sz w:val="21"/>
                    </w:rPr>
                    <w:t>本次项目派驻的项目负责人及核心作业人员，须具备合法有效的</w:t>
                  </w:r>
                  <w:r>
                    <w:rPr>
                      <w:rFonts w:ascii="仿宋_GB2312" w:hAnsi="仿宋_GB2312" w:cs="仿宋_GB2312" w:eastAsia="仿宋_GB2312"/>
                      <w:sz w:val="21"/>
                    </w:rPr>
                    <w:t>相关的</w:t>
                  </w:r>
                  <w:r>
                    <w:rPr>
                      <w:rFonts w:ascii="仿宋_GB2312" w:hAnsi="仿宋_GB2312" w:cs="仿宋_GB2312" w:eastAsia="仿宋_GB2312"/>
                      <w:sz w:val="21"/>
                    </w:rPr>
                    <w:t>执业资格，信用良好，无行业处罚、失信执业记录。项目全程固定人员作业，未经甲方同意不得随意更换核心执业人员。</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独立执业要求</w:t>
                  </w:r>
                </w:p>
                <w:p>
                  <w:pPr>
                    <w:pStyle w:val="null3"/>
                    <w:ind w:firstLine="420"/>
                    <w:jc w:val="both"/>
                  </w:pPr>
                  <w:r>
                    <w:rPr>
                      <w:rFonts w:ascii="仿宋_GB2312" w:hAnsi="仿宋_GB2312" w:cs="仿宋_GB2312" w:eastAsia="仿宋_GB2312"/>
                      <w:sz w:val="21"/>
                      <w:color w:val="000000"/>
                    </w:rPr>
                    <w:t>评估机构需保证本次评估工作完全独立开展，不受任何第三方、利害关系方干预，不得与评估标的、项目相关单位存在利害关系，若存在关联关系需主动回避并书面告知甲方。</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项目工作</w:t>
                  </w:r>
                </w:p>
                <w:p>
                  <w:pPr>
                    <w:pStyle w:val="null3"/>
                    <w:jc w:val="center"/>
                  </w:pPr>
                  <w:r>
                    <w:rPr>
                      <w:rFonts w:ascii="仿宋_GB2312" w:hAnsi="仿宋_GB2312" w:cs="仿宋_GB2312" w:eastAsia="仿宋_GB2312"/>
                      <w:sz w:val="21"/>
                      <w:b/>
                      <w:color w:val="000000"/>
                    </w:rPr>
                    <w:t>内容要求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服务单位需针对本次安置房源</w:t>
                  </w:r>
                  <w:r>
                    <w:rPr>
                      <w:rFonts w:ascii="仿宋_GB2312" w:hAnsi="仿宋_GB2312" w:cs="仿宋_GB2312" w:eastAsia="仿宋_GB2312"/>
                      <w:sz w:val="21"/>
                    </w:rPr>
                    <w:t>及其他评估内容</w:t>
                  </w:r>
                  <w:r>
                    <w:rPr>
                      <w:rFonts w:ascii="仿宋_GB2312" w:hAnsi="仿宋_GB2312" w:cs="仿宋_GB2312" w:eastAsia="仿宋_GB2312"/>
                      <w:sz w:val="21"/>
                    </w:rPr>
                    <w:t>开展全方位专项评估，核心工作包含但不限于</w:t>
                  </w:r>
                  <w:r>
                    <w:rPr>
                      <w:rFonts w:ascii="仿宋_GB2312" w:hAnsi="仿宋_GB2312" w:cs="仿宋_GB2312" w:eastAsia="仿宋_GB2312"/>
                      <w:sz w:val="21"/>
                    </w:rPr>
                    <w:t>（</w:t>
                  </w:r>
                  <w:r>
                    <w:rPr>
                      <w:rFonts w:ascii="仿宋_GB2312" w:hAnsi="仿宋_GB2312" w:cs="仿宋_GB2312" w:eastAsia="仿宋_GB2312"/>
                      <w:sz w:val="21"/>
                    </w:rPr>
                    <w:t>以安置房源为例</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资料核查：全面核查甲方提供的权属资料、规划资料、测绘资料、项目批复资料等，核对房源楼栋、户型、面积、权属、用途、建成年限等基础信息，对缺失、异常资料及时书面反馈甲方。</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现场勘查：逐套、逐栋完成安置房源实地勘查，记录房屋现状、装修情况、楼栋状况、小区环境，核查房源实际使用状态、瑕疵问题，留存完整勘查影像、文字记录。</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配套价值评估：重点核查评估小区内部配套（绿化、车位、物业、公共设施）、周边市政配套（道路、管网、供水供电供气）、生活配套（学校、医院、商超、市场）、交通配套（公交、主干道）等，精准核算配套附加价值。</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市场调研与测算：结合项目区位、同片区安置房、商品房交易案例、市场行情，采用科学的评估方法完成价值测算，保证测算数据来源真实、公式合规、依据充分。</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报告编制说明：完整梳理评估依据、评估目的、评估基准日、评估方法、测算过程、价值结论，清晰说明房源价值</w:t>
                  </w:r>
                  <w:r>
                    <w:rPr>
                      <w:rFonts w:ascii="仿宋_GB2312" w:hAnsi="仿宋_GB2312" w:cs="仿宋_GB2312" w:eastAsia="仿宋_GB2312"/>
                      <w:sz w:val="21"/>
                      <w:color w:val="000000"/>
                    </w:rPr>
                    <w:t>及价值影响因素</w:t>
                  </w:r>
                  <w:r>
                    <w:rPr>
                      <w:rFonts w:ascii="仿宋_GB2312" w:hAnsi="仿宋_GB2312" w:cs="仿宋_GB2312" w:eastAsia="仿宋_GB2312"/>
                      <w:sz w:val="21"/>
                      <w:color w:val="000000"/>
                    </w:rPr>
                    <w:t>，评估结论清晰、数据可溯源、过程可复核。</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项目进度</w:t>
                  </w:r>
                </w:p>
                <w:p>
                  <w:pPr>
                    <w:pStyle w:val="null3"/>
                    <w:jc w:val="center"/>
                  </w:pPr>
                  <w:r>
                    <w:rPr>
                      <w:rFonts w:ascii="仿宋_GB2312" w:hAnsi="仿宋_GB2312" w:cs="仿宋_GB2312" w:eastAsia="仿宋_GB2312"/>
                      <w:sz w:val="21"/>
                      <w:b/>
                      <w:color w:val="000000"/>
                    </w:rPr>
                    <w:t>节点要求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前期准备及现场工作阶段：合同签订生效、接收甲方全部估价对象资料之日起</w:t>
                  </w:r>
                  <w:r>
                    <w:rPr>
                      <w:rFonts w:ascii="仿宋_GB2312" w:hAnsi="仿宋_GB2312" w:cs="仿宋_GB2312" w:eastAsia="仿宋_GB2312"/>
                      <w:sz w:val="21"/>
                    </w:rPr>
                    <w:t>10个工作日内，完成全部资料核对、现场勘查、市场调研、数据采集、价值初步测算等前期工作，形成完整勘查</w:t>
                  </w:r>
                  <w:r>
                    <w:rPr>
                      <w:rFonts w:ascii="仿宋_GB2312" w:hAnsi="仿宋_GB2312" w:cs="仿宋_GB2312" w:eastAsia="仿宋_GB2312"/>
                      <w:sz w:val="21"/>
                    </w:rPr>
                    <w:t>记录</w:t>
                  </w:r>
                  <w:r>
                    <w:rPr>
                      <w:rFonts w:ascii="仿宋_GB2312" w:hAnsi="仿宋_GB2312" w:cs="仿宋_GB2312" w:eastAsia="仿宋_GB2312"/>
                      <w:sz w:val="21"/>
                    </w:rPr>
                    <w:t>及测算底稿。</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报告编制定稿阶段：</w:t>
                  </w:r>
                  <w:r>
                    <w:rPr>
                      <w:rFonts w:ascii="仿宋_GB2312" w:hAnsi="仿宋_GB2312" w:cs="仿宋_GB2312" w:eastAsia="仿宋_GB2312"/>
                      <w:sz w:val="21"/>
                    </w:rPr>
                    <w:t>初步测算结论确定</w:t>
                  </w:r>
                  <w:r>
                    <w:rPr>
                      <w:rFonts w:ascii="仿宋_GB2312" w:hAnsi="仿宋_GB2312" w:cs="仿宋_GB2312" w:eastAsia="仿宋_GB2312"/>
                      <w:sz w:val="21"/>
                    </w:rPr>
                    <w:t>之日起</w:t>
                  </w:r>
                  <w:r>
                    <w:rPr>
                      <w:rFonts w:ascii="仿宋_GB2312" w:hAnsi="仿宋_GB2312" w:cs="仿宋_GB2312" w:eastAsia="仿宋_GB2312"/>
                      <w:sz w:val="21"/>
                    </w:rPr>
                    <w:t>7个工作日内，完成评估报告初稿编制、内部三级审核、修改完善、定稿工作，形成正式完整评估成果。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配合修改完善：报告初稿提交甲方后，需根据甲方及主管部门审核意见，</w:t>
                  </w:r>
                  <w:r>
                    <w:rPr>
                      <w:rFonts w:ascii="仿宋_GB2312" w:hAnsi="仿宋_GB2312" w:cs="仿宋_GB2312" w:eastAsia="仿宋_GB2312"/>
                      <w:sz w:val="21"/>
                    </w:rPr>
                    <w:t>24小时内响应、3个工作日内完成报告修改、复核、重新定稿，直至成果完全符合审核要求。</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整体交付时限：无特殊不可抗力情况下，全部正式评估成果需在合同约定周期内完成全套交付，不得逾期。</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成果交付</w:t>
                  </w:r>
                </w:p>
                <w:p>
                  <w:pPr>
                    <w:pStyle w:val="null3"/>
                    <w:jc w:val="center"/>
                  </w:pPr>
                  <w:r>
                    <w:rPr>
                      <w:rFonts w:ascii="仿宋_GB2312" w:hAnsi="仿宋_GB2312" w:cs="仿宋_GB2312" w:eastAsia="仿宋_GB2312"/>
                      <w:sz w:val="21"/>
                      <w:b/>
                      <w:color w:val="000000"/>
                    </w:rPr>
                    <w:t>规范要求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成果完整性：按照甲方要求份数，提交全套正式评估报告，报告包含</w:t>
                  </w:r>
                  <w:r>
                    <w:rPr>
                      <w:rFonts w:ascii="仿宋_GB2312" w:hAnsi="仿宋_GB2312" w:cs="仿宋_GB2312" w:eastAsia="仿宋_GB2312"/>
                      <w:sz w:val="21"/>
                    </w:rPr>
                    <w:t>必要的附件资料</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合规性要求：所有评估成果必须完全符合现行法律法规、</w:t>
                  </w:r>
                  <w:r>
                    <w:rPr>
                      <w:rFonts w:ascii="仿宋_GB2312" w:hAnsi="仿宋_GB2312" w:cs="仿宋_GB2312" w:eastAsia="仿宋_GB2312"/>
                      <w:sz w:val="21"/>
                    </w:rPr>
                    <w:t>行业规范</w:t>
                  </w:r>
                  <w:r>
                    <w:rPr>
                      <w:rFonts w:ascii="仿宋_GB2312" w:hAnsi="仿宋_GB2312" w:cs="仿宋_GB2312" w:eastAsia="仿宋_GB2312"/>
                      <w:sz w:val="21"/>
                    </w:rPr>
                    <w:t>、国有资产评估相关规定，报告签字、盖章</w:t>
                  </w:r>
                  <w:r>
                    <w:rPr>
                      <w:rFonts w:ascii="仿宋_GB2312" w:hAnsi="仿宋_GB2312" w:cs="仿宋_GB2312" w:eastAsia="仿宋_GB2312"/>
                      <w:sz w:val="21"/>
                    </w:rPr>
                    <w:t>等</w:t>
                  </w:r>
                  <w:r>
                    <w:rPr>
                      <w:rFonts w:ascii="仿宋_GB2312" w:hAnsi="仿宋_GB2312" w:cs="仿宋_GB2312" w:eastAsia="仿宋_GB2312"/>
                      <w:sz w:val="21"/>
                    </w:rPr>
                    <w:t>流程齐全合法，可顺利通过</w:t>
                  </w:r>
                  <w:r>
                    <w:rPr>
                      <w:rFonts w:ascii="仿宋_GB2312" w:hAnsi="仿宋_GB2312" w:cs="仿宋_GB2312" w:eastAsia="仿宋_GB2312"/>
                      <w:sz w:val="21"/>
                    </w:rPr>
                    <w:t>相关</w:t>
                  </w:r>
                  <w:r>
                    <w:rPr>
                      <w:rFonts w:ascii="仿宋_GB2312" w:hAnsi="仿宋_GB2312" w:cs="仿宋_GB2312" w:eastAsia="仿宋_GB2312"/>
                      <w:sz w:val="21"/>
                    </w:rPr>
                    <w:t>部门审核。</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交付形式：同步提供纸质版</w:t>
                  </w:r>
                  <w:r>
                    <w:rPr>
                      <w:rFonts w:ascii="仿宋_GB2312" w:hAnsi="仿宋_GB2312" w:cs="仿宋_GB2312" w:eastAsia="仿宋_GB2312"/>
                      <w:sz w:val="21"/>
                    </w:rPr>
                    <w:t>及电子版</w:t>
                  </w:r>
                  <w:r>
                    <w:rPr>
                      <w:rFonts w:ascii="仿宋_GB2312" w:hAnsi="仿宋_GB2312" w:cs="仿宋_GB2312" w:eastAsia="仿宋_GB2312"/>
                      <w:sz w:val="21"/>
                    </w:rPr>
                    <w:t>正式报告，纸质版装帧整齐、无涂改瑕疵，电子版资料分类归档、命名规范。</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资料留存：评估机构需完整留存本次项目全部工作底稿、勘查资料、测算数据、审核记录，留存期限符合行业规范，以备审计、核查溯源。</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保密与廉政要求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评估机构需严格遵守保密制度，对本次项目涉及的安置房源数据、项目资料、评估结果、甲方内部信息严格保密，不得向任何无关第三方泄露、传播、用于本次项目以外的其他用途，项目资料不得私自留存、外传。</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严禁评估机构及从业人员利用项目便利谋取私利，严禁串通相关人员篡改数据、违规操作，一经发现，甲方有权终止合同、追究违约责任及法律责任。</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后续服务与质保要求</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成果交付后，服务周期内全程配合甲方、审计单位、主管部门的核查、答疑、复核工作，无偿提供专业答疑、数据解释、资料补充服务。</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若因评估机构</w:t>
                  </w:r>
                  <w:r>
                    <w:rPr>
                      <w:rFonts w:ascii="仿宋_GB2312" w:hAnsi="仿宋_GB2312" w:cs="仿宋_GB2312" w:eastAsia="仿宋_GB2312"/>
                      <w:sz w:val="21"/>
                    </w:rPr>
                    <w:t>自身原因</w:t>
                  </w:r>
                  <w:r>
                    <w:rPr>
                      <w:rFonts w:ascii="仿宋_GB2312" w:hAnsi="仿宋_GB2312" w:cs="仿宋_GB2312" w:eastAsia="仿宋_GB2312"/>
                      <w:sz w:val="21"/>
                    </w:rPr>
                    <w:t>导致报告需要修正、重评的，由评估机构无偿整改、重新出具报告。</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项目全程提供专属对接人员，保证沟通畅通，及时响应甲方各类工作需求。</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针对本项目提供明确的项目团队人员，要求人员为投标单位在职人员，具体详见评审细则及标准。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服务范围：满足采购技术要求；服务要求：满足采购需求；服务标准：满足国家有关法规及规程规范要求。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2.采购人收到验收申请后组织验收，验收时成交人应无条件予以配合并提供验收所需的全部资料，若成交人不配合或者未按合同要求提供服务的，采购人将拒绝验 收。 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每月完成对应小区资产评估工作，交付正式评估报告并经采购人验收合格后，据实支付当月已完成工作量对应的服务费；项目全部服务履约完成并完成最终费用核算（多退少补），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约定提供货物服务或所提供的货物服务质量不能满足合同要求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负责办理将货物或服务运抵交货服务地点的一切事项，并完成与合同履约相关的工作。凡涉及税金、售后服务、验收等，所有费用一次性计入投标总价。合同履约过程中采购人不再支付其他额外费用。2.涉及的商品包装和快递包装，均应符合《商品包装政府采购需求标准（试行）》《快递包装政府采购需求标准（试行）》的要求。3.售后响应时间：接到采购人售后要求后，2小时内远程响应，12小时内给出解决方案，若远程无法解决问题48小时内安排专人到达现场处理。4.供应商应保证对采购人提供的资料，以及对项目实施过程中知悉的秘密（包括不限于国家秘密、科研秘密、商业秘密、群众个人信息等所有秘密）履行保密义务，不得就所涉及的秘密及敏感信息以单位或者个人名义公开披露和公开发表观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相应证明文件证明，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供应商需在项目电子化交易系统中按要求上传相应证明文件并进提供《基本资格条件承诺函》；供应商需在项目电子化交易系统中按要求上传相应证明文件并进行电子签章。行电子签章。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供应商须具备有效的二级（含二级）以上房地产估价机构备案证书。</w:t>
            </w:r>
          </w:p>
        </w:tc>
        <w:tc>
          <w:tcPr>
            <w:tcW w:type="dxa" w:w="1661"/>
          </w:tcPr>
          <w:p>
            <w:pPr>
              <w:pStyle w:val="null3"/>
            </w:pPr>
            <w:r>
              <w:rPr>
                <w:rFonts w:ascii="仿宋_GB2312" w:hAnsi="仿宋_GB2312" w:cs="仿宋_GB2312" w:eastAsia="仿宋_GB2312"/>
              </w:rPr>
              <w:t>响应文件封面 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评估工作方案</w:t>
            </w:r>
          </w:p>
        </w:tc>
        <w:tc>
          <w:tcPr>
            <w:tcW w:type="dxa" w:w="2492"/>
          </w:tcPr>
          <w:p>
            <w:pPr>
              <w:pStyle w:val="null3"/>
            </w:pPr>
            <w:r>
              <w:rPr>
                <w:rFonts w:ascii="仿宋_GB2312" w:hAnsi="仿宋_GB2312" w:cs="仿宋_GB2312" w:eastAsia="仿宋_GB2312"/>
              </w:rPr>
              <w:t>一、评审内容 提供的内容包含但不限于：①评估服务方案；②针对安置剩余房源评估的特殊性有充分考量；③工作流程。 二、评审标准 ①完善性：方案必须全面，对评审内容中的各项要求有详细阐述；②可实施性：切合本项目实际情况，提出步骤清晰、操作性强的方案；③针对性：方案能够紧扣项目实际情况，内容科学合理。 三、赋分标准 上述3项评审内容全部满足评审标准得9分，每有一项评审内容缺项扣3分。根据评审标准对供应商方案进行评审，每项评审内容有一处存在缺陷的扣1分，扣完为止。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提供的内容包含但不限于：①进度保障措施；②组织协调措施；③应急响应机制健全。 二、评审标准 ①完善性：方案必须全面，对评审内容中的各项要求有详细阐述；②可实施性：切合本项目实际情况，提出步骤清晰、操作性强的方案；③针对性：方案能够紧扣项目实际情况，内容科学合理。 三、赋分标准 上述3项评审内容全部满足评审标准得9分，每有一项评审内容缺项扣3分。根据评审标准对供应商方案进行评审，每项评审内容有一处存在缺陷的扣1分，扣完为止。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提供的内容包含但不限于：①质量保障措施；②内部审核流程；③纠偏、纠错机制。 二、评审标准 ①完善性：方案必须全面，对评审内容中的各项要求有详细阐述；②可实施性：切合本项目实际情况，提出步骤清晰、操作性强的方案；③针对性：方案能够紧扣项目实际情况，内容科学合理。 三、赋分标准 上述3项评审内容全部满足评审标准得9分，每有一项评审内容缺项扣3分。根据评审标准对供应商方案进行评审，每项评审内容有一处存在缺陷的扣1分，扣完为止。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工作要点控制及合理化建议</w:t>
            </w:r>
          </w:p>
        </w:tc>
        <w:tc>
          <w:tcPr>
            <w:tcW w:type="dxa" w:w="2492"/>
          </w:tcPr>
          <w:p>
            <w:pPr>
              <w:pStyle w:val="null3"/>
            </w:pPr>
            <w:r>
              <w:rPr>
                <w:rFonts w:ascii="仿宋_GB2312" w:hAnsi="仿宋_GB2312" w:cs="仿宋_GB2312" w:eastAsia="仿宋_GB2312"/>
              </w:rPr>
              <w:t>一、评审内容 提供的内容包含但不限于：①服务过程中的要点及对应的措施；②有效的风险控制措施；③针对本项目的合理化建议。 二、评审标准 ①完善性：方案必须全面，对评审内容中的各项要求有详细阐述；②可实施性：切合本项目实际情况，提出步骤清晰、操作性强的方案；③针对性：方案能够紧扣项目实际情况，内容科学合理。 三、赋分标准 上述3项评审内容全部满足评审标准得9分，每有一项评审内容缺项扣3分。根据评审标准对供应商方案进行评审，每项评审内容有一处存在缺陷的扣1分，扣完为止。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廉洁从业措施</w:t>
            </w:r>
          </w:p>
        </w:tc>
        <w:tc>
          <w:tcPr>
            <w:tcW w:type="dxa" w:w="2492"/>
          </w:tcPr>
          <w:p>
            <w:pPr>
              <w:pStyle w:val="null3"/>
            </w:pPr>
            <w:r>
              <w:rPr>
                <w:rFonts w:ascii="仿宋_GB2312" w:hAnsi="仿宋_GB2312" w:cs="仿宋_GB2312" w:eastAsia="仿宋_GB2312"/>
              </w:rPr>
              <w:t>提供廉洁从业承诺，内容完整全面，明确具体，有严格的奖惩措施得4分。内容不全面扣1分，笼统空洞扣1分，没有奖惩措施扣1分；未提供不得分。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基础保障人员</w:t>
            </w:r>
          </w:p>
        </w:tc>
        <w:tc>
          <w:tcPr>
            <w:tcW w:type="dxa" w:w="2492"/>
          </w:tcPr>
          <w:p>
            <w:pPr>
              <w:pStyle w:val="null3"/>
            </w:pPr>
            <w:r>
              <w:rPr>
                <w:rFonts w:ascii="仿宋_GB2312" w:hAnsi="仿宋_GB2312" w:cs="仿宋_GB2312" w:eastAsia="仿宋_GB2312"/>
              </w:rPr>
              <w:t>拟投入本项目人员须为投标单位在职人员，提供证明材料，否则不计分。 1.基础保障人员和团队人员配备须列明人员分工清单，提供清单计5分；未提供清单，或者人员归属标注不清的不计分。 2. ①拟投入本项目人员在4人（含）以上的计5分； ②3人计3分； ③2人以下计1分，未提供的不计分。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拟投入本项目人员须为投标单位在职人员，提供证明材料，否则不计分。 在满足团队人员基础要求4人的基础上，每额外提供1名具有资产评估师职业资格证书的评估专业人员、专职注册房地产估价师或土地估价师得5分，最多得30分。须提供人员证书，一人多证只按一个证书计分，不重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供应商提供2023年1月至磋商前类似业绩，以合同签订日期为准，供应商提供合同复印件加盖公章，每提供一份合同计2分，此项共计10分。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10×（磋商基准价/最后磋商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