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5F923">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bookmarkStart w:id="0" w:name="_Toc1399"/>
      <w:bookmarkStart w:id="1" w:name="_Toc17961"/>
      <w:r>
        <w:rPr>
          <w:rFonts w:hint="eastAsia" w:ascii="宋体" w:hAnsi="宋体" w:eastAsia="宋体" w:cs="宋体"/>
          <w:b/>
          <w:bCs/>
          <w:color w:val="auto"/>
          <w:sz w:val="28"/>
          <w:szCs w:val="28"/>
          <w:highlight w:val="none"/>
          <w:lang w:val="zh-CN"/>
        </w:rPr>
        <w:t>合同条款及格式（参考）</w:t>
      </w:r>
      <w:bookmarkEnd w:id="0"/>
      <w:bookmarkEnd w:id="1"/>
    </w:p>
    <w:p w14:paraId="140A327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（本格式条款供采购人和成交供应商双方签订合同参考，最终以采购人实际签订的合同为准）</w:t>
      </w:r>
    </w:p>
    <w:p w14:paraId="7BF1C212">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lang w:eastAsia="zh-CN"/>
        </w:rPr>
        <w:t>采购人：</w:t>
      </w:r>
      <w:r>
        <w:rPr>
          <w:rFonts w:hint="eastAsia" w:ascii="宋体" w:hAnsi="宋体" w:eastAsia="宋体" w:cs="宋体"/>
          <w:b/>
          <w:bCs/>
          <w:sz w:val="24"/>
          <w:szCs w:val="24"/>
          <w:u w:val="single"/>
          <w:lang w:val="en-US" w:eastAsia="zh-CN"/>
        </w:rPr>
        <w:t xml:space="preserve">                     </w:t>
      </w:r>
    </w:p>
    <w:p w14:paraId="20D32D98">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lang w:eastAsia="zh-CN"/>
        </w:rPr>
        <w:t>供应商：</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u w:val="single"/>
          <w:lang w:val="en-US" w:eastAsia="zh-CN"/>
        </w:rPr>
        <w:t xml:space="preserve">                    </w:t>
      </w:r>
    </w:p>
    <w:p w14:paraId="4D51E2E6">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甲、乙双方根据《中华人民共和国民法典》等相关法律，遵循公平、诚实、守信和尊重社会公德、维护社会经济秩序与公共利益的原则，签订本合同。</w:t>
      </w:r>
    </w:p>
    <w:p w14:paraId="4E923D82">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一、合同内容及金额</w:t>
      </w:r>
    </w:p>
    <w:p w14:paraId="402F016A">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总价：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元</w:t>
      </w:r>
    </w:p>
    <w:p w14:paraId="303796A4">
      <w:pPr>
        <w:keepNext w:val="0"/>
        <w:keepLines w:val="0"/>
        <w:pageBreakBefore w:val="0"/>
        <w:widowControl w:val="0"/>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二、产品技术规格、数量：</w:t>
      </w:r>
      <w:r>
        <w:rPr>
          <w:rFonts w:hint="eastAsia" w:ascii="宋体" w:hAnsi="宋体" w:eastAsia="宋体" w:cs="宋体"/>
          <w:sz w:val="24"/>
          <w:szCs w:val="24"/>
          <w:lang w:val="en-US" w:eastAsia="zh-CN"/>
        </w:rPr>
        <w:t>即交付的产品技术规格、型号、数量与响应文件所指明的，或者与本合同所指明的产品技术规格及型号相一致，详见分项报价清单。</w:t>
      </w:r>
    </w:p>
    <w:p w14:paraId="786AFAAB">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三、标准：</w:t>
      </w:r>
      <w:r>
        <w:rPr>
          <w:rFonts w:hint="eastAsia" w:ascii="宋体" w:hAnsi="宋体" w:eastAsia="宋体" w:cs="宋体"/>
          <w:sz w:val="24"/>
          <w:szCs w:val="24"/>
          <w:lang w:val="en-US" w:eastAsia="zh-CN"/>
        </w:rPr>
        <w:t>产品的原材料、技术要求等严格按照99式囚服标准执行。</w:t>
      </w:r>
    </w:p>
    <w:p w14:paraId="27AEAC5C">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四、合同履行期及交货地点</w:t>
      </w:r>
      <w:r>
        <w:rPr>
          <w:rFonts w:hint="eastAsia" w:ascii="宋体" w:hAnsi="宋体" w:eastAsia="宋体" w:cs="宋体"/>
          <w:sz w:val="24"/>
          <w:szCs w:val="24"/>
          <w:highlight w:val="none"/>
          <w:lang w:val="en-US" w:eastAsia="zh-CN"/>
        </w:rPr>
        <w:t>：合同服务周期为自合同签订之日起壹年，乙方须在周期内将全部囚被服一次性运送至陕西省华山监狱甲方指定存放地点。</w:t>
      </w:r>
    </w:p>
    <w:p w14:paraId="51DDEBA9">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五、包装：</w:t>
      </w:r>
      <w:r>
        <w:rPr>
          <w:rFonts w:hint="eastAsia" w:ascii="宋体" w:hAnsi="宋体" w:eastAsia="宋体" w:cs="宋体"/>
          <w:sz w:val="24"/>
          <w:szCs w:val="24"/>
          <w:lang w:val="en-US" w:eastAsia="zh-CN"/>
        </w:rPr>
        <w:t>按司法部囚服标准包装。</w:t>
      </w:r>
    </w:p>
    <w:p w14:paraId="264AD331">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六、结算方式：</w:t>
      </w:r>
      <w:r>
        <w:rPr>
          <w:rFonts w:hint="eastAsia" w:ascii="宋体" w:hAnsi="宋体" w:eastAsia="宋体" w:cs="宋体"/>
          <w:b w:val="0"/>
          <w:bCs w:val="0"/>
          <w:sz w:val="24"/>
          <w:szCs w:val="24"/>
          <w:lang w:val="en-US" w:eastAsia="zh-CN"/>
        </w:rPr>
        <w:t>货到付款，达到付款条件起10个工作日内，支付合同总金额的100.00%。乙方交付全部货品并经甲方整体验收合格后，须向甲方开具合规全额增值税发票，甲方收到发票后10个工作日内一次性付清全部合同款项。</w:t>
      </w:r>
      <w:bookmarkStart w:id="2" w:name="_GoBack"/>
      <w:bookmarkEnd w:id="2"/>
    </w:p>
    <w:p w14:paraId="63EDFC69">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七、验收</w:t>
      </w:r>
      <w:r>
        <w:rPr>
          <w:rFonts w:hint="eastAsia" w:ascii="宋体" w:hAnsi="宋体" w:eastAsia="宋体" w:cs="宋体"/>
          <w:sz w:val="24"/>
          <w:szCs w:val="24"/>
          <w:lang w:val="en-US" w:eastAsia="zh-CN"/>
        </w:rPr>
        <w:t>：供应商按采购人要求将全部货物到指定地点并完成相关工作后，采购人组织验收，质量按单一来源采购文件的采购参数内容验收。检测方法、抽样数量等依据国家、省、市现行法规、规范及标准的标准执行。验收过程中抽检发现货品存在批量质量瑕疵的，甲方有权拒收全部同批次物资，乙方须在7日内重新提供合格货品并承担往返运输、检测全部费用。</w:t>
      </w:r>
    </w:p>
    <w:p w14:paraId="3B2BE4C5">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八、违约责任</w:t>
      </w:r>
    </w:p>
    <w:p w14:paraId="69E77FFE">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乙方交付货品规格、材质、工艺、数量不符合采购文件约定标准，或未按甲方供货通知时限完成送货的，甲方有权要求乙方限期更换、补齐；逾期未整改完成，甲方可单方解除合同，乙方须赔偿甲方全部实际损失；乙方经营过程存在重大违法、偷税漏税等不良记录的，甲方可直接终止本合同并追究乙方违约责任。</w:t>
      </w:r>
    </w:p>
    <w:p w14:paraId="4142223B">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（二）因包装不符合合同规定而造成货物损坏、丢失由乙方承担。</w:t>
      </w:r>
    </w:p>
    <w:p w14:paraId="1055530F">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（三）因自然、国家管控等不可抗力原因造成延误交货的，双方协商解决。</w:t>
      </w:r>
    </w:p>
    <w:p w14:paraId="438AD199">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九、合同其他条款：</w:t>
      </w:r>
    </w:p>
    <w:p w14:paraId="63D4B80D">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（一）本项目全部供货义务仅限乙方自行完成，严禁乙方将本合同全部或部分供货工作转包、分包至任何第三方，一经发现甲方有权单方解除合同并追究乙方违约责任。</w:t>
      </w:r>
    </w:p>
    <w:p w14:paraId="4F3DEF58">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（二）乙方的谈判响应文件和承诺等内容将列入合同。 </w:t>
      </w:r>
    </w:p>
    <w:p w14:paraId="5BF14FC8">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十、争议的解决</w:t>
      </w:r>
    </w:p>
    <w:p w14:paraId="28175082">
      <w:pPr>
        <w:keepNext w:val="0"/>
        <w:keepLines w:val="0"/>
        <w:pageBreakBefore w:val="0"/>
        <w:widowControl w:val="0"/>
        <w:numPr>
          <w:ilvl w:val="0"/>
          <w:numId w:val="0"/>
        </w:numPr>
        <w:wordWrap/>
        <w:overflowPunct/>
        <w:topLinePunct w:val="0"/>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本合同在履行过程中发生的争议，由甲、乙双方当事人协商解决，协商不成的按下列 第（二）种方式解决：（一）提交仲裁委员会仲裁；（二）依法向甲方所在地人民法院起诉。 </w:t>
      </w:r>
    </w:p>
    <w:p w14:paraId="09EBBFD3">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十一、</w:t>
      </w:r>
      <w:r>
        <w:rPr>
          <w:rFonts w:hint="eastAsia" w:ascii="宋体" w:hAnsi="宋体" w:eastAsia="宋体" w:cs="宋体"/>
          <w:sz w:val="24"/>
          <w:szCs w:val="24"/>
          <w:lang w:val="en-US" w:eastAsia="zh-CN"/>
        </w:rPr>
        <w:t>本合同一式四份。甲方二份、乙方二份，各方签字盖章后生效。</w:t>
      </w:r>
    </w:p>
    <w:p w14:paraId="5A062E46">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lang w:val="en-US" w:eastAsia="zh-CN"/>
        </w:rPr>
      </w:pPr>
    </w:p>
    <w:p w14:paraId="359CD182">
      <w:pPr>
        <w:pStyle w:val="3"/>
        <w:keepNext w:val="0"/>
        <w:keepLines w:val="0"/>
        <w:pageBreakBefore w:val="0"/>
        <w:widowControl w:val="0"/>
        <w:wordWrap/>
        <w:overflowPunct/>
        <w:topLinePunct w:val="0"/>
        <w:bidi w:val="0"/>
        <w:spacing w:line="360" w:lineRule="auto"/>
        <w:rPr>
          <w:rFonts w:hint="eastAsia" w:ascii="宋体" w:hAnsi="宋体" w:eastAsia="宋体" w:cs="宋体"/>
          <w:lang w:val="en-US" w:eastAsia="zh-CN"/>
        </w:rPr>
      </w:pPr>
    </w:p>
    <w:p w14:paraId="69B55D9D">
      <w:pPr>
        <w:rPr>
          <w:rFonts w:hint="eastAsia" w:ascii="宋体" w:hAnsi="宋体" w:eastAsia="宋体" w:cs="宋体"/>
          <w:lang w:val="en-US" w:eastAsia="zh-CN"/>
        </w:rPr>
      </w:pPr>
    </w:p>
    <w:tbl>
      <w:tblPr>
        <w:tblStyle w:val="5"/>
        <w:tblpPr w:leftFromText="180" w:rightFromText="180" w:vertAnchor="text" w:horzAnchor="page" w:tblpX="1940" w:tblpY="169"/>
        <w:tblOverlap w:val="never"/>
        <w:tblW w:w="8403" w:type="dxa"/>
        <w:tblInd w:w="0" w:type="dxa"/>
        <w:tblLayout w:type="fixed"/>
        <w:tblCellMar>
          <w:top w:w="0" w:type="dxa"/>
          <w:left w:w="108" w:type="dxa"/>
          <w:bottom w:w="0" w:type="dxa"/>
          <w:right w:w="108" w:type="dxa"/>
        </w:tblCellMar>
      </w:tblPr>
      <w:tblGrid>
        <w:gridCol w:w="4201"/>
        <w:gridCol w:w="4202"/>
      </w:tblGrid>
      <w:tr w14:paraId="3D894F83">
        <w:tblPrEx>
          <w:tblCellMar>
            <w:top w:w="0" w:type="dxa"/>
            <w:left w:w="108" w:type="dxa"/>
            <w:bottom w:w="0" w:type="dxa"/>
            <w:right w:w="108" w:type="dxa"/>
          </w:tblCellMar>
        </w:tblPrEx>
        <w:trPr>
          <w:trHeight w:val="567" w:hRule="exact"/>
        </w:trPr>
        <w:tc>
          <w:tcPr>
            <w:tcW w:w="4201" w:type="dxa"/>
            <w:noWrap w:val="0"/>
            <w:vAlign w:val="center"/>
          </w:tcPr>
          <w:p w14:paraId="65D38C8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202" w:type="dxa"/>
            <w:noWrap w:val="0"/>
            <w:vAlign w:val="center"/>
          </w:tcPr>
          <w:p w14:paraId="2893C42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68D6B9D3">
        <w:tblPrEx>
          <w:tblCellMar>
            <w:top w:w="0" w:type="dxa"/>
            <w:left w:w="108" w:type="dxa"/>
            <w:bottom w:w="0" w:type="dxa"/>
            <w:right w:w="108" w:type="dxa"/>
          </w:tblCellMar>
        </w:tblPrEx>
        <w:trPr>
          <w:trHeight w:val="567" w:hRule="exact"/>
        </w:trPr>
        <w:tc>
          <w:tcPr>
            <w:tcW w:w="4201" w:type="dxa"/>
            <w:noWrap w:val="0"/>
            <w:vAlign w:val="center"/>
          </w:tcPr>
          <w:p w14:paraId="4394F26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4202" w:type="dxa"/>
            <w:noWrap w:val="0"/>
            <w:vAlign w:val="center"/>
          </w:tcPr>
          <w:p w14:paraId="09FED5A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14:paraId="7564F685">
        <w:tblPrEx>
          <w:tblCellMar>
            <w:top w:w="0" w:type="dxa"/>
            <w:left w:w="108" w:type="dxa"/>
            <w:bottom w:w="0" w:type="dxa"/>
            <w:right w:w="108" w:type="dxa"/>
          </w:tblCellMar>
        </w:tblPrEx>
        <w:trPr>
          <w:trHeight w:val="567" w:hRule="exact"/>
        </w:trPr>
        <w:tc>
          <w:tcPr>
            <w:tcW w:w="4201" w:type="dxa"/>
            <w:noWrap w:val="0"/>
            <w:vAlign w:val="center"/>
          </w:tcPr>
          <w:p w14:paraId="2FEF4D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tc>
        <w:tc>
          <w:tcPr>
            <w:tcW w:w="4202" w:type="dxa"/>
            <w:noWrap w:val="0"/>
            <w:vAlign w:val="center"/>
          </w:tcPr>
          <w:p w14:paraId="0A65424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7EC080EF">
        <w:tblPrEx>
          <w:tblCellMar>
            <w:top w:w="0" w:type="dxa"/>
            <w:left w:w="108" w:type="dxa"/>
            <w:bottom w:w="0" w:type="dxa"/>
            <w:right w:w="108" w:type="dxa"/>
          </w:tblCellMar>
        </w:tblPrEx>
        <w:trPr>
          <w:trHeight w:val="567" w:hRule="exact"/>
        </w:trPr>
        <w:tc>
          <w:tcPr>
            <w:tcW w:w="4201" w:type="dxa"/>
            <w:noWrap w:val="0"/>
            <w:vAlign w:val="center"/>
          </w:tcPr>
          <w:p w14:paraId="7897F6E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202" w:type="dxa"/>
            <w:noWrap w:val="0"/>
            <w:vAlign w:val="center"/>
          </w:tcPr>
          <w:p w14:paraId="56DDFAC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1D21E03F">
        <w:tblPrEx>
          <w:tblCellMar>
            <w:top w:w="0" w:type="dxa"/>
            <w:left w:w="108" w:type="dxa"/>
            <w:bottom w:w="0" w:type="dxa"/>
            <w:right w:w="108" w:type="dxa"/>
          </w:tblCellMar>
        </w:tblPrEx>
        <w:trPr>
          <w:trHeight w:val="567" w:hRule="exact"/>
        </w:trPr>
        <w:tc>
          <w:tcPr>
            <w:tcW w:w="4201" w:type="dxa"/>
            <w:noWrap w:val="0"/>
            <w:vAlign w:val="center"/>
          </w:tcPr>
          <w:p w14:paraId="0177203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 </w:t>
            </w:r>
          </w:p>
        </w:tc>
        <w:tc>
          <w:tcPr>
            <w:tcW w:w="4202" w:type="dxa"/>
            <w:noWrap w:val="0"/>
            <w:vAlign w:val="center"/>
          </w:tcPr>
          <w:p w14:paraId="2FA2EA1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1A341A3F">
        <w:tblPrEx>
          <w:tblCellMar>
            <w:top w:w="0" w:type="dxa"/>
            <w:left w:w="108" w:type="dxa"/>
            <w:bottom w:w="0" w:type="dxa"/>
            <w:right w:w="108" w:type="dxa"/>
          </w:tblCellMar>
        </w:tblPrEx>
        <w:trPr>
          <w:trHeight w:val="567" w:hRule="exact"/>
        </w:trPr>
        <w:tc>
          <w:tcPr>
            <w:tcW w:w="4201" w:type="dxa"/>
            <w:noWrap w:val="0"/>
            <w:vAlign w:val="center"/>
          </w:tcPr>
          <w:p w14:paraId="2F37A30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c>
          <w:tcPr>
            <w:tcW w:w="4202" w:type="dxa"/>
            <w:noWrap w:val="0"/>
            <w:vAlign w:val="center"/>
          </w:tcPr>
          <w:p w14:paraId="24F761A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r>
      <w:tr w14:paraId="0E365AFC">
        <w:tblPrEx>
          <w:tblCellMar>
            <w:top w:w="0" w:type="dxa"/>
            <w:left w:w="108" w:type="dxa"/>
            <w:bottom w:w="0" w:type="dxa"/>
            <w:right w:w="108" w:type="dxa"/>
          </w:tblCellMar>
        </w:tblPrEx>
        <w:trPr>
          <w:trHeight w:val="567" w:hRule="exact"/>
        </w:trPr>
        <w:tc>
          <w:tcPr>
            <w:tcW w:w="4201" w:type="dxa"/>
            <w:noWrap w:val="0"/>
            <w:vAlign w:val="center"/>
          </w:tcPr>
          <w:p w14:paraId="0275117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202" w:type="dxa"/>
            <w:noWrap w:val="0"/>
            <w:vAlign w:val="center"/>
          </w:tcPr>
          <w:p w14:paraId="40EF7C7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545CEB0E">
        <w:tblPrEx>
          <w:tblCellMar>
            <w:top w:w="0" w:type="dxa"/>
            <w:left w:w="108" w:type="dxa"/>
            <w:bottom w:w="0" w:type="dxa"/>
            <w:right w:w="108" w:type="dxa"/>
          </w:tblCellMar>
        </w:tblPrEx>
        <w:trPr>
          <w:trHeight w:val="567" w:hRule="exact"/>
        </w:trPr>
        <w:tc>
          <w:tcPr>
            <w:tcW w:w="4201" w:type="dxa"/>
            <w:noWrap w:val="0"/>
            <w:vAlign w:val="center"/>
          </w:tcPr>
          <w:p w14:paraId="550039B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202" w:type="dxa"/>
            <w:noWrap w:val="0"/>
            <w:vAlign w:val="center"/>
          </w:tcPr>
          <w:p w14:paraId="616DABB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6C5BD8C2">
        <w:tblPrEx>
          <w:tblCellMar>
            <w:top w:w="0" w:type="dxa"/>
            <w:left w:w="108" w:type="dxa"/>
            <w:bottom w:w="0" w:type="dxa"/>
            <w:right w:w="108" w:type="dxa"/>
          </w:tblCellMar>
        </w:tblPrEx>
        <w:trPr>
          <w:trHeight w:val="567" w:hRule="exact"/>
        </w:trPr>
        <w:tc>
          <w:tcPr>
            <w:tcW w:w="4201" w:type="dxa"/>
            <w:noWrap w:val="0"/>
            <w:vAlign w:val="center"/>
          </w:tcPr>
          <w:p w14:paraId="658C57F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202" w:type="dxa"/>
            <w:noWrap w:val="0"/>
            <w:vAlign w:val="center"/>
          </w:tcPr>
          <w:p w14:paraId="5318545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0ED4B8F4">
        <w:tblPrEx>
          <w:tblCellMar>
            <w:top w:w="0" w:type="dxa"/>
            <w:left w:w="108" w:type="dxa"/>
            <w:bottom w:w="0" w:type="dxa"/>
            <w:right w:w="108" w:type="dxa"/>
          </w:tblCellMar>
        </w:tblPrEx>
        <w:trPr>
          <w:trHeight w:val="567" w:hRule="exact"/>
        </w:trPr>
        <w:tc>
          <w:tcPr>
            <w:tcW w:w="4201" w:type="dxa"/>
            <w:noWrap w:val="0"/>
            <w:vAlign w:val="center"/>
          </w:tcPr>
          <w:p w14:paraId="3EB885E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4202" w:type="dxa"/>
            <w:noWrap w:val="0"/>
            <w:vAlign w:val="center"/>
          </w:tcPr>
          <w:p w14:paraId="3210A5D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r>
    </w:tbl>
    <w:p w14:paraId="5501706A">
      <w:pPr>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41c1154e-a412-4237-80c7-445dfa5cff30"/>
  </w:docVars>
  <w:rsids>
    <w:rsidRoot w:val="2F3B76B1"/>
    <w:rsid w:val="03231B33"/>
    <w:rsid w:val="07610E7C"/>
    <w:rsid w:val="1D28626C"/>
    <w:rsid w:val="1E61576F"/>
    <w:rsid w:val="23865A9B"/>
    <w:rsid w:val="2BA32F80"/>
    <w:rsid w:val="2D547016"/>
    <w:rsid w:val="2F3B76B1"/>
    <w:rsid w:val="2FBA5B3A"/>
    <w:rsid w:val="34D34694"/>
    <w:rsid w:val="4BFA4F45"/>
    <w:rsid w:val="4C13617E"/>
    <w:rsid w:val="4EF61477"/>
    <w:rsid w:val="4F4A3601"/>
    <w:rsid w:val="57D4431F"/>
    <w:rsid w:val="694E25FA"/>
    <w:rsid w:val="6C187601"/>
    <w:rsid w:val="7046768A"/>
    <w:rsid w:val="7306762B"/>
    <w:rsid w:val="73BD5B7D"/>
    <w:rsid w:val="748A6AD8"/>
    <w:rsid w:val="776808B4"/>
    <w:rsid w:val="7C613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3696"/>
      <w:outlineLvl w:val="1"/>
    </w:pPr>
    <w:rPr>
      <w:rFonts w:ascii="宋体" w:hAnsi="宋体" w:eastAsia="宋体"/>
      <w:sz w:val="31"/>
      <w:szCs w:val="3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rFonts w:ascii="宋体" w:hAnsi="宋体" w:eastAsia="宋体"/>
      <w:sz w:val="19"/>
      <w:szCs w:val="19"/>
    </w:rPr>
  </w:style>
  <w:style w:type="paragraph" w:styleId="4">
    <w:name w:val="footer"/>
    <w:basedOn w:val="1"/>
    <w:next w:val="3"/>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982</Words>
  <Characters>990</Characters>
  <Lines>0</Lines>
  <Paragraphs>0</Paragraphs>
  <TotalTime>0</TotalTime>
  <ScaleCrop>false</ScaleCrop>
  <LinksUpToDate>false</LinksUpToDate>
  <CharactersWithSpaces>1070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2024-01-19T06:43:00Z</dcterms:created>
  <dc:creator>夏天有点热</dc:creator>
  <cp:lastModifiedBy>朱小克</cp:lastModifiedBy>
  <dcterms:modified xsi:type="dcterms:W3CDTF">2026-06-22T09:38:41Z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0E7A961BE61D4F6484BD3FB1E9DA9FAA_11</vt:lpwstr>
  </property>
  <property fmtid="{D5CDD505-2E9C-101B-9397-08002B2CF9AE}" pid="4" name="KSOTemplateDocerSaveRecord">
    <vt:lpwstr>eyJoZGlkIjoiNTQ2NzA3NDE1M2U1MjMwMDlmOGYwZGVmNjY2ZDE3ZmUiLCJ1c2VySWQiOiIyNTk4MjUxOTAifQ==</vt:lpwstr>
  </property>
</Properties>
</file>