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版本号：RTDZB(2026-022)20260720002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医疗责任保险</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RTDZB(2026-022)</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医疗责任保险</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RTDZB(2026-022)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医疗责任保险</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为响应国家政策要求，完善医疗风险分担机制，将医疗纠纷处理从院内转移至院外，缓和医患矛盾，使医疗纠纷的处理更加合理、合规、合法，进行医疗责任保险采购。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1、供应商须为具有独立承担民事责任能力的法人、其他组织或自然人：供应商提供合法有效的营业执照或事业单位法人证书等国家规定的相关证明，自然人参与的提供其身份证明。</w:t>
      </w:r>
    </w:p>
    <w:p>
      <w:pPr>
        <w:pStyle w:val="null3"/>
      </w:pPr>
      <w:r>
        <w:rPr>
          <w:rFonts w:ascii="仿宋_GB2312" w:hAnsi="仿宋_GB2312" w:cs="仿宋_GB2312" w:eastAsia="仿宋_GB2312"/>
        </w:rPr>
        <w:t>2、企业资质：保险公司应当在国务院保险监督管理机构依法批准的业务范围内从事保险经营活动。供应商必须是经国务院保险监督管理机构批准成立的保险公司。总公司取得的相关资质和指标，分支机构经总公司有效授权视为拥有同等资质和指标)：供应商须提供有效的《保险许可证》。（同一保险机构只允许其本部或一家分支机构参与，若供应商为分支机构,须提供总公司针对本项目的唯一授权书）。</w:t>
      </w:r>
    </w:p>
    <w:p>
      <w:pPr>
        <w:pStyle w:val="null3"/>
      </w:pPr>
      <w:r>
        <w:rPr>
          <w:rFonts w:ascii="仿宋_GB2312" w:hAnsi="仿宋_GB2312" w:cs="仿宋_GB2312" w:eastAsia="仿宋_GB2312"/>
        </w:rPr>
        <w:t>3、供应商应授权合法的人员参加开标过程：供应商应授权合法的人员参加开标全过程，其中法定代表人（单位负责人）直接参加开标的，须出具加盖公章的法定代表人（单位负责人）证明书，并与营业执照上信息一致；授权代表参加开标的，须出具加盖公章的法定代表人（单位负责人）授权委托书。</w:t>
      </w:r>
    </w:p>
    <w:p>
      <w:pPr>
        <w:pStyle w:val="null3"/>
      </w:pPr>
      <w:r>
        <w:rPr>
          <w:rFonts w:ascii="仿宋_GB2312" w:hAnsi="仿宋_GB2312" w:cs="仿宋_GB2312" w:eastAsia="仿宋_GB2312"/>
        </w:rPr>
        <w:t>4、供应商信用记录：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p>
      <w:pPr>
        <w:pStyle w:val="null3"/>
      </w:pPr>
      <w:r>
        <w:rPr>
          <w:rFonts w:ascii="仿宋_GB2312" w:hAnsi="仿宋_GB2312" w:cs="仿宋_GB2312" w:eastAsia="仿宋_GB2312"/>
        </w:rPr>
        <w:t>5、非联合体投标：本项目不接受联合体投标。供应商需提供加盖公章的非联合体投标承诺。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办法》(计价格〔2002〕1980号)、《国家发展改⾰委员会办公厅关于招标代理服务收费有关问题的通知》(发改办价格〔2003〕857号)以及《国家发展改⾰委关于降低部分建设项⽬收费标准规范收费⾏为等有关问题的通知》(发改价格〔2011〕534号)⽂件规定的标准（以中标价为基数），下浮21%进行计费，由成交供应商承担，在成交通知书发出前一次结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知识产权归采购⼈所有。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按照采购人需求验收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联系人：石晓梅</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地址：陕西省汉中市汉台区和谐春天108号楼三楼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为响应国家政策要求，完善医疗风险分担机制，将医疗纠纷处理从院内转移至院外，缓和医患矛盾，使医疗纠纷的处理更加合理、合规、合法，进行医疗责任保险采购。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医疗责任保险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标的名称：医疗责任保险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医疗责任保险是指投保医疗机构和医务人员在保险期内，因医疗责任发生经济赔偿或法律费用，保险公司将依照事先约定承担赔偿责任。</w:t>
            </w:r>
          </w:p>
          <w:p>
            <w:pPr>
              <w:pStyle w:val="null3"/>
              <w:jc w:val="both"/>
            </w:pPr>
            <w:r>
              <w:rPr>
                <w:rFonts w:ascii="仿宋_GB2312" w:hAnsi="仿宋_GB2312" w:cs="仿宋_GB2312" w:eastAsia="仿宋_GB2312"/>
                <w:sz w:val="24"/>
              </w:rPr>
              <w:t>一、购买医责险目的</w:t>
            </w:r>
          </w:p>
          <w:p>
            <w:pPr>
              <w:pStyle w:val="null3"/>
              <w:jc w:val="both"/>
            </w:pPr>
            <w:r>
              <w:rPr>
                <w:rFonts w:ascii="仿宋_GB2312" w:hAnsi="仿宋_GB2312" w:cs="仿宋_GB2312" w:eastAsia="仿宋_GB2312"/>
                <w:sz w:val="24"/>
              </w:rPr>
              <w:t>1.响应国家政策要求，完善医疗风险分担机制。</w:t>
            </w:r>
          </w:p>
          <w:p>
            <w:pPr>
              <w:pStyle w:val="null3"/>
              <w:jc w:val="both"/>
            </w:pPr>
            <w:r>
              <w:rPr>
                <w:rFonts w:ascii="仿宋_GB2312" w:hAnsi="仿宋_GB2312" w:cs="仿宋_GB2312" w:eastAsia="仿宋_GB2312"/>
                <w:sz w:val="24"/>
              </w:rPr>
              <w:t>2.将医疗纠纷处理从院内转移至院外，缓和医患矛盾、减轻医疗机构纠纷处理压力，维护医院正常诊疗秩序。</w:t>
            </w:r>
          </w:p>
          <w:p>
            <w:pPr>
              <w:pStyle w:val="null3"/>
              <w:jc w:val="both"/>
            </w:pPr>
            <w:r>
              <w:rPr>
                <w:rFonts w:ascii="仿宋_GB2312" w:hAnsi="仿宋_GB2312" w:cs="仿宋_GB2312" w:eastAsia="仿宋_GB2312"/>
                <w:sz w:val="24"/>
              </w:rPr>
              <w:t>3.多方参与使医疗纠纷的处理更加合理、合规、合法。</w:t>
            </w:r>
          </w:p>
          <w:p>
            <w:pPr>
              <w:pStyle w:val="null3"/>
              <w:jc w:val="both"/>
            </w:pPr>
            <w:r>
              <w:rPr>
                <w:rFonts w:ascii="仿宋_GB2312" w:hAnsi="仿宋_GB2312" w:cs="仿宋_GB2312" w:eastAsia="仿宋_GB2312"/>
                <w:sz w:val="24"/>
              </w:rPr>
              <w:t>二、购买医责险的意义</w:t>
            </w:r>
          </w:p>
          <w:p>
            <w:pPr>
              <w:pStyle w:val="null3"/>
              <w:jc w:val="both"/>
            </w:pPr>
            <w:r>
              <w:rPr>
                <w:rFonts w:ascii="仿宋_GB2312" w:hAnsi="仿宋_GB2312" w:cs="仿宋_GB2312" w:eastAsia="仿宋_GB2312"/>
                <w:sz w:val="24"/>
              </w:rPr>
              <w:t>购买医疗责任保险，通过</w:t>
            </w:r>
            <w:r>
              <w:rPr>
                <w:rFonts w:ascii="仿宋_GB2312" w:hAnsi="仿宋_GB2312" w:cs="仿宋_GB2312" w:eastAsia="仿宋_GB2312"/>
                <w:sz w:val="24"/>
              </w:rPr>
              <w:t>“调保赔”模式处理医疗纠纷是完善医患纠纷调解机制，推进“平安医院”建设的重要途径。建立医疗责任保险机制，可以将人民调解的赔付责任落到实处，提高人民调解的效果和成功率，因此推进医疗责任保险的开展，建立医疗责任保险制度，与人民调解机制相互结合，对于化解医患矛盾，积极妥善处理医疗纠纷、维护医患双方的合法权益是十分重要的。</w:t>
            </w:r>
          </w:p>
          <w:p>
            <w:pPr>
              <w:pStyle w:val="null3"/>
              <w:jc w:val="both"/>
            </w:pPr>
            <w:r>
              <w:rPr>
                <w:rFonts w:ascii="仿宋_GB2312" w:hAnsi="仿宋_GB2312" w:cs="仿宋_GB2312" w:eastAsia="仿宋_GB2312"/>
                <w:sz w:val="24"/>
              </w:rPr>
              <w:t>三、对于保险公司（本方案提到的保险公司都包含保险经纪公司）负责医责险人员配备的要求：</w:t>
            </w:r>
          </w:p>
          <w:p>
            <w:pPr>
              <w:pStyle w:val="null3"/>
              <w:jc w:val="both"/>
            </w:pPr>
            <w:r>
              <w:rPr>
                <w:rFonts w:ascii="仿宋_GB2312" w:hAnsi="仿宋_GB2312" w:cs="仿宋_GB2312" w:eastAsia="仿宋_GB2312"/>
                <w:sz w:val="24"/>
              </w:rPr>
              <w:t>1、建立一支专业化的团队，团队人员熟知《医师法》、《民法典》及《医疗纠纷预防和处理条例》等相关法律法规</w:t>
            </w:r>
          </w:p>
          <w:p>
            <w:pPr>
              <w:pStyle w:val="null3"/>
              <w:jc w:val="both"/>
            </w:pPr>
            <w:r>
              <w:rPr>
                <w:rFonts w:ascii="仿宋_GB2312" w:hAnsi="仿宋_GB2312" w:cs="仿宋_GB2312" w:eastAsia="仿宋_GB2312"/>
                <w:sz w:val="24"/>
              </w:rPr>
              <w:t>2、团队人员熟知医疗纠纷处理的各项法定途径以及尸检的相关要求，熟知医疗事故技术鉴定和医疗过错鉴定等鉴定的申请程序、鉴定的相关要求等内容。</w:t>
            </w:r>
          </w:p>
          <w:p>
            <w:pPr>
              <w:pStyle w:val="null3"/>
              <w:jc w:val="both"/>
            </w:pPr>
            <w:r>
              <w:rPr>
                <w:rFonts w:ascii="仿宋_GB2312" w:hAnsi="仿宋_GB2312" w:cs="仿宋_GB2312" w:eastAsia="仿宋_GB2312"/>
                <w:sz w:val="24"/>
              </w:rPr>
              <w:t>四、保险公司参与处理医疗纠纷的相关要求</w:t>
            </w:r>
          </w:p>
          <w:p>
            <w:pPr>
              <w:pStyle w:val="null3"/>
              <w:jc w:val="both"/>
            </w:pPr>
            <w:r>
              <w:rPr>
                <w:rFonts w:ascii="仿宋_GB2312" w:hAnsi="仿宋_GB2312" w:cs="仿宋_GB2312" w:eastAsia="仿宋_GB2312"/>
                <w:sz w:val="24"/>
              </w:rPr>
              <w:t>1、保险公司在医责险项目上应当建立完善有效的“调保赔”模式，在纠纷发生后需及时参与纠纷处理工作。</w:t>
            </w:r>
          </w:p>
          <w:p>
            <w:pPr>
              <w:pStyle w:val="null3"/>
              <w:jc w:val="both"/>
            </w:pPr>
            <w:r>
              <w:rPr>
                <w:rFonts w:ascii="仿宋_GB2312" w:hAnsi="仿宋_GB2312" w:cs="仿宋_GB2312" w:eastAsia="仿宋_GB2312"/>
                <w:sz w:val="24"/>
              </w:rPr>
              <w:t>2.纠纷发生后，医疗机构通知保险公司，保险公司第一时间派员到现场了解并参与医疗纠纷的处理，配合并协助医院人员引导患方通过调解或诉讼等合法途径处理医疗纠纷</w:t>
            </w:r>
          </w:p>
          <w:p>
            <w:pPr>
              <w:pStyle w:val="null3"/>
              <w:jc w:val="both"/>
            </w:pPr>
            <w:r>
              <w:rPr>
                <w:rFonts w:ascii="仿宋_GB2312" w:hAnsi="仿宋_GB2312" w:cs="仿宋_GB2312" w:eastAsia="仿宋_GB2312"/>
                <w:sz w:val="24"/>
              </w:rPr>
              <w:t>3、沟通</w:t>
            </w:r>
            <w:r>
              <w:rPr>
                <w:rFonts w:ascii="仿宋_GB2312" w:hAnsi="仿宋_GB2312" w:cs="仿宋_GB2312" w:eastAsia="仿宋_GB2312"/>
                <w:sz w:val="24"/>
              </w:rPr>
              <w:t>当地</w:t>
            </w:r>
            <w:r>
              <w:rPr>
                <w:rFonts w:ascii="仿宋_GB2312" w:hAnsi="仿宋_GB2312" w:cs="仿宋_GB2312" w:eastAsia="仿宋_GB2312"/>
                <w:sz w:val="24"/>
              </w:rPr>
              <w:t>医疗纠纷调解机构及时主动介入医疗纠纷的处理，配合医疗纠纷人民调解机构对于处理医疗纠纷所开展的相关调解工作。</w:t>
            </w:r>
          </w:p>
          <w:p>
            <w:pPr>
              <w:pStyle w:val="null3"/>
              <w:jc w:val="both"/>
            </w:pPr>
            <w:r>
              <w:rPr>
                <w:rFonts w:ascii="仿宋_GB2312" w:hAnsi="仿宋_GB2312" w:cs="仿宋_GB2312" w:eastAsia="仿宋_GB2312"/>
                <w:sz w:val="24"/>
              </w:rPr>
              <w:t>4、遇到重大、疑难复杂以及患方存在过激情绪或行为的纠纷，配合公安、信访以及卫健委等相关部门的工作，与医疗纠纷人民调解机构一起按程序处理相应纠纷。</w:t>
            </w:r>
          </w:p>
          <w:p>
            <w:pPr>
              <w:pStyle w:val="null3"/>
              <w:jc w:val="both"/>
            </w:pPr>
            <w:r>
              <w:rPr>
                <w:rFonts w:ascii="仿宋_GB2312" w:hAnsi="仿宋_GB2312" w:cs="仿宋_GB2312" w:eastAsia="仿宋_GB2312"/>
                <w:sz w:val="24"/>
              </w:rPr>
              <w:t>5、对于未经鉴定，责任不能明晰的医疗纠纷，医院不愿在通过鉴定定责前进行调解协商处理的，保险公司应积极配合医疗纠纷人民调解委员会引导患方进行相关鉴定以明确医疗纠纷责任主体及相关责任比例。</w:t>
            </w:r>
          </w:p>
          <w:p>
            <w:pPr>
              <w:pStyle w:val="null3"/>
              <w:jc w:val="both"/>
            </w:pPr>
            <w:r>
              <w:rPr>
                <w:rFonts w:ascii="仿宋_GB2312" w:hAnsi="仿宋_GB2312" w:cs="仿宋_GB2312" w:eastAsia="仿宋_GB2312"/>
                <w:sz w:val="24"/>
              </w:rPr>
              <w:t>五、保险公司的理赔要求</w:t>
            </w:r>
          </w:p>
          <w:p>
            <w:pPr>
              <w:pStyle w:val="null3"/>
              <w:jc w:val="both"/>
            </w:pPr>
            <w:r>
              <w:rPr>
                <w:rFonts w:ascii="仿宋_GB2312" w:hAnsi="仿宋_GB2312" w:cs="仿宋_GB2312" w:eastAsia="仿宋_GB2312"/>
                <w:sz w:val="24"/>
              </w:rPr>
              <w:t>1、保险公司对于医院自行协商处理、医调委调解处理、行政调解处理以及通过司法诉讼所判决的医疗纠纷赔偿或补偿数额均应向医院进行理赔。</w:t>
            </w:r>
          </w:p>
          <w:p>
            <w:pPr>
              <w:pStyle w:val="null3"/>
              <w:jc w:val="both"/>
            </w:pPr>
            <w:r>
              <w:rPr>
                <w:rFonts w:ascii="仿宋_GB2312" w:hAnsi="仿宋_GB2312" w:cs="仿宋_GB2312" w:eastAsia="仿宋_GB2312"/>
                <w:sz w:val="24"/>
              </w:rPr>
              <w:t>2、在纠纷处理完结后保险机构应当及时、快速、便捷的进行理赔，理赔时间自医疗纠纷终结处理之日起算最长不超过15日。</w:t>
            </w:r>
          </w:p>
          <w:p>
            <w:pPr>
              <w:pStyle w:val="null3"/>
              <w:jc w:val="both"/>
            </w:pPr>
            <w:r>
              <w:rPr>
                <w:rFonts w:ascii="仿宋_GB2312" w:hAnsi="仿宋_GB2312" w:cs="仿宋_GB2312" w:eastAsia="仿宋_GB2312"/>
                <w:sz w:val="24"/>
              </w:rPr>
              <w:t>3、对医疗纠纷的理赔应该制定专门的简易流程，确保在理赔时能够做到快速理赔。</w:t>
            </w:r>
          </w:p>
          <w:p>
            <w:pPr>
              <w:pStyle w:val="null3"/>
              <w:jc w:val="both"/>
            </w:pPr>
            <w:r>
              <w:rPr>
                <w:rFonts w:ascii="仿宋_GB2312" w:hAnsi="仿宋_GB2312" w:cs="仿宋_GB2312" w:eastAsia="仿宋_GB2312"/>
                <w:sz w:val="24"/>
              </w:rPr>
              <w:t>4. 对于未经鉴定，责任不能明晰的医疗纠纷，经双方协商或医调委调解处理的医疗纠纷，应按照理赔流程进行理赔。</w:t>
            </w:r>
          </w:p>
          <w:p>
            <w:pPr>
              <w:pStyle w:val="null3"/>
              <w:jc w:val="both"/>
            </w:pPr>
            <w:r>
              <w:rPr>
                <w:rFonts w:ascii="仿宋_GB2312" w:hAnsi="仿宋_GB2312" w:cs="仿宋_GB2312" w:eastAsia="仿宋_GB2312"/>
                <w:sz w:val="24"/>
              </w:rPr>
              <w:t>六、其他要求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、保险公司应当在采购人驻地设立服务机构。</w:t>
            </w:r>
          </w:p>
          <w:p>
            <w:pPr>
              <w:pStyle w:val="null3"/>
              <w:jc w:val="both"/>
            </w:pPr>
            <w:r>
              <w:rPr>
                <w:rFonts w:ascii="仿宋_GB2312" w:hAnsi="仿宋_GB2312" w:cs="仿宋_GB2312" w:eastAsia="仿宋_GB2312"/>
                <w:sz w:val="24"/>
              </w:rPr>
              <w:t>2、保险公司每年应当制定具体的学习、培训计划，定期邀请相关专家对全院职工进行医疗纠纷的预防及应对进行培训，减少医疗纠纷的发生。</w:t>
            </w:r>
          </w:p>
          <w:p>
            <w:pPr>
              <w:pStyle w:val="null3"/>
              <w:jc w:val="both"/>
            </w:pPr>
            <w:r>
              <w:rPr>
                <w:rFonts w:ascii="仿宋_GB2312" w:hAnsi="仿宋_GB2312" w:cs="仿宋_GB2312" w:eastAsia="仿宋_GB2312"/>
                <w:sz w:val="24"/>
              </w:rPr>
              <w:t>3、在纠纷处理过程中，应当积极参与，做好患方、医方、医调委以及保险公司之间的沟通协调工作，同时对于纠纷的处理情况以及处理结果不得私自对外公开。</w:t>
            </w:r>
          </w:p>
          <w:p>
            <w:pPr>
              <w:pStyle w:val="null3"/>
              <w:jc w:val="both"/>
            </w:pPr>
            <w:r>
              <w:rPr>
                <w:rFonts w:ascii="仿宋_GB2312" w:hAnsi="仿宋_GB2312" w:cs="仿宋_GB2312" w:eastAsia="仿宋_GB2312"/>
                <w:sz w:val="24"/>
              </w:rPr>
              <w:t>4、在医疗纠纷处理过程中需要进行尸检的，保险公司应当协助医疗机构联系尸检鉴定机构，并配合医院完成尸检相关事宜。</w:t>
            </w:r>
          </w:p>
          <w:p>
            <w:pPr>
              <w:pStyle w:val="null3"/>
              <w:jc w:val="both"/>
            </w:pPr>
            <w:r>
              <w:rPr>
                <w:rFonts w:ascii="仿宋_GB2312" w:hAnsi="仿宋_GB2312" w:cs="仿宋_GB2312" w:eastAsia="仿宋_GB2312"/>
                <w:sz w:val="24"/>
              </w:rPr>
              <w:t>5.保险公司需派工作人员驻医院办公，负责前期的纠纷接待处理以及医方、保险公司、医调委三方的协调工作。派驻人员需有接待处理医疗纠纷的能力，协助医院工作人员处理医疗纠纷；派驻人员要会使用Office相关办公软件，协助医院完成医院安排的其他工作任务。</w:t>
            </w:r>
          </w:p>
          <w:p>
            <w:pPr>
              <w:pStyle w:val="null3"/>
              <w:jc w:val="both"/>
            </w:pPr>
            <w:r>
              <w:rPr>
                <w:rFonts w:ascii="仿宋_GB2312" w:hAnsi="仿宋_GB2312" w:cs="仿宋_GB2312" w:eastAsia="仿宋_GB2312"/>
                <w:sz w:val="24"/>
              </w:rPr>
              <w:t>6.保险公司需同</w:t>
            </w:r>
            <w:r>
              <w:rPr>
                <w:rFonts w:ascii="仿宋_GB2312" w:hAnsi="仿宋_GB2312" w:cs="仿宋_GB2312" w:eastAsia="仿宋_GB2312"/>
                <w:sz w:val="24"/>
              </w:rPr>
              <w:t>采购人驻地</w:t>
            </w:r>
            <w:r>
              <w:rPr>
                <w:rFonts w:ascii="仿宋_GB2312" w:hAnsi="仿宋_GB2312" w:cs="仿宋_GB2312" w:eastAsia="仿宋_GB2312"/>
                <w:sz w:val="24"/>
              </w:rPr>
              <w:t>的医疗纠纷调解机构有相应的协作关系，确保纠纷发生后能及时引导患方通过第三方调解处理。</w:t>
            </w:r>
          </w:p>
          <w:p>
            <w:pPr>
              <w:pStyle w:val="null3"/>
              <w:jc w:val="both"/>
            </w:pPr>
            <w:r>
              <w:rPr>
                <w:rFonts w:ascii="仿宋_GB2312" w:hAnsi="仿宋_GB2312" w:cs="仿宋_GB2312" w:eastAsia="仿宋_GB2312"/>
                <w:sz w:val="24"/>
              </w:rPr>
              <w:t>七、相关数额要求：</w:t>
            </w:r>
          </w:p>
          <w:p>
            <w:pPr>
              <w:pStyle w:val="null3"/>
              <w:jc w:val="both"/>
            </w:pPr>
            <w:r>
              <w:rPr>
                <w:rFonts w:ascii="仿宋_GB2312" w:hAnsi="仿宋_GB2312" w:cs="仿宋_GB2312" w:eastAsia="仿宋_GB2312"/>
                <w:sz w:val="24"/>
              </w:rPr>
              <w:t>每年度总保费：</w:t>
            </w:r>
            <w:r>
              <w:rPr>
                <w:rFonts w:ascii="仿宋_GB2312" w:hAnsi="仿宋_GB2312" w:cs="仿宋_GB2312" w:eastAsia="仿宋_GB2312"/>
                <w:sz w:val="24"/>
              </w:rPr>
              <w:t>230万元</w:t>
            </w:r>
          </w:p>
          <w:p>
            <w:pPr>
              <w:pStyle w:val="null3"/>
              <w:jc w:val="both"/>
            </w:pPr>
            <w:r>
              <w:rPr>
                <w:rFonts w:ascii="仿宋_GB2312" w:hAnsi="仿宋_GB2312" w:cs="仿宋_GB2312" w:eastAsia="仿宋_GB2312"/>
                <w:sz w:val="24"/>
              </w:rPr>
              <w:t>每年度医疗责任累计责任限额：不低于</w:t>
            </w:r>
            <w:r>
              <w:rPr>
                <w:rFonts w:ascii="仿宋_GB2312" w:hAnsi="仿宋_GB2312" w:cs="仿宋_GB2312" w:eastAsia="仿宋_GB2312"/>
                <w:sz w:val="24"/>
              </w:rPr>
              <w:t xml:space="preserve">250万元    </w:t>
            </w:r>
          </w:p>
          <w:p>
            <w:pPr>
              <w:pStyle w:val="null3"/>
              <w:jc w:val="both"/>
            </w:pPr>
            <w:r>
              <w:rPr>
                <w:rFonts w:ascii="仿宋_GB2312" w:hAnsi="仿宋_GB2312" w:cs="仿宋_GB2312" w:eastAsia="仿宋_GB2312"/>
                <w:sz w:val="24"/>
              </w:rPr>
              <w:t>每次纠纷责任限额：</w:t>
            </w:r>
            <w:r>
              <w:rPr>
                <w:rFonts w:ascii="仿宋_GB2312" w:hAnsi="仿宋_GB2312" w:cs="仿宋_GB2312" w:eastAsia="仿宋_GB2312"/>
                <w:sz w:val="24"/>
              </w:rPr>
              <w:t>60万元</w:t>
            </w:r>
          </w:p>
          <w:p>
            <w:pPr>
              <w:pStyle w:val="null3"/>
              <w:jc w:val="both"/>
            </w:pPr>
            <w:r>
              <w:rPr>
                <w:rFonts w:ascii="仿宋_GB2312" w:hAnsi="仿宋_GB2312" w:cs="仿宋_GB2312" w:eastAsia="仿宋_GB2312"/>
                <w:sz w:val="24"/>
              </w:rPr>
              <w:t>八、医院介绍</w:t>
            </w:r>
          </w:p>
          <w:p>
            <w:pPr>
              <w:pStyle w:val="null3"/>
              <w:jc w:val="both"/>
            </w:pPr>
            <w:r>
              <w:rPr>
                <w:rFonts w:ascii="仿宋_GB2312" w:hAnsi="仿宋_GB2312" w:cs="仿宋_GB2312" w:eastAsia="仿宋_GB2312"/>
                <w:sz w:val="24"/>
              </w:rPr>
              <w:t>汉中市中心医院，是国家三级甲等医院，是市属公立性综合性医院。</w:t>
            </w:r>
          </w:p>
          <w:p>
            <w:pPr>
              <w:pStyle w:val="null3"/>
            </w:pPr>
            <w:r>
              <w:rPr>
                <w:rFonts w:ascii="仿宋_GB2312" w:hAnsi="仿宋_GB2312" w:cs="仿宋_GB2312" w:eastAsia="仿宋_GB2312"/>
                <w:sz w:val="24"/>
              </w:rPr>
              <w:t>医院现有本部、龙岗两个院区，上年度核定床位数：</w:t>
            </w:r>
            <w:r>
              <w:rPr>
                <w:rFonts w:ascii="仿宋_GB2312" w:hAnsi="仿宋_GB2312" w:cs="仿宋_GB2312" w:eastAsia="仿宋_GB2312"/>
                <w:sz w:val="24"/>
                <w:u w:val="single"/>
              </w:rPr>
              <w:t>1839</w:t>
            </w:r>
            <w:r>
              <w:rPr>
                <w:rFonts w:ascii="仿宋_GB2312" w:hAnsi="仿宋_GB2312" w:cs="仿宋_GB2312" w:eastAsia="仿宋_GB2312"/>
                <w:sz w:val="24"/>
              </w:rPr>
              <w:t>张，年手术人次</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25757 </w:t>
            </w:r>
            <w:r>
              <w:rPr>
                <w:rFonts w:ascii="仿宋_GB2312" w:hAnsi="仿宋_GB2312" w:cs="仿宋_GB2312" w:eastAsia="仿宋_GB2312"/>
                <w:sz w:val="24"/>
              </w:rPr>
              <w:t>台，医生</w:t>
            </w:r>
            <w:r>
              <w:rPr>
                <w:rFonts w:ascii="仿宋_GB2312" w:hAnsi="仿宋_GB2312" w:cs="仿宋_GB2312" w:eastAsia="仿宋_GB2312"/>
                <w:sz w:val="24"/>
                <w:u w:val="single"/>
              </w:rPr>
              <w:t>741</w:t>
            </w:r>
            <w:r>
              <w:rPr>
                <w:rFonts w:ascii="仿宋_GB2312" w:hAnsi="仿宋_GB2312" w:cs="仿宋_GB2312" w:eastAsia="仿宋_GB2312"/>
                <w:sz w:val="24"/>
              </w:rPr>
              <w:t>人，护士</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1163 </w:t>
            </w:r>
            <w:r>
              <w:rPr>
                <w:rFonts w:ascii="仿宋_GB2312" w:hAnsi="仿宋_GB2312" w:cs="仿宋_GB2312" w:eastAsia="仿宋_GB2312"/>
                <w:sz w:val="24"/>
              </w:rPr>
              <w:t>人，年诊疗人数：</w:t>
            </w:r>
            <w:r>
              <w:rPr>
                <w:rFonts w:ascii="仿宋_GB2312" w:hAnsi="仿宋_GB2312" w:cs="仿宋_GB2312" w:eastAsia="仿宋_GB2312"/>
                <w:sz w:val="24"/>
                <w:u w:val="single"/>
              </w:rPr>
              <w:t>100000</w:t>
            </w:r>
            <w:r>
              <w:rPr>
                <w:rFonts w:ascii="仿宋_GB2312" w:hAnsi="仿宋_GB2312" w:cs="仿宋_GB2312" w:eastAsia="仿宋_GB2312"/>
                <w:sz w:val="24"/>
              </w:rPr>
              <w:t>人</w:t>
            </w:r>
            <w:r>
              <w:rPr>
                <w:rFonts w:ascii="仿宋_GB2312" w:hAnsi="仿宋_GB2312" w:cs="仿宋_GB2312" w:eastAsia="仿宋_GB2312"/>
                <w:sz w:val="24"/>
              </w:rPr>
              <w:t>。</w:t>
            </w:r>
          </w:p>
          <w:p>
            <w:pPr>
              <w:pStyle w:val="null3"/>
            </w:pPr>
            <w:r>
              <w:rPr>
                <w:rFonts w:ascii="仿宋_GB2312" w:hAnsi="仿宋_GB2312" w:cs="仿宋_GB2312" w:eastAsia="仿宋_GB2312"/>
                <w:sz w:val="24"/>
              </w:rPr>
              <w:t>九、成交供应商在合同签订后，3个工作日内出具保单。</w:t>
            </w:r>
          </w:p>
          <w:p>
            <w:pPr>
              <w:pStyle w:val="null3"/>
            </w:pPr>
            <w:r>
              <w:rPr>
                <w:rFonts w:ascii="仿宋_GB2312" w:hAnsi="仿宋_GB2312" w:cs="仿宋_GB2312" w:eastAsia="仿宋_GB2312"/>
                <w:sz w:val="24"/>
              </w:rPr>
              <w:t>本项目采取一次招标三年沿用，按“一年一考核、逐年续签”执行，三年服务期内保障标准、服务质量保持一致不降低，保费不上涨。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服务期限：自合同签订起一年，本项目采取一次招标三年沿用，按“一年一考核、逐年续签”执行，三年服务期内保障标准、服务质量保持一致不降低，保费不上涨。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报案响应及时、理赔流程规范，在约定时限内完成赔付。年度内有效投诉为零，服务配合度高，资料交接完整。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进度款，首年合同期满前一个月内，达到付款条件起30个工作日内，支付合同总金额的50.0%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（1）甲⼄双⽅必须遵守本合同并执⾏合同中的各项规定，保证本合同的正常履⾏。 （2）如因⼄⽅⼯作⼈员在履⾏职 务过程中的疏忽、失职、过错等故意或者过失原因给甲⽅造成损失或侵害，包括但不限于甲⽅本⾝的财产损失、由此⽽导致的甲⽅对任何第三⽅的法律责任等，⼄⽅对此均应承担全部的赔偿责任。 2、争议解决办法： （1）在执⾏本合同中发⽣的或与本合同有关的争端，双⽅应通过友好协商解决，经协商不能达成协议时，应提交项⽬所在地仲裁委员会仲裁或向当地⼈⺠法院提起诉讼解决。 （2）仲裁裁决或法院判决应为最终决定，并对双⽅具有约束⼒。 （3）除另有裁决外，仲裁费或诉讼费应由败诉⽅负担。 （4）在仲裁或诉讼期间，除正在进⾏仲裁或诉讼部分外，合同其他部分继续执⾏。（以上内容中的“甲⽅”和“⼄⽅”分别指的是“采购⼈”和“成交供应商”）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化交易平台应⽤⼯作，供应商需要在线提交所有通过电⼦化交易平台实施的政府采购项⽬的投标响应⽂件。各供应商应在递交截⽌时间前将响应⽂件上传⾄平台，如未按时提交响应⽂件或电⼦响应⽂件因供应商⾃⾝原因导致⽆法导⼊或解密，由此导致的结果由供应商⾃⾏承担。 2.评审时因供应商提供⽂件材料不清晰导致⽆法辨认的，或隐瞒相关不良信息的，造成资格不通过的后果⾃负。 3.成交供应商在采购结果发布后3个⼯作⽇内向代理机构提交纸质版响应⽂件以便于存档，响应⽂件正本1份，副本1份，电⼦版⽂件1份（U盘）。纸质响应⽂件均须A4纸双⾯打印，分别装订成册并编制⽬录和⻚码。线下递交响应⽂件地点：汉中市汉台区和谐春天108号楼3楼。 3.如招标⽂件中融资相关内容与新政策要求有出⼊，按照最新要求执⾏。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供应商提供合法有效的营业执照或事业单位法人证书等国家规定的相关证明，自然人参与的提供其身份证明。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保险公司应当在国务院保险监督管理机构依法批准的业务范围内从事保险经营活动。供应商必须是经国务院保险监督管理机构批准成立的保险公司。总公司取得的相关资质和指标，分支机构经总公司有效授权视为拥有同等资质和指标)</w:t>
            </w:r>
          </w:p>
        </w:tc>
        <w:tc>
          <w:tcPr>
            <w:tcW w:type="dxa" w:w="3322"/>
          </w:tcPr>
          <w:p>
            <w:pPr>
              <w:pStyle w:val="null3"/>
            </w:pPr>
            <w:r>
              <w:rPr>
                <w:rFonts w:ascii="仿宋_GB2312" w:hAnsi="仿宋_GB2312" w:cs="仿宋_GB2312" w:eastAsia="仿宋_GB2312"/>
              </w:rPr>
              <w:t>供应商须提供有效的《保险许可证》。（同一保险机构只允许其本部或一家分支机构参与，若供应商为分支机构,须提供总公司针对本项目的唯一授权书）。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供应商应授权合法的人员参加开标过程</w:t>
            </w:r>
          </w:p>
        </w:tc>
        <w:tc>
          <w:tcPr>
            <w:tcW w:type="dxa" w:w="3322"/>
          </w:tcPr>
          <w:p>
            <w:pPr>
              <w:pStyle w:val="null3"/>
            </w:pPr>
            <w:r>
              <w:rPr>
                <w:rFonts w:ascii="仿宋_GB2312" w:hAnsi="仿宋_GB2312" w:cs="仿宋_GB2312" w:eastAsia="仿宋_GB2312"/>
              </w:rPr>
              <w:t>供应商应授权合法的人员参加开标全过程，其中法定代表人（单位负责人）直接参加开标的，须出具加盖公章的法定代表人（单位负责人）证明书，并与营业执照上信息一致；授权代表参加开标的，须出具加盖公章的法定代表人（单位负责人）授权委托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本项目不接受联合体投标。供应商需提供加盖公章的非联合体投标承诺。</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所属⾏业为：其他未列明⾏业。本项⽬为⾮专⻔⾯向中⼩企业采购，对符合规定的⼩微企业报价给予10%的扣除，⽤扣除后的价格参加评审。成交供应商享受规定的中⼩企业扶持政策的，采购代理机构随成交结果公开成交供应商的《中⼩企业声明函》。在采购活动中，监狱企业、残疾⼈福利性单位视同⼩型、微型企业。监狱企业参加采购活动时，应当提供由省级以上监狱管理局、戒毒管理局（含新疆⽣产建设兵团）出具的属于监狱企业的证明⽂件。符合条件的残疾⼈福利性单位在参加采购活动时，应当提供《残疾⼈福利性单位声明函》，并对声明的真实性负责。</w:t>
            </w:r>
          </w:p>
        </w:tc>
        <w:tc>
          <w:tcPr>
            <w:tcW w:type="dxa" w:w="3322"/>
          </w:tcPr>
          <w:p>
            <w:pPr>
              <w:pStyle w:val="null3"/>
            </w:pPr>
            <w:r>
              <w:rPr>
                <w:rFonts w:ascii="仿宋_GB2312" w:hAnsi="仿宋_GB2312" w:cs="仿宋_GB2312" w:eastAsia="仿宋_GB2312"/>
              </w:rPr>
              <w:t>（1）《政府采购促进中⼩企业发展管理办法》（财库〔2020〕46号）； （2）《关于进⼀步加⼤政府采购⽀持中⼩企业⼒度的通知》（财库〔2022〕19号； （3）《陕西省财政厅关于进⼀步加⼤政府采购⽀持中⼩企业⼒度的通知》（陕财办采〔2022〕5号）； （4）《财政部 司法部关于政府采购⽀持监狱企业发展有关问题的通知》（财库〔2014〕68号）； （5）《三部⻔联合发布关于促进残疾⼈就业政府采购政策的通知》（财库〔2017〕141号）； （6）《国务院办公厅关于建⽴政府强制采购节能产品制度的通知》（国发办〔2007〕51号）； （7）《财政部 发展改⾰委 ⽣态环境部 市场监管总局关于调整优化节能产品、环境标志产品政府采购执⾏机制的通知》 （财库〔2019〕9号）； （8）《陕西省财政厅关于进⼀步加强政府绿⾊采购有关问题的通知》（陕财办采〔2021〕29号）； （9）《财政部 关于在政府采购活动中落实平等对待内外资企业有关政策的通知》（财库〔2021〕35号）； （10）陕西省财政厅关于印发《陕西省中⼩企业政府采购信⽤融资办法》（陕财办采〔2018〕23号）； （11）陕西省财政厅《关于加快推进我省中⼩企业政府采购信⽤融资⼯作的通知》（ 陕财办采〔2020〕15号）；（12）如有最新颁布的政府采购政策，按最新的⽂件执⾏。</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合同履⾏期限（实质性要求）</w:t>
            </w:r>
          </w:p>
        </w:tc>
        <w:tc>
          <w:tcPr>
            <w:tcW w:type="dxa" w:w="3322"/>
          </w:tcPr>
          <w:p>
            <w:pPr>
              <w:pStyle w:val="null3"/>
            </w:pPr>
            <w:r>
              <w:rPr>
                <w:rFonts w:ascii="仿宋_GB2312" w:hAnsi="仿宋_GB2312" w:cs="仿宋_GB2312" w:eastAsia="仿宋_GB2312"/>
              </w:rPr>
              <w:t>服务期限：自合同签订起一年，本项目采取一次招标三年沿用，按“一年一考核、逐年续签”执行，三年服务期内保障标准、服务质量保持一致不降低，保费不上涨。</w:t>
            </w:r>
          </w:p>
        </w:tc>
        <w:tc>
          <w:tcPr>
            <w:tcW w:type="dxa" w:w="1661"/>
          </w:tcPr>
          <w:p>
            <w:pPr>
              <w:pStyle w:val="null3"/>
            </w:pPr>
            <w:r>
              <w:rPr>
                <w:rFonts w:ascii="仿宋_GB2312" w:hAnsi="仿宋_GB2312" w:cs="仿宋_GB2312" w:eastAsia="仿宋_GB2312"/>
              </w:rPr>
              <w:t>开标一览表 商务响应文件 技术响应文件 服务内容及服务要求应答表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投标有效期（实质性要求）</w:t>
            </w:r>
          </w:p>
        </w:tc>
        <w:tc>
          <w:tcPr>
            <w:tcW w:type="dxa" w:w="3322"/>
          </w:tcPr>
          <w:p>
            <w:pPr>
              <w:pStyle w:val="null3"/>
            </w:pPr>
            <w:r>
              <w:rPr>
                <w:rFonts w:ascii="仿宋_GB2312" w:hAnsi="仿宋_GB2312" w:cs="仿宋_GB2312" w:eastAsia="仿宋_GB2312"/>
              </w:rPr>
              <w:t>提交响应文件截止之日起90日历天</w:t>
            </w:r>
          </w:p>
        </w:tc>
        <w:tc>
          <w:tcPr>
            <w:tcW w:type="dxa" w:w="1661"/>
          </w:tcPr>
          <w:p>
            <w:pPr>
              <w:pStyle w:val="null3"/>
            </w:pPr>
            <w:r>
              <w:rPr>
                <w:rFonts w:ascii="仿宋_GB2312" w:hAnsi="仿宋_GB2312" w:cs="仿宋_GB2312" w:eastAsia="仿宋_GB2312"/>
              </w:rPr>
              <w:t>商务响应文件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响应⽂件上法定代表⼈（单位负责人）或其委托代理⼈的签字⻬全，指定位置处加盖单位公章。</w:t>
            </w:r>
          </w:p>
        </w:tc>
        <w:tc>
          <w:tcPr>
            <w:tcW w:type="dxa" w:w="1661"/>
          </w:tcPr>
          <w:p>
            <w:pPr>
              <w:pStyle w:val="null3"/>
            </w:pPr>
            <w:r>
              <w:rPr>
                <w:rFonts w:ascii="仿宋_GB2312" w:hAnsi="仿宋_GB2312" w:cs="仿宋_GB2312" w:eastAsia="仿宋_GB2312"/>
              </w:rPr>
              <w:t>开标一览表 技术响应文件 中小企业声明函 服务内容及服务要求应答表 保证金缴纳凭证 商务响应文件 资格证明文件 投标函 供应商业绩情况表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只能有⼀个有效报价，不得提交选择性报价，且报价不超过采购预算⾦额。</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医疗责任险服务方案</w:t>
            </w:r>
          </w:p>
        </w:tc>
        <w:tc>
          <w:tcPr>
            <w:tcW w:type="dxa" w:w="2492"/>
          </w:tcPr>
          <w:p>
            <w:pPr>
              <w:pStyle w:val="null3"/>
            </w:pPr>
            <w:r>
              <w:rPr>
                <w:rFonts w:ascii="仿宋_GB2312" w:hAnsi="仿宋_GB2312" w:cs="仿宋_GB2312" w:eastAsia="仿宋_GB2312"/>
              </w:rPr>
              <w:t>针对本项目提供详细的医疗责任险服务方案包括：①承保服务方案；②理赔服务方案；③快速理赔通道；④针对本项目设有便捷的保险操作平台,自助查询理赔平台，能够实时了解整体赔付情况；⑤风险管理方案；⑥投诉管理制度及监督措施；⑦客户资料保密方案；⑧对特殊事故的应急处理预案。 评审标准：以上各项内容全面详细、阐述条理清晰得24分，每缺一项扣3分，每项中的内容存在缺陷，扣 1 分，扣完为止。 备注：本项所称“缺陷”是指内容不合理、虽有内容但不完善、⾮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人员管理及培训方案</w:t>
            </w:r>
          </w:p>
        </w:tc>
        <w:tc>
          <w:tcPr>
            <w:tcW w:type="dxa" w:w="2492"/>
          </w:tcPr>
          <w:p>
            <w:pPr>
              <w:pStyle w:val="null3"/>
            </w:pPr>
            <w:r>
              <w:rPr>
                <w:rFonts w:ascii="仿宋_GB2312" w:hAnsi="仿宋_GB2312" w:cs="仿宋_GB2312" w:eastAsia="仿宋_GB2312"/>
              </w:rPr>
              <w:t>针对本项目提供专业服务团队及定期组织团队进行专业化培训包括：①服务人员管理制度；②人员岗位职责；③培训方式；④培训内容。 评审标准：以上各项内容全面详细、阐述条理清晰得8分，每缺一项扣2分，每项中的内容存在缺陷，扣 1 分，扣完为止。 备注：本项所称“缺陷”是指内容不合理、虽有内容但不完善、⾮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针对本项目有具体的售后服务方案，内容包含：①售后服务方案；②售后响应时间；③售后人员安排；④其他售后服务承诺。 评审标准：以上各项内容全面详细、阐述条理清晰得8分，每缺一项扣2分，每项中的内容存在缺陷，扣 1 分，扣完为止。 备注：本项所称“缺陷”是指内容不合理、虽有内容但不完善、⾮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近三年（自2023年1月1日起至投标文件递交截止时间止）完成的类似项目业绩，每提供一个得2.5分,最高5分。业绩证明材料：须提供清晰合同复印件或保单并加盖供应商公章。（时间以合同签订时间或保单生效时间为准，提供两项证明材料的以早的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团队人员中具有与本项目服务相关的专业人员包括（核赔师、经济师、客户经理、医学、金融、保险、法律、经济类专业人员），以上专业中提供1名任意一类专业人员得1分，本评审项最高可得6分。同一人员持有多个不同证书不可累计计分。 评审依据：须提供人员身份证、资格证/岗位证，及在本单位缴纳至少1个月的社会保险凭证或劳务关系证明。以上证明材料缺一不得分。（①本公司在职人员提供社保缴纳证明；②退休返聘⼈员⽆法提供社保证明的，须提供退休证及返聘劳动合同复印件；③劳务派遣人员须提供由派遣单位缴纳至少1个月的社会保险的证明，及派遣单位出具的劳务关系证明加盖用工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法⼈机构经营评价结果</w:t>
            </w:r>
          </w:p>
        </w:tc>
        <w:tc>
          <w:tcPr>
            <w:tcW w:type="dxa" w:w="2492"/>
          </w:tcPr>
          <w:p>
            <w:pPr>
              <w:pStyle w:val="null3"/>
            </w:pPr>
            <w:r>
              <w:rPr>
                <w:rFonts w:ascii="仿宋_GB2312" w:hAnsi="仿宋_GB2312" w:cs="仿宋_GB2312" w:eastAsia="仿宋_GB2312"/>
              </w:rPr>
              <w:t>根据中国保险⾏业协会关于2023年度保险公司法⼈机构经营评价结果的公告： A级得9分；B级得6分；C级得3分,其他或低于C级不得分。 评审依据:供应商提供中国保险行业协会发布的2023年度财产险公司经营评价结果，清晰标注出本单位名称并加盖公章。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保险公司风险评级</w:t>
            </w:r>
          </w:p>
        </w:tc>
        <w:tc>
          <w:tcPr>
            <w:tcW w:type="dxa" w:w="2492"/>
          </w:tcPr>
          <w:p>
            <w:pPr>
              <w:pStyle w:val="null3"/>
            </w:pPr>
            <w:r>
              <w:rPr>
                <w:rFonts w:ascii="仿宋_GB2312" w:hAnsi="仿宋_GB2312" w:cs="仿宋_GB2312" w:eastAsia="仿宋_GB2312"/>
              </w:rPr>
              <w:t>依据银保监会《保险公司偿付能力监管规则第11号：风险综合评级（分类监管）》文件，银保监会按照偿付能力风险大小将保险公司分为A、B、C、D四个监管类别。 2025年第四季度评级为①A级及以上得8分； ②A级以下，B级及以上得6分；③B级以下，C级及以上得4分；④C级以下得2分。当年新设立的或开业未满一个完整会计年度的保险公司提供低风险承诺，该项可得1分。 评审依据：供应商提供国家金融监督管理总局偿付能力监管信息系统查询截图或保险公司官网披露偿付能力风险评级截图。当年新设立的或开业未满一个完整会计年度的保险公司提供低风险承诺。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综合偿付能力</w:t>
            </w:r>
          </w:p>
        </w:tc>
        <w:tc>
          <w:tcPr>
            <w:tcW w:type="dxa" w:w="2492"/>
          </w:tcPr>
          <w:p>
            <w:pPr>
              <w:pStyle w:val="null3"/>
            </w:pPr>
            <w:r>
              <w:rPr>
                <w:rFonts w:ascii="仿宋_GB2312" w:hAnsi="仿宋_GB2312" w:cs="仿宋_GB2312" w:eastAsia="仿宋_GB2312"/>
              </w:rPr>
              <w:t>参照国家金融监督管理总局披露的2026年保险公司偿付能力情况表，供应商2026年第1季度综合偿付能力充足率在100%-149%的得2分，150%-200%的得4分，大于200%的得6分。其余情况不得分。 评审依据：供应商提供保险公司官网偿付能力查询截图或公开信息披露的报告截图。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核心偿付能力</w:t>
            </w:r>
          </w:p>
        </w:tc>
        <w:tc>
          <w:tcPr>
            <w:tcW w:type="dxa" w:w="2492"/>
          </w:tcPr>
          <w:p>
            <w:pPr>
              <w:pStyle w:val="null3"/>
            </w:pPr>
            <w:r>
              <w:rPr>
                <w:rFonts w:ascii="仿宋_GB2312" w:hAnsi="仿宋_GB2312" w:cs="仿宋_GB2312" w:eastAsia="仿宋_GB2312"/>
              </w:rPr>
              <w:t>参照国家金融监督管理总局披露的2026年保险公司偿付能力情况表，供应商2026年度第1季度核心偿付能力充足率在100%-149%的得2分，150%-200%的得4分，大于200%的得6分。其余情况不得分。 评审依据：供应商提供保险公司官网偿付能力查询截图或公开信息披露的报告截图。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经济赔偿责任承诺</w:t>
            </w:r>
          </w:p>
        </w:tc>
        <w:tc>
          <w:tcPr>
            <w:tcW w:type="dxa" w:w="2492"/>
          </w:tcPr>
          <w:p>
            <w:pPr>
              <w:pStyle w:val="null3"/>
            </w:pPr>
            <w:r>
              <w:rPr>
                <w:rFonts w:ascii="仿宋_GB2312" w:hAnsi="仿宋_GB2312" w:cs="仿宋_GB2312" w:eastAsia="仿宋_GB2312"/>
              </w:rPr>
              <w:t>当医疗机构或医务人员在执业过程中，因过失、医疗差错或未尽到与当时医疗水平相应的诊疗义务，导致患者人身损害（如伤残、死亡、误工费、医疗费等），保险公司将依据合同约定，对患者依法应由医疗机构承担的经济赔偿责任进行赔付。 评审依据：供应商提供加盖公章的承诺，承诺内容详细的得2分，未提供承诺的不得分。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法律费用覆盖承诺</w:t>
            </w:r>
          </w:p>
        </w:tc>
        <w:tc>
          <w:tcPr>
            <w:tcW w:type="dxa" w:w="2492"/>
          </w:tcPr>
          <w:p>
            <w:pPr>
              <w:pStyle w:val="null3"/>
            </w:pPr>
            <w:r>
              <w:rPr>
                <w:rFonts w:ascii="仿宋_GB2312" w:hAnsi="仿宋_GB2312" w:cs="仿宋_GB2312" w:eastAsia="仿宋_GB2312"/>
              </w:rPr>
              <w:t>若因医疗纠纷被提起仲裁或诉讼，保险公司会承担经事先书面同意的法律费用，包括但不限于：事故鉴定费、查勘费、取证费、仲裁或诉讼费、案件受理费、律师费等必要合理费用。 评审依据：供应商提供加盖公章的承诺，承诺内容详细的得2分，未提供承诺的不得分。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纠纷处理协助承诺</w:t>
            </w:r>
          </w:p>
        </w:tc>
        <w:tc>
          <w:tcPr>
            <w:tcW w:type="dxa" w:w="2492"/>
          </w:tcPr>
          <w:p>
            <w:pPr>
              <w:pStyle w:val="null3"/>
            </w:pPr>
            <w:r>
              <w:rPr>
                <w:rFonts w:ascii="仿宋_GB2312" w:hAnsi="仿宋_GB2312" w:cs="仿宋_GB2312" w:eastAsia="仿宋_GB2312"/>
              </w:rPr>
              <w:t>保险公司提供医疗纠纷调解、风险评估等服务，协助医疗机构与患者协商解决争议，降低纠纷升级风险。 评审依据：供应商提供加盖公章的承诺，承诺内容详细的得2分，未提供承诺的不得分。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追溯期保障承诺</w:t>
            </w:r>
          </w:p>
        </w:tc>
        <w:tc>
          <w:tcPr>
            <w:tcW w:type="dxa" w:w="2492"/>
          </w:tcPr>
          <w:p>
            <w:pPr>
              <w:pStyle w:val="null3"/>
            </w:pPr>
            <w:r>
              <w:rPr>
                <w:rFonts w:ascii="仿宋_GB2312" w:hAnsi="仿宋_GB2312" w:cs="仿宋_GB2312" w:eastAsia="仿宋_GB2312"/>
              </w:rPr>
              <w:t>医疗行为或纠纷发生时点虽不在当前投保期限内，但处于约定的追溯期内，符合合同约定的仍可被纳入保障范围。 评审依据：供应商提供加盖公章的承诺，承诺内容详细完全响应的得2分，未提供承诺的不得分。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供应商针对本项目提供其他增值服务，包括但不限于：其他保险的业务咨询、医院办理其他保险的价格优惠。 评审依据：供应商提供加盖公章的承诺，承诺内容详细的得2分，未提供承诺的不得分。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价格分统一采用低价优先法计算，即满足招标文件要求且投标价格最低的投标报价为评标基准价，其价格分为满分10分，其他供应商的价格分统一按照下列公式计算：投标报价得分=（评标基准价/投标报价）×10。 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未设定最高限价的采购项目，以采购项目预算金额作为最高限价；（4）评审委员会基于专业判断，认为供应商报价过低，有可能影响产品质量或者不能诚信履约的其他情形。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详见附件：商务响应文件</w:t>
      </w:r>
    </w:p>
    <w:p>
      <w:pPr>
        <w:pStyle w:val="null3"/>
        <w:ind w:firstLine="960"/>
      </w:pPr>
      <w:r>
        <w:rPr>
          <w:rFonts w:ascii="仿宋_GB2312" w:hAnsi="仿宋_GB2312" w:cs="仿宋_GB2312" w:eastAsia="仿宋_GB2312"/>
        </w:rPr>
        <w:t>详见附件：技术响应文件</w:t>
      </w:r>
    </w:p>
    <w:p>
      <w:pPr>
        <w:pStyle w:val="null3"/>
        <w:ind w:firstLine="960"/>
      </w:pPr>
      <w:r>
        <w:rPr>
          <w:rFonts w:ascii="仿宋_GB2312" w:hAnsi="仿宋_GB2312" w:cs="仿宋_GB2312" w:eastAsia="仿宋_GB2312"/>
        </w:rPr>
        <w:t>详见附件：供应商业绩情况表</w:t>
      </w:r>
    </w:p>
    <w:p>
      <w:pPr>
        <w:pStyle w:val="null3"/>
        <w:ind w:firstLine="960"/>
      </w:pPr>
      <w:r>
        <w:rPr>
          <w:rFonts w:ascii="仿宋_GB2312" w:hAnsi="仿宋_GB2312" w:cs="仿宋_GB2312" w:eastAsia="仿宋_GB2312"/>
        </w:rPr>
        <w:t>详见附件：保证金缴纳凭证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详见附件：《委托合同（示范文本）》（GF—2025—1001）.docx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