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62485C">
      <w:pPr>
        <w:adjustRightInd w:val="0"/>
        <w:spacing w:line="560" w:lineRule="exact"/>
        <w:ind w:firstLine="562" w:firstLineChars="200"/>
        <w:jc w:val="center"/>
        <w:rPr>
          <w:rFonts w:hint="default" w:ascii="仿宋" w:hAnsi="仿宋" w:eastAsia="仿宋" w:cs="仿宋"/>
          <w:b/>
          <w:bCs/>
          <w:color w:val="000000" w:themeColor="text1"/>
          <w:sz w:val="28"/>
          <w:szCs w:val="24"/>
          <w:lang w:val="en-US" w:eastAsia="zh-CN"/>
          <w14:textFill>
            <w14:solidFill>
              <w14:schemeClr w14:val="tx1"/>
            </w14:solidFill>
          </w14:textFill>
        </w:rPr>
      </w:pPr>
      <w:r>
        <w:rPr>
          <w:rFonts w:hint="eastAsia" w:ascii="仿宋" w:hAnsi="仿宋" w:eastAsia="仿宋" w:cs="仿宋"/>
          <w:b/>
          <w:bCs/>
          <w:color w:val="000000" w:themeColor="text1"/>
          <w:sz w:val="28"/>
          <w:szCs w:val="24"/>
          <w:lang w:val="en-US" w:eastAsia="zh-CN"/>
          <w14:textFill>
            <w14:solidFill>
              <w14:schemeClr w14:val="tx1"/>
            </w14:solidFill>
          </w14:textFill>
        </w:rPr>
        <w:t>采购需求</w:t>
      </w:r>
    </w:p>
    <w:p w14:paraId="07505C95">
      <w:pPr>
        <w:pStyle w:val="11"/>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color w:val="000000"/>
          <w:kern w:val="2"/>
          <w:sz w:val="24"/>
          <w:szCs w:val="24"/>
          <w:highlight w:val="none"/>
          <w:lang w:val="en-US" w:eastAsia="zh-CN" w:bidi="ar-SA"/>
        </w:rPr>
      </w:pPr>
      <w:r>
        <w:rPr>
          <w:rFonts w:hint="eastAsia" w:ascii="仿宋" w:hAnsi="仿宋" w:eastAsia="仿宋" w:cs="仿宋"/>
          <w:b/>
          <w:bCs/>
          <w:color w:val="000000"/>
          <w:kern w:val="2"/>
          <w:sz w:val="24"/>
          <w:szCs w:val="24"/>
          <w:highlight w:val="none"/>
          <w:lang w:val="en-US" w:eastAsia="zh-CN" w:bidi="ar-SA"/>
        </w:rPr>
        <w:t>一、项目概况</w:t>
      </w:r>
    </w:p>
    <w:p w14:paraId="2FCEE44A">
      <w:pPr>
        <w:pStyle w:val="11"/>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国家西北干旱作物种质资源中期库（陕西）建设项目主要包括：改造现有426平方米低温库及35平方米库内双15干燥间围护结构系统、地面、保温设施，建成种质资源中期库;改造鉴定检测实验室232平方米;建设屋面光伏发电设施，为杂交油菜研究中心低温库运行提供供电保障。购置仪器设备370台(套、批)，其中种质资源库设备298台(套)及种子瓶、筐等;实验室鉴定检测仪器60套，洁净空调系统等设备10台;搭建种质资源信息系统1套;配置屋面光伏发电设备1批。</w:t>
      </w:r>
    </w:p>
    <w:p w14:paraId="7EAC00D6">
      <w:pPr>
        <w:pStyle w:val="11"/>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color w:val="000000"/>
          <w:kern w:val="2"/>
          <w:sz w:val="24"/>
          <w:szCs w:val="24"/>
          <w:highlight w:val="none"/>
          <w:lang w:val="en-US" w:eastAsia="zh-CN" w:bidi="ar-SA"/>
        </w:rPr>
      </w:pPr>
      <w:r>
        <w:rPr>
          <w:rFonts w:hint="eastAsia" w:ascii="仿宋" w:hAnsi="仿宋" w:eastAsia="仿宋" w:cs="仿宋"/>
          <w:b/>
          <w:bCs/>
          <w:color w:val="000000"/>
          <w:kern w:val="2"/>
          <w:sz w:val="24"/>
          <w:szCs w:val="24"/>
          <w:highlight w:val="none"/>
          <w:lang w:val="en-US" w:eastAsia="zh-CN" w:bidi="ar-SA"/>
        </w:rPr>
        <w:t>二、采购范围</w:t>
      </w:r>
    </w:p>
    <w:p w14:paraId="78FC9041">
      <w:pPr>
        <w:pStyle w:val="11"/>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本次采购内容为国家西北干旱作物种质资源中期库（陕西）建设项目监理服务，覆盖施工准备阶段、施工阶段、竣工验收阶段及缺陷责任期（保修期）全过程监理，同时承担项目实施过程中的相关协调工作。监理范围包括但不限于低温库内围护结构、地面、保温门工程，鉴定检测实验室改造工程，屋面光伏发电设施及配套电气工程，种质资源库设备、实验室仪器设备及辅助设施采购安装调试，种质资源信息共享平台建设等。具体建设内容、面积、设备数量及技术要求以批复设计、施工图、采购合同及补充协议为准；采购人可根据项目实际对实施范围、实施顺序做相应调整。</w:t>
      </w:r>
    </w:p>
    <w:p w14:paraId="0FFBA576">
      <w:pPr>
        <w:pStyle w:val="11"/>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服务地点：陕西省杂交油菜研究中心、西北农林科技大学、杨凌现代农业国际合作集团有限公司及采购人指定地点。</w:t>
      </w:r>
    </w:p>
    <w:p w14:paraId="1D1BB820">
      <w:pPr>
        <w:pStyle w:val="11"/>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服务期：自合同签订之日起至项目竣工验收合格、监理资料移交完成之日止。</w:t>
      </w:r>
    </w:p>
    <w:p w14:paraId="4A04EB8C">
      <w:pPr>
        <w:pStyle w:val="11"/>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（1）质量目标：工程质量达到国家现行相关验收规范合格标准，设备采购安装调试及信息平台建设满足合同约定和验收要求。</w:t>
      </w:r>
    </w:p>
    <w:p w14:paraId="49FB4A27">
      <w:pPr>
        <w:pStyle w:val="11"/>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（2）安全目标：杜绝重大安全责任事故。</w:t>
      </w:r>
    </w:p>
    <w:p w14:paraId="0AF840B0">
      <w:pPr>
        <w:pStyle w:val="11"/>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（3）投资控制目标：协助采购人将工程投资控制在批复概算及合同约定范围内。</w:t>
      </w:r>
    </w:p>
    <w:p w14:paraId="020AF3F4">
      <w:pPr>
        <w:pStyle w:val="11"/>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（4）进度目标：满足采购人确定的项目总体进度计划。</w:t>
      </w:r>
    </w:p>
    <w:p w14:paraId="12798143">
      <w:pPr>
        <w:pStyle w:val="11"/>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color w:val="000000"/>
          <w:kern w:val="2"/>
          <w:sz w:val="24"/>
          <w:szCs w:val="24"/>
          <w:highlight w:val="none"/>
          <w:lang w:val="en-US" w:eastAsia="zh-CN" w:bidi="ar-SA"/>
        </w:rPr>
      </w:pPr>
      <w:r>
        <w:rPr>
          <w:rFonts w:hint="eastAsia" w:ascii="仿宋" w:hAnsi="仿宋" w:eastAsia="仿宋" w:cs="仿宋"/>
          <w:b/>
          <w:bCs/>
          <w:color w:val="000000"/>
          <w:kern w:val="2"/>
          <w:sz w:val="24"/>
          <w:szCs w:val="24"/>
          <w:highlight w:val="none"/>
          <w:lang w:val="en-US" w:eastAsia="zh-CN" w:bidi="ar-SA"/>
        </w:rPr>
        <w:t>三、服务要求</w:t>
      </w:r>
    </w:p>
    <w:p w14:paraId="27FF52ED">
      <w:pPr>
        <w:pStyle w:val="11"/>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（一）监理团队人员要求</w:t>
      </w:r>
    </w:p>
    <w:p w14:paraId="1C768DCB">
      <w:pPr>
        <w:pStyle w:val="11"/>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监理人员数量：总监理工程师1名，专业监理工程师不少于4人，资料员1名。监理团队应专业配置合理，至少覆盖土建装饰装修、机电安装、设备采购安装、光伏电气及信息化平台、安全等专业需要；其中信息化平台监理工作可由具备信息化工程监理能力的专业监理工程师承担。驻场监理人员可为监理员或专业监理工程师，专业监理工程师按专业分工负责相应专业的技术把关与签认工作。</w:t>
      </w:r>
    </w:p>
    <w:p w14:paraId="0D86DBEA">
      <w:pPr>
        <w:pStyle w:val="11"/>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项目涉及多点位、多专业实施，采购人实际开工的每个作业点或分项工程，监理单位应根据施工进度调配驻场监理人员；关键工序、隐蔽工程和重要设备安装调试阶段应足额增配专业监理人员。总监理工程师每自然月在现场时间不少于20日（以考勤记录及影像资料为考核依据），关键施工阶段应到岗履职。监理人员应具备相应执业资格和类似项目管理经验，未经采购人书面同意不得更换；确需更换的，更换人员资格和能力不得低于原定人员。采购范围内所有工程竣工验收前，项目监理部人员编制不得随意减少。监理人应自行调整作息时间，做到“现场有人施工，就有人监理”，专业配置合理。</w:t>
      </w:r>
    </w:p>
    <w:p w14:paraId="519D9FF4">
      <w:pPr>
        <w:pStyle w:val="11"/>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（二）管理要求</w:t>
      </w:r>
    </w:p>
    <w:p w14:paraId="29783A2B">
      <w:pPr>
        <w:pStyle w:val="11"/>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（1） 制定和遵守相应的监理工作制度、监理工作流程，包括开工报审制度、方案报审制度、监理会议制度、监理文档管理制度、监理报告制度等，保证监理工作协调有序进行。</w:t>
      </w:r>
    </w:p>
    <w:p w14:paraId="02A8802A">
      <w:pPr>
        <w:pStyle w:val="11"/>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（2） 监理单位须按照合同约定相应阶段的监理程序及监理规划、监理工作细则实施监理工作，对工程质量、工期和工程造价进行有效控制，做好合同、信息管理及协调建设过程中出现的各种矛盾和问题。</w:t>
      </w:r>
    </w:p>
    <w:p w14:paraId="75B0EEC7">
      <w:pPr>
        <w:pStyle w:val="11"/>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（3） 监理单位对工程项目的质量控制、进度控制、造价费用控制、安全生产及文明施工、治污减霾管控、合同管理、信息管理、工程资料管理、变更审查、材料计划审批、进场材料检查验收等方面进行全过程监理，并协调在施工场地或附近实施与工程有关的各项工作。</w:t>
      </w:r>
    </w:p>
    <w:p w14:paraId="54213C0E">
      <w:pPr>
        <w:pStyle w:val="11"/>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（4） 监理单位负责对施工图纸、变更等文件进行检查复核，查漏补缺，发现问题及时沟通并告知采购人。</w:t>
      </w:r>
    </w:p>
    <w:p w14:paraId="67ED6F72">
      <w:pPr>
        <w:pStyle w:val="11"/>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（5） 监理人作为监控工程建设质量的关键机构，应严格认真履行监理职责。在验收中严格执行《工程建设标准强制性条文》、工程施工验收规范、设计要求及采购人要求。</w:t>
      </w:r>
    </w:p>
    <w:p w14:paraId="56AC156E">
      <w:pPr>
        <w:pStyle w:val="11"/>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（6） 对于重点部位和关键工序，监理方应进行旁站监理并做好相关记录，确保工程施工质量和安全。本项目旁站重点包括但不限于：低温库内围护结构及保温板安装、防水防潮层、地面保温及面层、保温门安装、实验室改造隐蔽工程、屋面光伏支架及电气安装、设备吊装与调试、信息平台部署及联调联试等。</w:t>
      </w:r>
    </w:p>
    <w:p w14:paraId="281AD51C">
      <w:pPr>
        <w:pStyle w:val="11"/>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（7） 根据项目进度、难易程度、合同期、现场条件等因素，按照国家及行业规定，足额配备本项目所需的仪器和设备。</w:t>
      </w:r>
    </w:p>
    <w:p w14:paraId="0043EE0D">
      <w:pPr>
        <w:pStyle w:val="11"/>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（8） 审批各分部分项工程开工报告，检查核实施工单位所报人员、机械设备、材料和试验，审查分部分项工程施工方案和施工计划可行性，确保工程质量和施工安全。</w:t>
      </w:r>
    </w:p>
    <w:p w14:paraId="78300B8F">
      <w:pPr>
        <w:pStyle w:val="11"/>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（9） 检查督促各施工单位按设计图施工，现场作业的机械设备和进场材料应符合相关标准规定，检查落实施工单位持证上岗人员，落实各工序施工工艺。发现安全事故隐患时，应要求施工单位限期整改；情况严重的，签发监理通知单或工程暂停令并及时报告采购人。</w:t>
      </w:r>
    </w:p>
    <w:p w14:paraId="02F68C69">
      <w:pPr>
        <w:pStyle w:val="11"/>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（10）监理人在工程施工管理过程中应承担建设工程成本控制责任，严把变更和索赔，并在合适条件下对设计变更提出合理可行的建设性建议，节约成本。</w:t>
      </w:r>
    </w:p>
    <w:p w14:paraId="1487598F">
      <w:pPr>
        <w:pStyle w:val="11"/>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（11）监理资料整理必须与工程形象进度同步，禁止事后补办资料，监理有义务督促施工单位办理资料。原始数据来源应有记录，应在监理日志上明确记录当日办理资料详细情况。</w:t>
      </w:r>
    </w:p>
    <w:p w14:paraId="25FE24A1">
      <w:pPr>
        <w:pStyle w:val="11"/>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（12）采购人定期组织检查与评比，对监理合同履约、规范执行、现场质量、旁站及工序检查情况进行考核评价，评价结果作为履约评价依据。</w:t>
      </w:r>
    </w:p>
    <w:p w14:paraId="375DED8C">
      <w:pPr>
        <w:pStyle w:val="11"/>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（13） 采购人有权依据施工现场情况和监理人工作情况调整监理人所负责的单体工程或分项工程。</w:t>
      </w:r>
    </w:p>
    <w:p w14:paraId="0077E3E1">
      <w:pPr>
        <w:pStyle w:val="11"/>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（14） 因多点位、交叉作业、设备安装调试及平台联调等带来的协调工作量，监理人应纳入响应报价统筹考虑，不得另行主张费用。</w:t>
      </w:r>
    </w:p>
    <w:p w14:paraId="7EAE86B2">
      <w:pPr>
        <w:pStyle w:val="11"/>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（15） 项目监理部组成人员标准应等同于或高于响应文件承诺，未经采购人代表书面同意，不得以任何借口撤换或更换总监及监理机构人员，不得随意减少人员编制；如事实发生，以违约论处，采购人保留终止合同、追究违约方责任及索赔的权力。</w:t>
      </w:r>
    </w:p>
    <w:p w14:paraId="7CAA78FA">
      <w:pPr>
        <w:pStyle w:val="11"/>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（16） 项目未正式移交前，监理人应履行监理职责；验收移交后按合同约定做好保修阶段监理工作。</w:t>
      </w:r>
    </w:p>
    <w:p w14:paraId="7B97BC7C">
      <w:pPr>
        <w:pStyle w:val="11"/>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（17） 本工程监理文件包括监理管理文件、质量监理文件、安全监理文件、环保监理文件、费用与进度监理文件、合同事项管理文件，以及监理日志、巡视记录、旁站记录、监理月报、监理工作报告等其他监理文件和影像资料，具体类别、编制要求、编制内容、提交时间和份数等应满足相关法律法规及采购人要求。</w:t>
      </w:r>
    </w:p>
    <w:p w14:paraId="38E8B053">
      <w:pPr>
        <w:pStyle w:val="11"/>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（18） 监理单位不得转让监理业务，监理人员不得允许他人以本人名义执业。</w:t>
      </w:r>
    </w:p>
    <w:p w14:paraId="5C85F6F8">
      <w:pPr>
        <w:pStyle w:val="11"/>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color w:val="000000"/>
          <w:kern w:val="2"/>
          <w:sz w:val="24"/>
          <w:szCs w:val="24"/>
          <w:highlight w:val="none"/>
          <w:lang w:val="en-US" w:eastAsia="zh-CN" w:bidi="ar-SA"/>
        </w:rPr>
      </w:pPr>
      <w:r>
        <w:rPr>
          <w:rFonts w:hint="eastAsia" w:ascii="仿宋" w:hAnsi="仿宋" w:eastAsia="仿宋" w:cs="仿宋"/>
          <w:b/>
          <w:bCs/>
          <w:color w:val="000000"/>
          <w:kern w:val="2"/>
          <w:sz w:val="24"/>
          <w:szCs w:val="24"/>
          <w:highlight w:val="none"/>
          <w:lang w:val="en-US" w:eastAsia="zh-CN" w:bidi="ar-SA"/>
        </w:rPr>
        <w:t>四、监理服务范围与内容</w:t>
      </w:r>
    </w:p>
    <w:p w14:paraId="77954F10">
      <w:pPr>
        <w:pStyle w:val="11"/>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监理单位应依据国家相关法律法规、工程建设标准、设计文件、设备采购合同及施工合同，为项目提供全过程监理服务，核心工作包括：</w:t>
      </w:r>
    </w:p>
    <w:p w14:paraId="17444543">
      <w:pPr>
        <w:pStyle w:val="11"/>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一）质量控制：审查施工组织设计、专项施工方案；对进场材料、构配件、设备进行核验；对隐蔽工程、分部分项工程进行验收签认；对低温库保温防潮、实验室改造、光伏电气、设备安装调试及信息平台建设等关键内容实施重点质量控制。</w:t>
      </w:r>
    </w:p>
    <w:p w14:paraId="688BD320">
      <w:pPr>
        <w:pStyle w:val="11"/>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（二）进度控制：审核施工总进度计划及月／周计划，对比实际进度与计划偏差，督促施工单位采取纠偏措施；协调多点位施工、设备到货安装及平台联调进度。</w:t>
      </w:r>
    </w:p>
    <w:p w14:paraId="0998D41C">
      <w:pPr>
        <w:pStyle w:val="11"/>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（三）投资控制：协助采购人审核工程变更、补充协议、工程索赔的合理性与费用；配合采购人及审计单位完成工程竣工结算审核。</w:t>
      </w:r>
    </w:p>
    <w:p w14:paraId="567B80A4">
      <w:pPr>
        <w:pStyle w:val="11"/>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（四）安全文明管理：审查施工单位安全生产许可证及人员资格，检查现场安全防护措施及文明施工情况，对重大危险源进行旁站监督；重点加强屋面光伏施工、临时用电、设备吊装、交叉作业等安全管理。</w:t>
      </w:r>
    </w:p>
    <w:p w14:paraId="122F4EE2">
      <w:pPr>
        <w:pStyle w:val="11"/>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（五）合同与信息管理：处理工程变更、索赔等合同事宜，编制监理日志、月报、会议纪要，确保资料完整归档。</w:t>
      </w:r>
    </w:p>
    <w:p w14:paraId="3F88551D">
      <w:pPr>
        <w:pStyle w:val="11"/>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（六）现场协调：定期召开监理例会，协调解决施工中出现的各类问题，做好三个建设点位之间及设备供应商、施工单位、采购人之间的协调。</w:t>
      </w:r>
    </w:p>
    <w:p w14:paraId="7556669E">
      <w:pPr>
        <w:pStyle w:val="11"/>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七）设备采购与验收专项监理：参与种质资源库设备、实验室鉴定检测仪器、实验室改造设备及种子筐、瓶等辅助设施的到货开箱、数量规格核对、安装调试、试运行、培训及验收；对不符合合同约定或标准要求的产品不予签认。</w:t>
      </w:r>
    </w:p>
    <w:p w14:paraId="25D57E1D">
      <w:pPr>
        <w:pStyle w:val="11"/>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（八）信息平台专项监理：对种质资源信息共享平台的需求确认、部署实施、接口联调、测试验收、文档交付等实施监理，确保平台功能、性能及数据安全满足合同要求。</w:t>
      </w:r>
    </w:p>
    <w:p w14:paraId="3B69FA48">
      <w:pPr>
        <w:pStyle w:val="11"/>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（九）验收与保修阶段监理：协助组织竣工验收、专项验收及移交；缺陷责任期内检查记录质量缺陷，调查分析原因、确定责任归属，审核修复方案，监督修复过程并验收，审核修复费用。</w:t>
      </w:r>
    </w:p>
    <w:p w14:paraId="26C90EE4">
      <w:pPr>
        <w:pStyle w:val="11"/>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color w:val="000000"/>
          <w:kern w:val="2"/>
          <w:sz w:val="24"/>
          <w:szCs w:val="24"/>
          <w:highlight w:val="none"/>
          <w:lang w:val="en-US" w:eastAsia="zh-CN" w:bidi="ar-SA"/>
        </w:rPr>
      </w:pPr>
      <w:r>
        <w:rPr>
          <w:rFonts w:hint="eastAsia" w:ascii="仿宋" w:hAnsi="仿宋" w:eastAsia="仿宋" w:cs="仿宋"/>
          <w:b/>
          <w:bCs/>
          <w:color w:val="000000"/>
          <w:kern w:val="2"/>
          <w:sz w:val="24"/>
          <w:szCs w:val="24"/>
          <w:highlight w:val="none"/>
          <w:lang w:val="en-US" w:eastAsia="zh-CN" w:bidi="ar-SA"/>
        </w:rPr>
        <w:t>五、其他要求</w:t>
      </w:r>
    </w:p>
    <w:p w14:paraId="55EFC678">
      <w:pPr>
        <w:pStyle w:val="11"/>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（1） 监理工作严格执行《建设工程监理规范》及国家、行业、陕西省现行相关标准和规范；涉及信息化平台部分参照信息化工程监理相关规范执行，并满足环保、消防、安全等专项验收要求。</w:t>
      </w:r>
    </w:p>
    <w:p w14:paraId="4F6E70A9">
      <w:pPr>
        <w:pStyle w:val="11"/>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（2） 因采购人原因（如设计变更、新增工程内容、实施顺序调整）导致监理服务期延长或工作量增加的，监理服务费按合同约定相应调整；取消子项工程的，按减少的工作量相应核减费用。采购人保留根据上级部署或实际使用需求调整、暂缓或取消任一子项工程的权利。</w:t>
      </w:r>
    </w:p>
    <w:p w14:paraId="4B38D10C">
      <w:pPr>
        <w:pStyle w:val="11"/>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kern w:val="2"/>
          <w:sz w:val="24"/>
          <w:szCs w:val="24"/>
          <w:highlight w:val="none"/>
          <w:lang w:val="en-US" w:eastAsia="zh-CN" w:bidi="ar-SA"/>
        </w:rPr>
      </w:pPr>
      <w:r>
        <w:rPr>
          <w:rFonts w:hint="eastAsia" w:ascii="仿宋" w:hAnsi="仿宋" w:eastAsia="仿宋" w:cs="仿宋"/>
          <w:color w:val="000000"/>
          <w:kern w:val="2"/>
          <w:sz w:val="24"/>
          <w:szCs w:val="24"/>
          <w:highlight w:val="none"/>
          <w:lang w:val="en-US" w:eastAsia="zh-CN" w:bidi="ar-SA"/>
        </w:rPr>
        <w:t>（3） 监理工作结束后，须向采购人移交全套完整的监理档案资料（含电子版），包括但不限于监理规划、监理实施细则、监理日志、月报、会议纪要、验收记录、旁站记录、质量评估报告、监理总结报告等。</w:t>
      </w:r>
    </w:p>
    <w:p w14:paraId="58F70DFE">
      <w:pPr>
        <w:snapToGrid w:val="0"/>
        <w:spacing w:line="360" w:lineRule="auto"/>
        <w:ind w:firstLine="480" w:firstLineChars="200"/>
        <w:jc w:val="left"/>
        <w:rPr>
          <w:rFonts w:hint="default" w:ascii="仿宋" w:hAnsi="仿宋" w:eastAsia="仿宋" w:cs="仿宋"/>
          <w:kern w:val="0"/>
          <w:sz w:val="24"/>
          <w:szCs w:val="24"/>
          <w:highlight w:val="none"/>
          <w:lang w:val="en-US" w:eastAsia="zh-CN"/>
        </w:rPr>
      </w:pPr>
      <w:r>
        <w:rPr>
          <w:rFonts w:hint="eastAsia" w:ascii="仿宋" w:hAnsi="仿宋" w:eastAsia="仿宋" w:cs="仿宋"/>
          <w:color w:val="000000"/>
          <w:kern w:val="2"/>
          <w:sz w:val="24"/>
          <w:szCs w:val="24"/>
          <w:highlight w:val="none"/>
          <w:lang w:val="en-US" w:eastAsia="zh-CN" w:bidi="ar-SA"/>
        </w:rPr>
        <w:t>（4） 本需求所列面积、设备数量等为项目概况性描述，最终以批复设计、施工图、采购合同及采购人书面要求为准。</w:t>
      </w:r>
      <w:bookmarkStart w:id="0" w:name="_GoBack"/>
      <w:bookmarkEnd w:id="0"/>
    </w:p>
    <w:sectPr>
      <w:headerReference r:id="rId3" w:type="default"/>
      <w:footerReference r:id="rId4"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altName w:val="宋体"/>
    <w:panose1 w:val="020B0604020202020204"/>
    <w:charset w:val="86"/>
    <w:family w:val="swiss"/>
    <w:pitch w:val="default"/>
    <w:sig w:usb0="00000000" w:usb1="00000000" w:usb2="0000003F" w:usb3="00000000" w:csb0="003F01FF" w:csb1="00000000"/>
  </w:font>
  <w:font w:name="仿宋">
    <w:panose1 w:val="02010609060101010101"/>
    <w:charset w:val="86"/>
    <w:family w:val="auto"/>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10D7F7">
    <w:pPr>
      <w:pStyle w:val="5"/>
      <w:rPr>
        <w:rFonts w:hint="eastAsia"/>
        <w:lang w:eastAsia="zh-C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2474C6">
                          <w:pPr>
                            <w:pStyle w:val="5"/>
                          </w:pPr>
                          <w:r>
                            <w:fldChar w:fldCharType="begin"/>
                          </w:r>
                          <w:r>
                            <w:instrText xml:space="preserve"> PAGE  \* MERGEFORMAT </w:instrText>
                          </w:r>
                          <w:r>
                            <w:fldChar w:fldCharType="separate"/>
                          </w:r>
                          <w:r>
                            <w:t>137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4F2474C6">
                    <w:pPr>
                      <w:pStyle w:val="5"/>
                    </w:pPr>
                    <w:r>
                      <w:fldChar w:fldCharType="begin"/>
                    </w:r>
                    <w:r>
                      <w:instrText xml:space="preserve"> PAGE  \* MERGEFORMAT </w:instrText>
                    </w:r>
                    <w:r>
                      <w:fldChar w:fldCharType="separate"/>
                    </w:r>
                    <w:r>
                      <w:t>137</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A6330">
    <w:pPr>
      <w:pStyle w:val="6"/>
      <w:pBdr>
        <w:bottom w:val="none" w:color="auto" w:sz="0" w:space="1"/>
      </w:pBdr>
      <w:rPr>
        <w:rFonts w:hint="default"/>
        <w:lang w:val="en-US" w:eastAsia="zh-C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1047068"/>
    <w:rsid w:val="03AD58A1"/>
    <w:rsid w:val="0D413D61"/>
    <w:rsid w:val="23642C73"/>
    <w:rsid w:val="28FE600A"/>
    <w:rsid w:val="2B0307A0"/>
    <w:rsid w:val="45CD1983"/>
    <w:rsid w:val="45D3114E"/>
    <w:rsid w:val="4BC81600"/>
    <w:rsid w:val="58F56284"/>
    <w:rsid w:val="5F3D56E4"/>
    <w:rsid w:val="61047068"/>
    <w:rsid w:val="63A941EF"/>
    <w:rsid w:val="65E47420"/>
    <w:rsid w:val="66700A1C"/>
    <w:rsid w:val="66990C0E"/>
    <w:rsid w:val="6F257B75"/>
    <w:rsid w:val="7F482E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2"/>
    <w:basedOn w:val="1"/>
    <w:next w:val="1"/>
    <w:semiHidden/>
    <w:unhideWhenUsed/>
    <w:qFormat/>
    <w:uiPriority w:val="0"/>
    <w:pPr>
      <w:jc w:val="center"/>
      <w:outlineLvl w:val="1"/>
    </w:pPr>
    <w:rPr>
      <w:rFonts w:ascii="宋体" w:hAnsi="宋体" w:cstheme="minorBidi"/>
      <w:sz w:val="28"/>
      <w:szCs w:val="28"/>
      <w:lang w:eastAsia="en-US"/>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customStyle="1" w:styleId="2">
    <w:name w:val="列出段落1"/>
    <w:basedOn w:val="1"/>
    <w:qFormat/>
    <w:uiPriority w:val="34"/>
    <w:pPr>
      <w:ind w:firstLine="420" w:firstLineChars="200"/>
    </w:pPr>
    <w:rPr>
      <w:rFonts w:ascii="Calibri" w:hAnsi="Calibri"/>
      <w:szCs w:val="22"/>
    </w:rPr>
  </w:style>
  <w:style w:type="paragraph" w:styleId="4">
    <w:name w:val="Body Text"/>
    <w:basedOn w:val="1"/>
    <w:qFormat/>
    <w:uiPriority w:val="0"/>
    <w:pPr>
      <w:ind w:left="119" w:firstLine="608" w:firstLineChars="200"/>
    </w:pPr>
    <w:rPr>
      <w:rFonts w:ascii="Arial Unicode MS" w:hAnsi="Arial Unicode MS" w:cstheme="minorBidi"/>
      <w:sz w:val="24"/>
      <w:szCs w:val="28"/>
      <w:lang w:eastAsia="en-US"/>
    </w:rPr>
  </w:style>
  <w:style w:type="paragraph" w:styleId="5">
    <w:name w:val="footer"/>
    <w:basedOn w:val="1"/>
    <w:next w:val="4"/>
    <w:qFormat/>
    <w:uiPriority w:val="99"/>
    <w:pPr>
      <w:tabs>
        <w:tab w:val="center" w:pos="4153"/>
        <w:tab w:val="right" w:pos="8306"/>
      </w:tabs>
      <w:adjustRightInd w:val="0"/>
      <w:spacing w:line="240" w:lineRule="atLeast"/>
      <w:jc w:val="left"/>
      <w:textAlignment w:val="baseline"/>
    </w:pPr>
    <w:rPr>
      <w:kern w:val="0"/>
      <w:sz w:val="18"/>
    </w:rPr>
  </w:style>
  <w:style w:type="paragraph" w:styleId="6">
    <w:name w:val="header"/>
    <w:basedOn w:val="1"/>
    <w:qFormat/>
    <w:uiPriority w:val="0"/>
    <w:pPr>
      <w:pBdr>
        <w:bottom w:val="single" w:color="auto" w:sz="6" w:space="1"/>
      </w:pBdr>
      <w:tabs>
        <w:tab w:val="center" w:pos="4153"/>
        <w:tab w:val="right" w:pos="8306"/>
      </w:tabs>
      <w:snapToGrid w:val="0"/>
      <w:jc w:val="center"/>
    </w:pPr>
    <w:rPr>
      <w:sz w:val="18"/>
      <w:szCs w:val="18"/>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0">
    <w:name w:val="List Paragraph"/>
    <w:basedOn w:val="1"/>
    <w:qFormat/>
    <w:uiPriority w:val="34"/>
    <w:pPr>
      <w:ind w:firstLine="420" w:firstLineChars="200"/>
    </w:pPr>
  </w:style>
  <w:style w:type="paragraph" w:customStyle="1" w:styleId="11">
    <w:name w:val="null3"/>
    <w:hidden/>
    <w:qFormat/>
    <w:uiPriority w:val="0"/>
    <w:rPr>
      <w:rFonts w:hint="eastAsia" w:asciiTheme="minorHAnsi" w:hAnsiTheme="minorHAnsi" w:eastAsiaTheme="minorEastAsia" w:cstheme="minorBidi"/>
      <w:lang w:val="en-US" w:eastAsia="zh-Hans"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811</Words>
  <Characters>894</Characters>
  <Lines>0</Lines>
  <Paragraphs>0</Paragraphs>
  <TotalTime>0</TotalTime>
  <ScaleCrop>false</ScaleCrop>
  <LinksUpToDate>false</LinksUpToDate>
  <CharactersWithSpaces>895</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2026-07-10T07:52:00Z</dcterms:created>
  <dc:creator>DELL</dc:creator>
  <cp:lastModifiedBy>zl</cp:lastModifiedBy>
  <dcterms:modified xsi:type="dcterms:W3CDTF">2026-11-03T03:15:16Z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015964E84FCA4B78BEAF5B8DBE38DC04_11</vt:lpwstr>
  </property>
  <property fmtid="{D5CDD505-2E9C-101B-9397-08002B2CF9AE}" pid="4" name="KSOTemplateDocerSaveRecord">
    <vt:lpwstr>eyJoZGlkIjoiODQxZGY1OWFiZjYxZWQ4YWNmNzBhMmMxNmZkMzI0ZDciLCJ1c2VySWQiOiIyNzQ5OTcwMTQifQ==</vt:lpwstr>
  </property>
</Properties>
</file>