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699C2">
      <w:pPr>
        <w:jc w:val="center"/>
        <w:rPr>
          <w:rFonts w:ascii="楷体" w:hAnsi="楷体" w:eastAsia="楷体" w:cs="楷体"/>
          <w:b/>
          <w:bCs/>
          <w:sz w:val="56"/>
          <w:szCs w:val="56"/>
          <w:highlight w:val="none"/>
        </w:rPr>
      </w:pPr>
    </w:p>
    <w:p w14:paraId="413FF692">
      <w:pPr>
        <w:jc w:val="center"/>
        <w:rPr>
          <w:rFonts w:ascii="楷体" w:hAnsi="楷体" w:eastAsia="楷体" w:cs="楷体"/>
          <w:b/>
          <w:bCs/>
          <w:sz w:val="56"/>
          <w:szCs w:val="56"/>
          <w:highlight w:val="none"/>
        </w:rPr>
      </w:pPr>
    </w:p>
    <w:p w14:paraId="74A2705C">
      <w:pPr>
        <w:jc w:val="center"/>
        <w:rPr>
          <w:rFonts w:hint="eastAsia" w:asciiTheme="minorEastAsia" w:hAnsiTheme="minorEastAsia" w:cstheme="minorEastAsia"/>
          <w:b/>
          <w:bCs/>
          <w:sz w:val="52"/>
          <w:szCs w:val="52"/>
          <w:highlight w:val="none"/>
          <w:lang w:val="en-US" w:eastAsia="zh-CN"/>
        </w:rPr>
      </w:pPr>
      <w:r>
        <w:rPr>
          <w:rFonts w:hint="eastAsia" w:asciiTheme="minorEastAsia" w:hAnsiTheme="minorEastAsia" w:cstheme="minorEastAsia"/>
          <w:b/>
          <w:bCs/>
          <w:sz w:val="52"/>
          <w:szCs w:val="52"/>
          <w:highlight w:val="none"/>
          <w:lang w:val="en-US" w:eastAsia="zh-CN"/>
        </w:rPr>
        <w:t>2026年中波台技术设备</w:t>
      </w:r>
    </w:p>
    <w:p w14:paraId="0A56F1DA">
      <w:pPr>
        <w:jc w:val="center"/>
        <w:rPr>
          <w:rFonts w:hint="eastAsia" w:asciiTheme="minorEastAsia" w:hAnsiTheme="minorEastAsia" w:cstheme="minorEastAsia"/>
          <w:b/>
          <w:bCs/>
          <w:sz w:val="52"/>
          <w:szCs w:val="52"/>
          <w:highlight w:val="none"/>
          <w:lang w:val="en-US" w:eastAsia="zh-CN"/>
        </w:rPr>
      </w:pPr>
      <w:r>
        <w:rPr>
          <w:rFonts w:hint="eastAsia" w:asciiTheme="minorEastAsia" w:hAnsiTheme="minorEastAsia" w:cstheme="minorEastAsia"/>
          <w:b/>
          <w:bCs/>
          <w:sz w:val="52"/>
          <w:szCs w:val="52"/>
          <w:highlight w:val="none"/>
          <w:lang w:val="en-US" w:eastAsia="zh-CN"/>
        </w:rPr>
        <w:t>采购及安装项目</w:t>
      </w:r>
    </w:p>
    <w:p w14:paraId="5B7BAEF7">
      <w:pPr>
        <w:jc w:val="center"/>
        <w:rPr>
          <w:rFonts w:hint="eastAsia" w:ascii="楷体" w:hAnsi="楷体" w:eastAsia="楷体" w:cs="楷体"/>
          <w:b/>
          <w:bCs/>
          <w:sz w:val="40"/>
          <w:szCs w:val="48"/>
          <w:highlight w:val="none"/>
          <w:lang w:eastAsia="zh-CN"/>
        </w:rPr>
      </w:pPr>
      <w:r>
        <w:rPr>
          <w:rFonts w:hint="eastAsia" w:ascii="楷体" w:hAnsi="楷体" w:eastAsia="楷体" w:cs="楷体"/>
          <w:b/>
          <w:bCs/>
          <w:sz w:val="40"/>
          <w:szCs w:val="48"/>
          <w:highlight w:val="none"/>
          <w:lang w:eastAsia="zh-CN"/>
        </w:rPr>
        <w:t>（</w:t>
      </w:r>
      <w:r>
        <w:rPr>
          <w:rFonts w:hint="eastAsia" w:ascii="楷体" w:hAnsi="楷体" w:eastAsia="楷体" w:cs="楷体"/>
          <w:b/>
          <w:bCs/>
          <w:sz w:val="40"/>
          <w:szCs w:val="48"/>
          <w:highlight w:val="none"/>
          <w:lang w:val="en-US" w:eastAsia="zh-CN"/>
        </w:rPr>
        <w:t>采购包1 / 采购包2</w:t>
      </w:r>
      <w:r>
        <w:rPr>
          <w:rFonts w:hint="eastAsia" w:ascii="楷体" w:hAnsi="楷体" w:eastAsia="楷体" w:cs="楷体"/>
          <w:b/>
          <w:bCs/>
          <w:sz w:val="40"/>
          <w:szCs w:val="48"/>
          <w:highlight w:val="none"/>
          <w:lang w:eastAsia="zh-CN"/>
        </w:rPr>
        <w:t>）</w:t>
      </w:r>
    </w:p>
    <w:p w14:paraId="7488BBA6">
      <w:pPr>
        <w:jc w:val="center"/>
        <w:rPr>
          <w:rFonts w:ascii="楷体" w:hAnsi="楷体" w:eastAsia="楷体" w:cs="楷体"/>
          <w:b/>
          <w:bCs/>
          <w:sz w:val="52"/>
          <w:szCs w:val="72"/>
          <w:highlight w:val="none"/>
        </w:rPr>
      </w:pPr>
    </w:p>
    <w:p w14:paraId="1BA3921A">
      <w:pPr>
        <w:jc w:val="center"/>
        <w:rPr>
          <w:rFonts w:asciiTheme="minorEastAsia" w:hAnsiTheme="minorEastAsia" w:cstheme="minorEastAsia"/>
          <w:b/>
          <w:bCs/>
          <w:sz w:val="52"/>
          <w:szCs w:val="72"/>
          <w:highlight w:val="none"/>
        </w:rPr>
      </w:pPr>
      <w:r>
        <w:rPr>
          <w:rFonts w:hint="eastAsia" w:asciiTheme="minorEastAsia" w:hAnsiTheme="minorEastAsia" w:cstheme="minorEastAsia"/>
          <w:b/>
          <w:bCs/>
          <w:sz w:val="52"/>
          <w:szCs w:val="72"/>
          <w:highlight w:val="none"/>
        </w:rPr>
        <w:t>采购合同</w:t>
      </w:r>
    </w:p>
    <w:p w14:paraId="4E8ECFF4">
      <w:pPr>
        <w:jc w:val="center"/>
        <w:rPr>
          <w:rFonts w:asciiTheme="minorEastAsia" w:hAnsiTheme="minorEastAsia" w:cstheme="minorEastAsia"/>
          <w:sz w:val="44"/>
          <w:szCs w:val="44"/>
          <w:highlight w:val="none"/>
        </w:rPr>
      </w:pPr>
    </w:p>
    <w:p w14:paraId="5F749166">
      <w:pPr>
        <w:jc w:val="center"/>
        <w:rPr>
          <w:rFonts w:asciiTheme="minorEastAsia" w:hAnsiTheme="minorEastAsia" w:cstheme="minorEastAsia"/>
          <w:sz w:val="44"/>
          <w:szCs w:val="44"/>
          <w:highlight w:val="none"/>
        </w:rPr>
      </w:pPr>
    </w:p>
    <w:p w14:paraId="4097B5FB">
      <w:pPr>
        <w:jc w:val="center"/>
        <w:rPr>
          <w:rFonts w:asciiTheme="minorEastAsia" w:hAnsiTheme="minorEastAsia" w:cstheme="minorEastAsia"/>
          <w:sz w:val="44"/>
          <w:szCs w:val="44"/>
          <w:highlight w:val="none"/>
        </w:rPr>
      </w:pPr>
    </w:p>
    <w:p w14:paraId="2ABE102C">
      <w:pPr>
        <w:jc w:val="center"/>
        <w:rPr>
          <w:rFonts w:asciiTheme="minorEastAsia" w:hAnsiTheme="minorEastAsia" w:cstheme="minorEastAsia"/>
          <w:sz w:val="44"/>
          <w:szCs w:val="44"/>
          <w:highlight w:val="none"/>
        </w:rPr>
      </w:pPr>
    </w:p>
    <w:p w14:paraId="0132EDE7">
      <w:pPr>
        <w:jc w:val="center"/>
        <w:rPr>
          <w:rFonts w:asciiTheme="minorEastAsia" w:hAnsiTheme="minorEastAsia" w:cstheme="minorEastAsia"/>
          <w:b/>
          <w:sz w:val="36"/>
          <w:szCs w:val="36"/>
          <w:highlight w:val="none"/>
        </w:rPr>
      </w:pPr>
      <w:r>
        <w:rPr>
          <w:rFonts w:hint="eastAsia" w:asciiTheme="minorEastAsia" w:hAnsiTheme="minorEastAsia" w:cstheme="minorEastAsia"/>
          <w:b/>
          <w:sz w:val="36"/>
          <w:szCs w:val="36"/>
          <w:highlight w:val="none"/>
        </w:rPr>
        <w:t>（示范文本）</w:t>
      </w:r>
    </w:p>
    <w:p w14:paraId="7CD0716F">
      <w:pPr>
        <w:spacing w:before="156" w:beforeLines="50" w:line="400" w:lineRule="exact"/>
        <w:jc w:val="center"/>
        <w:rPr>
          <w:rFonts w:ascii="楷体" w:hAnsi="楷体" w:eastAsia="楷体" w:cs="楷体"/>
          <w:bCs/>
          <w:sz w:val="48"/>
          <w:szCs w:val="48"/>
          <w:highlight w:val="none"/>
        </w:rPr>
      </w:pPr>
    </w:p>
    <w:p w14:paraId="04E320F3">
      <w:pPr>
        <w:jc w:val="center"/>
        <w:rPr>
          <w:rFonts w:asciiTheme="minorEastAsia" w:hAnsiTheme="minorEastAsia" w:cstheme="minorEastAsia"/>
          <w:bCs/>
          <w:sz w:val="32"/>
          <w:szCs w:val="32"/>
          <w:highlight w:val="none"/>
        </w:rPr>
      </w:pPr>
      <w:r>
        <w:rPr>
          <w:rFonts w:hint="eastAsia" w:asciiTheme="minorEastAsia" w:hAnsiTheme="minorEastAsia" w:cstheme="minorEastAsia"/>
          <w:bCs/>
          <w:sz w:val="32"/>
          <w:szCs w:val="32"/>
          <w:highlight w:val="none"/>
          <w:lang w:val="en-US" w:eastAsia="zh-CN"/>
        </w:rPr>
        <w:t>中标人</w:t>
      </w:r>
      <w:r>
        <w:rPr>
          <w:rFonts w:hint="eastAsia" w:asciiTheme="minorEastAsia" w:hAnsiTheme="minorEastAsia" w:cstheme="minorEastAsia"/>
          <w:bCs/>
          <w:sz w:val="32"/>
          <w:szCs w:val="32"/>
          <w:highlight w:val="none"/>
        </w:rPr>
        <w:t>和采购人也可根据项目特点自行拟定合同条款。</w:t>
      </w:r>
    </w:p>
    <w:p w14:paraId="26EF2D67">
      <w:pPr>
        <w:spacing w:before="156" w:beforeLines="50" w:line="400" w:lineRule="exact"/>
        <w:jc w:val="center"/>
        <w:rPr>
          <w:rFonts w:ascii="楷体" w:hAnsi="楷体" w:eastAsia="楷体" w:cs="楷体"/>
          <w:bCs/>
          <w:sz w:val="48"/>
          <w:szCs w:val="48"/>
          <w:highlight w:val="none"/>
        </w:rPr>
      </w:pPr>
    </w:p>
    <w:p w14:paraId="51F2543F">
      <w:pPr>
        <w:spacing w:before="156" w:beforeLines="50" w:line="400" w:lineRule="exact"/>
        <w:jc w:val="center"/>
        <w:rPr>
          <w:rFonts w:ascii="楷体" w:hAnsi="楷体" w:eastAsia="楷体" w:cs="楷体"/>
          <w:bCs/>
          <w:sz w:val="48"/>
          <w:szCs w:val="48"/>
          <w:highlight w:val="none"/>
        </w:rPr>
      </w:pPr>
    </w:p>
    <w:p w14:paraId="0C81249D">
      <w:pPr>
        <w:spacing w:before="156" w:beforeLines="50" w:line="400" w:lineRule="exact"/>
        <w:jc w:val="center"/>
        <w:rPr>
          <w:rFonts w:ascii="楷体" w:hAnsi="楷体" w:eastAsia="楷体" w:cs="楷体"/>
          <w:bCs/>
          <w:sz w:val="48"/>
          <w:szCs w:val="48"/>
          <w:highlight w:val="none"/>
        </w:rPr>
      </w:pPr>
    </w:p>
    <w:p w14:paraId="11FFFF85">
      <w:pPr>
        <w:spacing w:before="156" w:beforeLines="50" w:line="400" w:lineRule="exact"/>
        <w:jc w:val="center"/>
        <w:rPr>
          <w:rFonts w:ascii="楷体" w:hAnsi="楷体" w:eastAsia="楷体" w:cs="楷体"/>
          <w:bCs/>
          <w:sz w:val="48"/>
          <w:szCs w:val="48"/>
          <w:highlight w:val="none"/>
        </w:rPr>
      </w:pPr>
    </w:p>
    <w:p w14:paraId="1265127C">
      <w:pPr>
        <w:spacing w:before="156" w:beforeLines="50" w:line="400" w:lineRule="exact"/>
        <w:jc w:val="center"/>
        <w:rPr>
          <w:rFonts w:ascii="楷体" w:hAnsi="楷体" w:eastAsia="楷体" w:cs="楷体"/>
          <w:b/>
          <w:bCs/>
          <w:sz w:val="36"/>
          <w:szCs w:val="32"/>
          <w:highlight w:val="none"/>
        </w:rPr>
      </w:pPr>
      <w:r>
        <w:rPr>
          <w:rFonts w:hint="eastAsia" w:ascii="楷体" w:hAnsi="楷体" w:eastAsia="楷体" w:cs="楷体"/>
          <w:bCs/>
          <w:sz w:val="48"/>
          <w:szCs w:val="48"/>
          <w:highlight w:val="none"/>
        </w:rPr>
        <w:br w:type="page"/>
      </w:r>
      <w:r>
        <w:rPr>
          <w:rFonts w:hint="eastAsia" w:asciiTheme="minorEastAsia" w:hAnsiTheme="minorEastAsia" w:cstheme="minorEastAsia"/>
          <w:b/>
          <w:bCs/>
          <w:sz w:val="36"/>
          <w:szCs w:val="32"/>
          <w:highlight w:val="none"/>
        </w:rPr>
        <w:t>第一部分  协议书</w:t>
      </w:r>
    </w:p>
    <w:p w14:paraId="1993FCD3">
      <w:pPr>
        <w:spacing w:before="156" w:beforeLines="50" w:line="360" w:lineRule="exact"/>
        <w:jc w:val="center"/>
        <w:rPr>
          <w:rFonts w:ascii="楷体" w:hAnsi="楷体" w:eastAsia="楷体" w:cs="楷体"/>
          <w:b/>
          <w:bCs/>
          <w:sz w:val="32"/>
          <w:szCs w:val="32"/>
          <w:highlight w:val="none"/>
        </w:rPr>
      </w:pPr>
    </w:p>
    <w:p w14:paraId="14A3A09A">
      <w:pPr>
        <w:adjustRightInd w:val="0"/>
        <w:snapToGrid w:val="0"/>
        <w:spacing w:line="360" w:lineRule="auto"/>
        <w:ind w:firstLine="482" w:firstLineChars="200"/>
        <w:rPr>
          <w:rFonts w:asciiTheme="minorEastAsia" w:hAnsiTheme="minorEastAsia" w:cstheme="minorEastAsia"/>
          <w:b/>
          <w:sz w:val="24"/>
          <w:szCs w:val="24"/>
          <w:highlight w:val="none"/>
          <w:u w:val="single"/>
        </w:rPr>
      </w:pPr>
      <w:r>
        <w:rPr>
          <w:rFonts w:hint="eastAsia" w:asciiTheme="minorEastAsia" w:hAnsiTheme="minorEastAsia" w:cstheme="minorEastAsia"/>
          <w:b/>
          <w:sz w:val="24"/>
          <w:szCs w:val="24"/>
          <w:highlight w:val="none"/>
        </w:rPr>
        <w:t>采购人（全称）：</w:t>
      </w:r>
      <w:r>
        <w:rPr>
          <w:rFonts w:hint="eastAsia" w:asciiTheme="minorEastAsia" w:hAnsiTheme="minorEastAsia" w:cstheme="minorEastAsia"/>
          <w:sz w:val="24"/>
          <w:szCs w:val="24"/>
          <w:highlight w:val="none"/>
          <w:u w:val="single"/>
        </w:rPr>
        <w:t xml:space="preserve">                                         </w:t>
      </w:r>
      <w:r>
        <w:rPr>
          <w:rFonts w:hint="eastAsia" w:asciiTheme="minorEastAsia" w:hAnsiTheme="minorEastAsia" w:cstheme="minorEastAsia"/>
          <w:sz w:val="24"/>
          <w:szCs w:val="24"/>
          <w:highlight w:val="none"/>
          <w:u w:val="none"/>
        </w:rPr>
        <w:t>；</w:t>
      </w:r>
    </w:p>
    <w:p w14:paraId="2D5BB230">
      <w:pPr>
        <w:adjustRightInd w:val="0"/>
        <w:snapToGrid w:val="0"/>
        <w:spacing w:line="360" w:lineRule="auto"/>
        <w:ind w:firstLine="482" w:firstLineChars="200"/>
        <w:rPr>
          <w:rFonts w:asciiTheme="minorEastAsia" w:hAnsiTheme="minorEastAsia" w:cstheme="minorEastAsia"/>
          <w:sz w:val="24"/>
          <w:szCs w:val="24"/>
          <w:highlight w:val="none"/>
          <w:u w:val="single"/>
        </w:rPr>
      </w:pPr>
      <w:r>
        <w:rPr>
          <w:rFonts w:hint="eastAsia" w:asciiTheme="minorEastAsia" w:hAnsiTheme="minorEastAsia" w:cstheme="minorEastAsia"/>
          <w:b/>
          <w:sz w:val="24"/>
          <w:szCs w:val="24"/>
          <w:highlight w:val="none"/>
        </w:rPr>
        <w:t>投标人（全称）：</w:t>
      </w:r>
      <w:r>
        <w:rPr>
          <w:rFonts w:hint="eastAsia" w:asciiTheme="minorEastAsia" w:hAnsiTheme="minorEastAsia" w:cstheme="minorEastAsia"/>
          <w:sz w:val="24"/>
          <w:szCs w:val="24"/>
          <w:highlight w:val="none"/>
          <w:u w:val="single"/>
        </w:rPr>
        <w:t xml:space="preserve">                                         </w:t>
      </w:r>
      <w:r>
        <w:rPr>
          <w:rFonts w:hint="eastAsia" w:asciiTheme="minorEastAsia" w:hAnsiTheme="minorEastAsia" w:cstheme="minorEastAsia"/>
          <w:sz w:val="24"/>
          <w:szCs w:val="24"/>
          <w:highlight w:val="none"/>
          <w:u w:val="none"/>
        </w:rPr>
        <w:t>；</w:t>
      </w:r>
    </w:p>
    <w:p w14:paraId="70826A24">
      <w:pPr>
        <w:adjustRightInd w:val="0"/>
        <w:snapToGrid w:val="0"/>
        <w:spacing w:line="360" w:lineRule="auto"/>
        <w:ind w:firstLine="480" w:firstLineChars="200"/>
        <w:rPr>
          <w:rFonts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依照《中华人民共和国民法典》及其他有关法律、法规，遵循平等、自愿、公平和诚信的原则，双方就下述项目范围与相关服务事项协商一致，订立本合同。</w:t>
      </w:r>
    </w:p>
    <w:p w14:paraId="05F9715F">
      <w:pPr>
        <w:adjustRightInd w:val="0"/>
        <w:snapToGrid w:val="0"/>
        <w:spacing w:line="360" w:lineRule="auto"/>
        <w:rPr>
          <w:rFonts w:asciiTheme="minorEastAsia" w:hAnsiTheme="minorEastAsia" w:cstheme="minorEastAsia"/>
          <w:sz w:val="24"/>
          <w:szCs w:val="24"/>
          <w:highlight w:val="none"/>
        </w:rPr>
      </w:pPr>
      <w:r>
        <w:rPr>
          <w:rFonts w:hint="eastAsia" w:asciiTheme="minorEastAsia" w:hAnsiTheme="minorEastAsia" w:cstheme="minorEastAsia"/>
          <w:b/>
          <w:bCs/>
          <w:sz w:val="24"/>
          <w:szCs w:val="24"/>
          <w:highlight w:val="none"/>
        </w:rPr>
        <w:t>一、项目概况</w:t>
      </w:r>
    </w:p>
    <w:p w14:paraId="50B3293F">
      <w:pPr>
        <w:adjustRightInd w:val="0"/>
        <w:snapToGrid w:val="0"/>
        <w:spacing w:line="360" w:lineRule="auto"/>
        <w:ind w:firstLine="480" w:firstLineChars="200"/>
        <w:rPr>
          <w:rFonts w:hint="eastAsia"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1.项目名称：</w:t>
      </w:r>
      <w:r>
        <w:rPr>
          <w:rFonts w:hint="eastAsia" w:asciiTheme="minorEastAsia" w:hAnsiTheme="minorEastAsia" w:cstheme="minorEastAsia"/>
          <w:sz w:val="24"/>
          <w:szCs w:val="24"/>
          <w:highlight w:val="none"/>
          <w:u w:val="single"/>
        </w:rPr>
        <w:t xml:space="preserve">  </w:t>
      </w:r>
      <w:r>
        <w:rPr>
          <w:rFonts w:hint="eastAsia" w:asciiTheme="minorEastAsia" w:hAnsiTheme="minorEastAsia" w:cstheme="minorEastAsia"/>
          <w:sz w:val="24"/>
          <w:szCs w:val="24"/>
          <w:highlight w:val="none"/>
          <w:u w:val="single"/>
          <w:lang w:val="en-US" w:eastAsia="zh-CN"/>
        </w:rPr>
        <w:t xml:space="preserve"> </w:t>
      </w:r>
      <w:r>
        <w:rPr>
          <w:rFonts w:hint="eastAsia" w:asciiTheme="minorEastAsia" w:hAnsiTheme="minorEastAsia" w:cstheme="minorEastAsia"/>
          <w:sz w:val="24"/>
          <w:szCs w:val="24"/>
          <w:highlight w:val="none"/>
          <w:u w:val="single"/>
        </w:rPr>
        <w:t xml:space="preserve">2026年中波台技术设备采购及安装项目     </w:t>
      </w:r>
      <w:r>
        <w:rPr>
          <w:rFonts w:hint="eastAsia" w:asciiTheme="minorEastAsia" w:hAnsiTheme="minorEastAsia" w:cstheme="minorEastAsia"/>
          <w:sz w:val="24"/>
          <w:szCs w:val="24"/>
          <w:highlight w:val="none"/>
          <w:u w:val="single"/>
          <w:lang w:val="en-US" w:eastAsia="zh-CN"/>
        </w:rPr>
        <w:t xml:space="preserve">  </w:t>
      </w:r>
      <w:r>
        <w:rPr>
          <w:rFonts w:hint="eastAsia" w:asciiTheme="minorEastAsia" w:hAnsiTheme="minorEastAsia" w:cstheme="minorEastAsia"/>
          <w:sz w:val="24"/>
          <w:szCs w:val="24"/>
          <w:highlight w:val="none"/>
          <w:u w:val="single"/>
        </w:rPr>
        <w:t xml:space="preserve">   </w:t>
      </w:r>
      <w:r>
        <w:rPr>
          <w:rFonts w:hint="eastAsia" w:asciiTheme="minorEastAsia" w:hAnsiTheme="minorEastAsia" w:cstheme="minorEastAsia"/>
          <w:sz w:val="24"/>
          <w:szCs w:val="24"/>
          <w:highlight w:val="none"/>
        </w:rPr>
        <w:t>；</w:t>
      </w:r>
    </w:p>
    <w:p w14:paraId="614ACB06">
      <w:pPr>
        <w:adjustRightInd w:val="0"/>
        <w:snapToGrid w:val="0"/>
        <w:spacing w:line="360" w:lineRule="auto"/>
        <w:ind w:firstLine="480" w:firstLineChars="200"/>
        <w:rPr>
          <w:rFonts w:hint="default" w:asciiTheme="minorEastAsia" w:hAnsiTheme="minorEastAsia" w:eastAsiaTheme="minorEastAsia" w:cstheme="minorEastAsia"/>
          <w:sz w:val="24"/>
          <w:szCs w:val="24"/>
          <w:highlight w:val="none"/>
          <w:u w:val="single"/>
          <w:lang w:val="en-US" w:eastAsia="zh-CN"/>
        </w:rPr>
      </w:pPr>
      <w:r>
        <w:rPr>
          <w:rFonts w:hint="eastAsia" w:asciiTheme="minorEastAsia" w:hAnsiTheme="minorEastAsia" w:cstheme="minorEastAsia"/>
          <w:sz w:val="24"/>
          <w:szCs w:val="24"/>
          <w:highlight w:val="none"/>
          <w:lang w:val="en-US" w:eastAsia="zh-CN"/>
        </w:rPr>
        <w:t>2.项目编号及采购包号：</w:t>
      </w:r>
      <w:r>
        <w:rPr>
          <w:rFonts w:hint="eastAsia" w:asciiTheme="minorEastAsia" w:hAnsiTheme="minorEastAsia" w:cstheme="minorEastAsia"/>
          <w:sz w:val="24"/>
          <w:szCs w:val="24"/>
          <w:highlight w:val="none"/>
          <w:u w:val="single"/>
        </w:rPr>
        <w:t>ZY2026-ZB-GK1098</w:t>
      </w:r>
      <w:r>
        <w:rPr>
          <w:rFonts w:hint="eastAsia" w:asciiTheme="minorEastAsia" w:hAnsiTheme="minorEastAsia" w:cstheme="minorEastAsia"/>
          <w:sz w:val="24"/>
          <w:szCs w:val="24"/>
          <w:highlight w:val="none"/>
          <w:u w:val="single"/>
          <w:lang w:eastAsia="zh-CN"/>
        </w:rPr>
        <w:t>（</w:t>
      </w:r>
      <w:r>
        <w:rPr>
          <w:rFonts w:hint="eastAsia" w:asciiTheme="minorEastAsia" w:hAnsiTheme="minorEastAsia" w:cstheme="minorEastAsia"/>
          <w:sz w:val="24"/>
          <w:szCs w:val="24"/>
          <w:highlight w:val="none"/>
          <w:u w:val="single"/>
          <w:lang w:val="en-US" w:eastAsia="zh-CN"/>
        </w:rPr>
        <w:t>采购包1/采购包2</w:t>
      </w:r>
      <w:r>
        <w:rPr>
          <w:rFonts w:hint="eastAsia" w:asciiTheme="minorEastAsia" w:hAnsiTheme="minorEastAsia" w:cstheme="minorEastAsia"/>
          <w:sz w:val="24"/>
          <w:szCs w:val="24"/>
          <w:highlight w:val="none"/>
          <w:u w:val="single"/>
          <w:lang w:eastAsia="zh-CN"/>
        </w:rPr>
        <w:t>）</w:t>
      </w:r>
      <w:r>
        <w:rPr>
          <w:rFonts w:hint="eastAsia" w:asciiTheme="minorEastAsia" w:hAnsiTheme="minorEastAsia" w:cstheme="minorEastAsia"/>
          <w:sz w:val="24"/>
          <w:szCs w:val="24"/>
          <w:highlight w:val="none"/>
          <w:u w:val="single"/>
        </w:rPr>
        <w:t xml:space="preserve"> </w:t>
      </w:r>
      <w:r>
        <w:rPr>
          <w:rFonts w:hint="eastAsia" w:asciiTheme="minorEastAsia" w:hAnsiTheme="minorEastAsia" w:cstheme="minorEastAsia"/>
          <w:sz w:val="24"/>
          <w:szCs w:val="24"/>
          <w:highlight w:val="none"/>
          <w:u w:val="single"/>
          <w:lang w:val="en-US" w:eastAsia="zh-CN"/>
        </w:rPr>
        <w:t xml:space="preserve"> </w:t>
      </w:r>
      <w:r>
        <w:rPr>
          <w:rFonts w:hint="eastAsia" w:asciiTheme="minorEastAsia" w:hAnsiTheme="minorEastAsia" w:cstheme="minorEastAsia"/>
          <w:sz w:val="24"/>
          <w:szCs w:val="24"/>
          <w:highlight w:val="none"/>
          <w:u w:val="none"/>
          <w:lang w:val="en-US" w:eastAsia="zh-CN"/>
        </w:rPr>
        <w:t>；</w:t>
      </w:r>
    </w:p>
    <w:p w14:paraId="6410BB26">
      <w:pPr>
        <w:adjustRightInd w:val="0"/>
        <w:snapToGrid w:val="0"/>
        <w:spacing w:line="360" w:lineRule="auto"/>
        <w:ind w:firstLine="480" w:firstLineChars="200"/>
        <w:rPr>
          <w:rFonts w:asciiTheme="minorEastAsia" w:hAnsiTheme="minorEastAsia" w:cstheme="minorEastAsia"/>
          <w:sz w:val="24"/>
          <w:szCs w:val="24"/>
          <w:highlight w:val="none"/>
        </w:rPr>
      </w:pPr>
      <w:r>
        <w:rPr>
          <w:rFonts w:hint="eastAsia" w:asciiTheme="minorEastAsia" w:hAnsiTheme="minorEastAsia" w:cstheme="minorEastAsia"/>
          <w:sz w:val="24"/>
          <w:szCs w:val="24"/>
          <w:highlight w:val="none"/>
          <w:lang w:val="en-US" w:eastAsia="zh-CN"/>
        </w:rPr>
        <w:t>3</w:t>
      </w:r>
      <w:r>
        <w:rPr>
          <w:rFonts w:hint="eastAsia" w:asciiTheme="minorEastAsia" w:hAnsiTheme="minorEastAsia" w:cstheme="minorEastAsia"/>
          <w:sz w:val="24"/>
          <w:szCs w:val="24"/>
          <w:highlight w:val="none"/>
        </w:rPr>
        <w:t>.项目地点：</w:t>
      </w:r>
      <w:r>
        <w:rPr>
          <w:rFonts w:hint="eastAsia" w:asciiTheme="minorEastAsia" w:hAnsiTheme="minorEastAsia" w:cstheme="minorEastAsia"/>
          <w:sz w:val="24"/>
          <w:szCs w:val="24"/>
          <w:highlight w:val="none"/>
          <w:u w:val="single"/>
        </w:rPr>
        <w:t xml:space="preserve">  陕西省中波台管理中心指定地点           </w:t>
      </w:r>
      <w:r>
        <w:rPr>
          <w:rFonts w:hint="eastAsia" w:asciiTheme="minorEastAsia" w:hAnsiTheme="minorEastAsia" w:cstheme="minorEastAsia"/>
          <w:sz w:val="24"/>
          <w:szCs w:val="24"/>
          <w:highlight w:val="none"/>
          <w:u w:val="single"/>
          <w:lang w:val="en-US" w:eastAsia="zh-CN"/>
        </w:rPr>
        <w:t xml:space="preserve">   </w:t>
      </w:r>
      <w:r>
        <w:rPr>
          <w:rFonts w:hint="eastAsia" w:asciiTheme="minorEastAsia" w:hAnsiTheme="minorEastAsia" w:cstheme="minorEastAsia"/>
          <w:sz w:val="24"/>
          <w:szCs w:val="24"/>
          <w:highlight w:val="none"/>
          <w:u w:val="single"/>
        </w:rPr>
        <w:t xml:space="preserve">    </w:t>
      </w:r>
      <w:r>
        <w:rPr>
          <w:rFonts w:hint="eastAsia" w:asciiTheme="minorEastAsia" w:hAnsiTheme="minorEastAsia" w:cstheme="minorEastAsia"/>
          <w:sz w:val="24"/>
          <w:szCs w:val="24"/>
          <w:highlight w:val="none"/>
        </w:rPr>
        <w:t xml:space="preserve">；                                                   </w:t>
      </w:r>
    </w:p>
    <w:p w14:paraId="3151334A">
      <w:pPr>
        <w:adjustRightInd w:val="0"/>
        <w:snapToGrid w:val="0"/>
        <w:spacing w:line="360" w:lineRule="auto"/>
        <w:ind w:firstLine="480" w:firstLineChars="200"/>
        <w:rPr>
          <w:rFonts w:asciiTheme="minorEastAsia" w:hAnsiTheme="minorEastAsia" w:cstheme="minorEastAsia"/>
          <w:sz w:val="24"/>
          <w:szCs w:val="24"/>
          <w:highlight w:val="none"/>
        </w:rPr>
      </w:pPr>
      <w:r>
        <w:rPr>
          <w:rFonts w:hint="eastAsia" w:asciiTheme="minorEastAsia" w:hAnsiTheme="minorEastAsia" w:cstheme="minorEastAsia"/>
          <w:sz w:val="24"/>
          <w:szCs w:val="24"/>
          <w:highlight w:val="none"/>
          <w:lang w:val="en-US" w:eastAsia="zh-CN"/>
        </w:rPr>
        <w:t>4</w:t>
      </w:r>
      <w:r>
        <w:rPr>
          <w:rFonts w:hint="eastAsia" w:asciiTheme="minorEastAsia" w:hAnsiTheme="minorEastAsia" w:cstheme="minorEastAsia"/>
          <w:sz w:val="24"/>
          <w:szCs w:val="24"/>
          <w:highlight w:val="none"/>
        </w:rPr>
        <w:t>.项目内容：</w:t>
      </w:r>
      <w:r>
        <w:rPr>
          <w:rFonts w:hint="eastAsia" w:asciiTheme="minorEastAsia" w:hAnsiTheme="minorEastAsia" w:cstheme="minorEastAsia"/>
          <w:sz w:val="24"/>
          <w:szCs w:val="24"/>
          <w:highlight w:val="none"/>
          <w:u w:val="single"/>
        </w:rPr>
        <w:t xml:space="preserve">                                           </w:t>
      </w:r>
      <w:r>
        <w:rPr>
          <w:rFonts w:hint="eastAsia" w:asciiTheme="minorEastAsia" w:hAnsiTheme="minorEastAsia" w:cstheme="minorEastAsia"/>
          <w:sz w:val="24"/>
          <w:szCs w:val="24"/>
          <w:highlight w:val="none"/>
          <w:u w:val="single"/>
          <w:lang w:val="en-US" w:eastAsia="zh-CN"/>
        </w:rPr>
        <w:t xml:space="preserve">   </w:t>
      </w:r>
      <w:r>
        <w:rPr>
          <w:rFonts w:hint="eastAsia" w:asciiTheme="minorEastAsia" w:hAnsiTheme="minorEastAsia" w:cstheme="minorEastAsia"/>
          <w:sz w:val="24"/>
          <w:szCs w:val="24"/>
          <w:highlight w:val="none"/>
          <w:u w:val="single"/>
        </w:rPr>
        <w:t xml:space="preserve">  </w:t>
      </w:r>
      <w:r>
        <w:rPr>
          <w:rFonts w:hint="eastAsia" w:asciiTheme="minorEastAsia" w:hAnsiTheme="minorEastAsia" w:cstheme="minorEastAsia"/>
          <w:sz w:val="24"/>
          <w:szCs w:val="24"/>
          <w:highlight w:val="none"/>
        </w:rPr>
        <w:t xml:space="preserve">；                                                   </w:t>
      </w:r>
    </w:p>
    <w:p w14:paraId="4FE2FA16">
      <w:pPr>
        <w:keepNext w:val="0"/>
        <w:keepLines w:val="0"/>
        <w:pageBreakBefore w:val="0"/>
        <w:widowControl w:val="0"/>
        <w:kinsoku/>
        <w:wordWrap/>
        <w:overflowPunct/>
        <w:topLinePunct w:val="0"/>
        <w:bidi w:val="0"/>
        <w:snapToGrid w:val="0"/>
        <w:spacing w:line="360" w:lineRule="auto"/>
        <w:ind w:right="0"/>
        <w:outlineLvl w:val="0"/>
        <w:rPr>
          <w:rFonts w:hint="eastAsia" w:ascii="宋体" w:hAnsi="宋体" w:eastAsia="宋体" w:cs="宋体"/>
          <w:b/>
          <w:snapToGrid w:val="0"/>
          <w:color w:val="auto"/>
          <w:spacing w:val="6"/>
          <w:sz w:val="24"/>
          <w:szCs w:val="24"/>
          <w:highlight w:val="none"/>
          <w:lang w:val="en-US" w:eastAsia="zh-CN"/>
        </w:rPr>
      </w:pPr>
      <w:r>
        <w:rPr>
          <w:rFonts w:hint="eastAsia" w:ascii="宋体" w:hAnsi="宋体" w:eastAsia="宋体" w:cs="宋体"/>
          <w:b/>
          <w:snapToGrid w:val="0"/>
          <w:color w:val="auto"/>
          <w:spacing w:val="6"/>
          <w:sz w:val="24"/>
          <w:szCs w:val="24"/>
          <w:highlight w:val="none"/>
        </w:rPr>
        <w:t>二、</w:t>
      </w:r>
      <w:r>
        <w:rPr>
          <w:rFonts w:hint="eastAsia" w:ascii="宋体" w:hAnsi="宋体" w:eastAsia="宋体" w:cs="宋体"/>
          <w:b/>
          <w:snapToGrid w:val="0"/>
          <w:color w:val="auto"/>
          <w:spacing w:val="6"/>
          <w:sz w:val="24"/>
          <w:szCs w:val="24"/>
          <w:highlight w:val="none"/>
          <w:lang w:eastAsia="zh-CN"/>
        </w:rPr>
        <w:t>交货期</w:t>
      </w:r>
    </w:p>
    <w:p w14:paraId="61687CA2">
      <w:pPr>
        <w:keepNext w:val="0"/>
        <w:keepLines w:val="0"/>
        <w:pageBreakBefore w:val="0"/>
        <w:widowControl w:val="0"/>
        <w:tabs>
          <w:tab w:val="left" w:pos="7395"/>
        </w:tabs>
        <w:kinsoku/>
        <w:wordWrap/>
        <w:overflowPunct/>
        <w:topLinePunct w:val="0"/>
        <w:bidi w:val="0"/>
        <w:snapToGrid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自合同签订后2个月内供货安装调试并验收合格</w:t>
      </w:r>
      <w:r>
        <w:rPr>
          <w:rFonts w:hint="eastAsia" w:ascii="宋体" w:hAnsi="宋体" w:eastAsia="宋体" w:cs="宋体"/>
          <w:sz w:val="24"/>
          <w:szCs w:val="24"/>
          <w:highlight w:val="none"/>
          <w:lang w:eastAsia="zh-CN"/>
        </w:rPr>
        <w:t>。</w:t>
      </w:r>
      <w:r>
        <w:rPr>
          <w:rFonts w:hint="eastAsia" w:ascii="宋体" w:hAnsi="宋体" w:eastAsia="宋体" w:cs="宋体"/>
          <w:color w:val="auto"/>
          <w:sz w:val="24"/>
          <w:szCs w:val="24"/>
          <w:highlight w:val="none"/>
        </w:rPr>
        <w:tab/>
      </w:r>
    </w:p>
    <w:p w14:paraId="5E837DE2">
      <w:pPr>
        <w:keepNext w:val="0"/>
        <w:keepLines w:val="0"/>
        <w:pageBreakBefore w:val="0"/>
        <w:widowControl w:val="0"/>
        <w:kinsoku/>
        <w:wordWrap/>
        <w:overflowPunct/>
        <w:topLinePunct w:val="0"/>
        <w:bidi w:val="0"/>
        <w:snapToGrid w:val="0"/>
        <w:spacing w:line="360" w:lineRule="auto"/>
        <w:ind w:right="0"/>
        <w:outlineLvl w:val="0"/>
        <w:rPr>
          <w:rFonts w:hint="eastAsia" w:ascii="宋体" w:hAnsi="宋体" w:eastAsia="宋体" w:cs="宋体"/>
          <w:b/>
          <w:snapToGrid w:val="0"/>
          <w:color w:val="auto"/>
          <w:spacing w:val="6"/>
          <w:sz w:val="24"/>
          <w:szCs w:val="24"/>
          <w:highlight w:val="none"/>
        </w:rPr>
      </w:pPr>
      <w:r>
        <w:rPr>
          <w:rFonts w:hint="eastAsia" w:ascii="宋体" w:hAnsi="宋体" w:eastAsia="宋体" w:cs="宋体"/>
          <w:b/>
          <w:snapToGrid w:val="0"/>
          <w:color w:val="auto"/>
          <w:spacing w:val="6"/>
          <w:sz w:val="24"/>
          <w:szCs w:val="24"/>
          <w:highlight w:val="none"/>
        </w:rPr>
        <w:t>三、质量标准</w:t>
      </w:r>
    </w:p>
    <w:p w14:paraId="13A1AD9E">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宋体" w:hAnsi="宋体" w:eastAsia="宋体" w:cs="宋体"/>
          <w:snapToGrid w:val="0"/>
          <w:color w:val="auto"/>
          <w:spacing w:val="6"/>
          <w:sz w:val="24"/>
          <w:szCs w:val="24"/>
          <w:highlight w:val="none"/>
          <w:u w:val="single"/>
        </w:rPr>
      </w:pPr>
      <w:r>
        <w:rPr>
          <w:rFonts w:hint="eastAsia" w:ascii="宋体" w:hAnsi="宋体" w:eastAsia="宋体" w:cs="宋体"/>
          <w:color w:val="auto"/>
          <w:sz w:val="24"/>
          <w:szCs w:val="24"/>
          <w:highlight w:val="none"/>
        </w:rPr>
        <w:t>具体详见本项目招标文件。</w:t>
      </w:r>
    </w:p>
    <w:p w14:paraId="6A0FCA64">
      <w:pPr>
        <w:keepNext w:val="0"/>
        <w:keepLines w:val="0"/>
        <w:pageBreakBefore w:val="0"/>
        <w:widowControl w:val="0"/>
        <w:kinsoku/>
        <w:wordWrap/>
        <w:overflowPunct/>
        <w:topLinePunct w:val="0"/>
        <w:bidi w:val="0"/>
        <w:snapToGrid w:val="0"/>
        <w:spacing w:line="360" w:lineRule="auto"/>
        <w:ind w:right="0"/>
        <w:outlineLvl w:val="0"/>
        <w:rPr>
          <w:rFonts w:hint="eastAsia" w:ascii="宋体" w:hAnsi="宋体" w:eastAsia="宋体" w:cs="宋体"/>
          <w:b/>
          <w:snapToGrid w:val="0"/>
          <w:color w:val="auto"/>
          <w:spacing w:val="6"/>
          <w:sz w:val="24"/>
          <w:szCs w:val="24"/>
          <w:highlight w:val="none"/>
        </w:rPr>
      </w:pPr>
      <w:r>
        <w:rPr>
          <w:rFonts w:hint="eastAsia" w:ascii="宋体" w:hAnsi="宋体" w:eastAsia="宋体" w:cs="宋体"/>
          <w:b/>
          <w:snapToGrid w:val="0"/>
          <w:color w:val="auto"/>
          <w:spacing w:val="6"/>
          <w:sz w:val="24"/>
          <w:szCs w:val="24"/>
          <w:highlight w:val="none"/>
        </w:rPr>
        <w:t>四、合同价款</w:t>
      </w:r>
    </w:p>
    <w:tbl>
      <w:tblPr>
        <w:tblStyle w:val="4"/>
        <w:tblW w:w="836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8"/>
        <w:gridCol w:w="916"/>
        <w:gridCol w:w="863"/>
        <w:gridCol w:w="812"/>
        <w:gridCol w:w="813"/>
        <w:gridCol w:w="1087"/>
        <w:gridCol w:w="750"/>
        <w:gridCol w:w="1188"/>
        <w:gridCol w:w="1237"/>
      </w:tblGrid>
      <w:tr w14:paraId="16CCC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3"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CFC63">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F9FD0">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商品名称</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63A75">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单位</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DEF8A">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数量</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CD4BF">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品牌</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8CFFE">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规格型号</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7C916">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制造商</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6AC9A">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含税单价（元）</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4CA13">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含税合价（元）</w:t>
            </w:r>
          </w:p>
        </w:tc>
      </w:tr>
      <w:tr w14:paraId="0B7C4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A6E7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w:t>
            </w:r>
          </w:p>
        </w:tc>
        <w:tc>
          <w:tcPr>
            <w:tcW w:w="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58734">
            <w:pPr>
              <w:widowControl/>
              <w:jc w:val="center"/>
              <w:textAlignment w:val="center"/>
              <w:rPr>
                <w:rFonts w:hint="eastAsia" w:ascii="宋体" w:hAnsi="宋体" w:eastAsia="宋体" w:cs="宋体"/>
                <w:i w:val="0"/>
                <w:iCs w:val="0"/>
                <w:color w:val="000000"/>
                <w:sz w:val="24"/>
                <w:szCs w:val="24"/>
                <w:highlight w:val="none"/>
                <w:u w:val="none"/>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91B7E">
            <w:pPr>
              <w:widowControl/>
              <w:jc w:val="center"/>
              <w:textAlignment w:val="center"/>
              <w:rPr>
                <w:rFonts w:hint="eastAsia" w:ascii="宋体" w:hAnsi="宋体" w:eastAsia="宋体" w:cs="宋体"/>
                <w:i w:val="0"/>
                <w:iCs w:val="0"/>
                <w:color w:val="000000"/>
                <w:sz w:val="24"/>
                <w:szCs w:val="24"/>
                <w:highlight w:val="none"/>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39DF6">
            <w:pPr>
              <w:widowControl/>
              <w:jc w:val="center"/>
              <w:textAlignment w:val="center"/>
              <w:rPr>
                <w:rFonts w:hint="eastAsia" w:ascii="宋体" w:hAnsi="宋体" w:eastAsia="宋体" w:cs="宋体"/>
                <w:i w:val="0"/>
                <w:iCs w:val="0"/>
                <w:color w:val="000000"/>
                <w:sz w:val="24"/>
                <w:szCs w:val="24"/>
                <w:highlight w:val="none"/>
                <w:u w:val="none"/>
              </w:rPr>
            </w:pP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C935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0003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ED83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C29E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C150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B454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5772F">
            <w:pPr>
              <w:widowControl/>
              <w:jc w:val="center"/>
              <w:textAlignment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w:t>
            </w:r>
          </w:p>
        </w:tc>
        <w:tc>
          <w:tcPr>
            <w:tcW w:w="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C29C0">
            <w:pPr>
              <w:widowControl/>
              <w:jc w:val="center"/>
              <w:textAlignment w:val="center"/>
              <w:rPr>
                <w:rFonts w:hint="eastAsia" w:ascii="宋体" w:hAnsi="宋体" w:eastAsia="宋体" w:cs="宋体"/>
                <w:color w:val="000000"/>
                <w:kern w:val="0"/>
                <w:sz w:val="24"/>
                <w:szCs w:val="24"/>
                <w:highlight w:val="none"/>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E1428">
            <w:pPr>
              <w:widowControl/>
              <w:jc w:val="center"/>
              <w:textAlignment w:val="center"/>
              <w:rPr>
                <w:rFonts w:hint="eastAsia" w:ascii="宋体" w:hAnsi="宋体" w:eastAsia="宋体" w:cs="宋体"/>
                <w:color w:val="000000"/>
                <w:kern w:val="0"/>
                <w:sz w:val="24"/>
                <w:szCs w:val="24"/>
                <w:highlight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23E4D">
            <w:pPr>
              <w:widowControl/>
              <w:jc w:val="center"/>
              <w:textAlignment w:val="center"/>
              <w:rPr>
                <w:rFonts w:hint="eastAsia" w:ascii="宋体" w:hAnsi="宋体" w:eastAsia="宋体" w:cs="宋体"/>
                <w:color w:val="000000"/>
                <w:kern w:val="0"/>
                <w:sz w:val="24"/>
                <w:szCs w:val="24"/>
                <w:highlight w:val="none"/>
              </w:rPr>
            </w:pP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EE3B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3DB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5A7F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8C51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1F05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63FD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2AFAF">
            <w:pPr>
              <w:widowControl/>
              <w:jc w:val="center"/>
              <w:textAlignment w:val="center"/>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D6B1C">
            <w:pPr>
              <w:widowControl/>
              <w:jc w:val="center"/>
              <w:textAlignment w:val="center"/>
              <w:rPr>
                <w:rFonts w:hint="eastAsia" w:ascii="宋体" w:hAnsi="宋体" w:eastAsia="宋体" w:cs="宋体"/>
                <w:color w:val="000000"/>
                <w:kern w:val="0"/>
                <w:sz w:val="24"/>
                <w:szCs w:val="24"/>
                <w:highlight w:val="none"/>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A0135">
            <w:pPr>
              <w:widowControl/>
              <w:jc w:val="center"/>
              <w:textAlignment w:val="center"/>
              <w:rPr>
                <w:rFonts w:hint="eastAsia" w:ascii="宋体" w:hAnsi="宋体" w:eastAsia="宋体" w:cs="宋体"/>
                <w:color w:val="000000"/>
                <w:kern w:val="0"/>
                <w:sz w:val="24"/>
                <w:szCs w:val="24"/>
                <w:highlight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B2E7C">
            <w:pPr>
              <w:widowControl/>
              <w:jc w:val="center"/>
              <w:textAlignment w:val="center"/>
              <w:rPr>
                <w:rFonts w:hint="eastAsia" w:ascii="宋体" w:hAnsi="宋体" w:eastAsia="宋体" w:cs="宋体"/>
                <w:color w:val="000000"/>
                <w:kern w:val="0"/>
                <w:sz w:val="24"/>
                <w:szCs w:val="24"/>
                <w:highlight w:val="none"/>
              </w:rPr>
            </w:pP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598E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78D3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25FD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C754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B29E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B1E4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18372">
            <w:pPr>
              <w:widowControl/>
              <w:jc w:val="center"/>
              <w:textAlignment w:val="center"/>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5DABA">
            <w:pPr>
              <w:widowControl/>
              <w:jc w:val="center"/>
              <w:textAlignment w:val="center"/>
              <w:rPr>
                <w:rFonts w:hint="eastAsia" w:ascii="宋体" w:hAnsi="宋体" w:eastAsia="宋体" w:cs="宋体"/>
                <w:color w:val="000000"/>
                <w:kern w:val="0"/>
                <w:sz w:val="24"/>
                <w:szCs w:val="24"/>
                <w:highlight w:val="none"/>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E4288">
            <w:pPr>
              <w:widowControl/>
              <w:jc w:val="center"/>
              <w:textAlignment w:val="center"/>
              <w:rPr>
                <w:rFonts w:hint="eastAsia" w:ascii="宋体" w:hAnsi="宋体" w:eastAsia="宋体" w:cs="宋体"/>
                <w:color w:val="000000"/>
                <w:kern w:val="0"/>
                <w:sz w:val="24"/>
                <w:szCs w:val="24"/>
                <w:highlight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18B1E">
            <w:pPr>
              <w:widowControl/>
              <w:jc w:val="center"/>
              <w:textAlignment w:val="center"/>
              <w:rPr>
                <w:rFonts w:hint="eastAsia" w:ascii="宋体" w:hAnsi="宋体" w:eastAsia="宋体" w:cs="宋体"/>
                <w:color w:val="000000"/>
                <w:kern w:val="0"/>
                <w:sz w:val="24"/>
                <w:szCs w:val="24"/>
                <w:highlight w:val="none"/>
              </w:rPr>
            </w:pP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2420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4128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5E66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AE46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1C68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26DD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8364"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040E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含税合计金额：人民币</w:t>
            </w:r>
            <w:r>
              <w:rPr>
                <w:rFonts w:hint="eastAsia" w:ascii="宋体" w:hAnsi="宋体" w:eastAsia="宋体" w:cs="宋体"/>
                <w:i w:val="0"/>
                <w:iCs w:val="0"/>
                <w:color w:val="000000"/>
                <w:kern w:val="0"/>
                <w:sz w:val="24"/>
                <w:szCs w:val="24"/>
                <w:highlight w:val="none"/>
                <w:u w:val="single"/>
                <w:lang w:val="en-US" w:eastAsia="zh-CN" w:bidi="ar"/>
              </w:rPr>
              <w:t xml:space="preserve">                </w:t>
            </w:r>
            <w:r>
              <w:rPr>
                <w:rFonts w:hint="eastAsia" w:ascii="宋体" w:hAnsi="宋体" w:eastAsia="宋体" w:cs="宋体"/>
                <w:i w:val="0"/>
                <w:iCs w:val="0"/>
                <w:color w:val="000000"/>
                <w:kern w:val="0"/>
                <w:sz w:val="24"/>
                <w:szCs w:val="24"/>
                <w:highlight w:val="none"/>
                <w:u w:val="none"/>
                <w:lang w:val="en-US" w:eastAsia="zh-CN" w:bidi="ar"/>
              </w:rPr>
              <w:t>元整（小写：¥</w:t>
            </w:r>
            <w:r>
              <w:rPr>
                <w:rFonts w:hint="eastAsia" w:ascii="宋体" w:hAnsi="宋体" w:eastAsia="宋体" w:cs="宋体"/>
                <w:i w:val="0"/>
                <w:iCs w:val="0"/>
                <w:color w:val="000000"/>
                <w:kern w:val="0"/>
                <w:sz w:val="24"/>
                <w:szCs w:val="24"/>
                <w:highlight w:val="none"/>
                <w:u w:val="single"/>
                <w:lang w:val="en-US" w:eastAsia="zh-CN" w:bidi="ar"/>
              </w:rPr>
              <w:t xml:space="preserve">              </w:t>
            </w:r>
            <w:r>
              <w:rPr>
                <w:rFonts w:hint="eastAsia" w:ascii="宋体" w:hAnsi="宋体" w:eastAsia="宋体" w:cs="宋体"/>
                <w:i w:val="0"/>
                <w:iCs w:val="0"/>
                <w:color w:val="000000"/>
                <w:kern w:val="0"/>
                <w:sz w:val="24"/>
                <w:szCs w:val="24"/>
                <w:highlight w:val="none"/>
                <w:u w:val="none"/>
                <w:lang w:val="en-US" w:eastAsia="zh-CN" w:bidi="ar"/>
              </w:rPr>
              <w:t>）</w:t>
            </w:r>
          </w:p>
        </w:tc>
      </w:tr>
    </w:tbl>
    <w:p w14:paraId="4AF1A9ED">
      <w:pPr>
        <w:keepNext w:val="0"/>
        <w:keepLines w:val="0"/>
        <w:pageBreakBefore w:val="0"/>
        <w:widowControl w:val="0"/>
        <w:kinsoku/>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本合同总价包括人工费、设备费、运输装卸费、安装调试费、培训费、质保期内的保修费、保险、税金、利润、专用工具使用费等与之相关的一切直接费、间接费</w:t>
      </w:r>
      <w:r>
        <w:rPr>
          <w:rFonts w:hint="eastAsia" w:ascii="宋体" w:hAnsi="宋体" w:eastAsia="宋体" w:cs="宋体"/>
          <w:color w:val="auto"/>
          <w:sz w:val="24"/>
          <w:szCs w:val="24"/>
          <w:highlight w:val="none"/>
          <w:u w:val="single"/>
        </w:rPr>
        <w:t>。</w:t>
      </w:r>
    </w:p>
    <w:p w14:paraId="4AF45AD3">
      <w:pPr>
        <w:keepNext w:val="0"/>
        <w:keepLines w:val="0"/>
        <w:pageBreakBefore w:val="0"/>
        <w:widowControl w:val="0"/>
        <w:kinsoku/>
        <w:wordWrap/>
        <w:overflowPunct/>
        <w:topLinePunct w:val="0"/>
        <w:bidi w:val="0"/>
        <w:snapToGrid w:val="0"/>
        <w:spacing w:line="360" w:lineRule="auto"/>
        <w:ind w:right="0"/>
        <w:outlineLvl w:val="0"/>
        <w:rPr>
          <w:rFonts w:hint="eastAsia" w:ascii="宋体" w:hAnsi="宋体" w:eastAsia="宋体" w:cs="宋体"/>
          <w:b/>
          <w:snapToGrid w:val="0"/>
          <w:color w:val="auto"/>
          <w:spacing w:val="6"/>
          <w:sz w:val="24"/>
          <w:szCs w:val="24"/>
          <w:highlight w:val="none"/>
        </w:rPr>
      </w:pPr>
      <w:r>
        <w:rPr>
          <w:rFonts w:hint="eastAsia" w:ascii="宋体" w:hAnsi="宋体" w:eastAsia="宋体" w:cs="宋体"/>
          <w:b/>
          <w:snapToGrid w:val="0"/>
          <w:color w:val="auto"/>
          <w:spacing w:val="6"/>
          <w:sz w:val="24"/>
          <w:szCs w:val="24"/>
          <w:highlight w:val="none"/>
        </w:rPr>
        <w:t>五、付款方式</w:t>
      </w:r>
    </w:p>
    <w:p w14:paraId="21E08D2C">
      <w:pPr>
        <w:keepNext w:val="0"/>
        <w:keepLines w:val="0"/>
        <w:pageBreakBefore w:val="0"/>
        <w:widowControl w:val="0"/>
        <w:kinsoku/>
        <w:wordWrap/>
        <w:overflowPunct/>
        <w:topLinePunct w:val="0"/>
        <w:bidi w:val="0"/>
        <w:snapToGrid w:val="0"/>
        <w:spacing w:line="360" w:lineRule="auto"/>
        <w:ind w:left="0" w:right="0" w:firstLine="480" w:firstLineChars="200"/>
        <w:outlineLvl w:val="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合同签订后，达到付款条件起10个工作日内，支付合同总金额的30%</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安装调试完毕且验收合格后，达到付款条件起10个工作日内，支付合同总金额的70%。</w:t>
      </w:r>
    </w:p>
    <w:p w14:paraId="6314E100">
      <w:pPr>
        <w:keepNext w:val="0"/>
        <w:keepLines w:val="0"/>
        <w:pageBreakBefore w:val="0"/>
        <w:widowControl w:val="0"/>
        <w:kinsoku/>
        <w:wordWrap/>
        <w:overflowPunct/>
        <w:topLinePunct w:val="0"/>
        <w:bidi w:val="0"/>
        <w:snapToGrid w:val="0"/>
        <w:spacing w:line="360" w:lineRule="auto"/>
        <w:ind w:right="0"/>
        <w:outlineLvl w:val="0"/>
        <w:rPr>
          <w:rFonts w:hint="eastAsia" w:ascii="宋体" w:hAnsi="宋体" w:eastAsia="宋体" w:cs="宋体"/>
          <w:b/>
          <w:snapToGrid w:val="0"/>
          <w:color w:val="auto"/>
          <w:spacing w:val="6"/>
          <w:sz w:val="24"/>
          <w:szCs w:val="24"/>
          <w:highlight w:val="none"/>
        </w:rPr>
      </w:pPr>
      <w:r>
        <w:rPr>
          <w:rFonts w:hint="eastAsia" w:ascii="宋体" w:hAnsi="宋体" w:eastAsia="宋体" w:cs="宋体"/>
          <w:b/>
          <w:snapToGrid w:val="0"/>
          <w:color w:val="auto"/>
          <w:spacing w:val="6"/>
          <w:sz w:val="24"/>
          <w:szCs w:val="24"/>
          <w:highlight w:val="none"/>
        </w:rPr>
        <w:t xml:space="preserve">六、进度计划 </w:t>
      </w:r>
    </w:p>
    <w:p w14:paraId="0126207F">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按采购人要求的交货期以及供应商响应的交货期完成</w:t>
      </w:r>
      <w:r>
        <w:rPr>
          <w:rFonts w:hint="eastAsia" w:ascii="宋体" w:hAnsi="宋体" w:eastAsia="宋体" w:cs="宋体"/>
          <w:color w:val="auto"/>
          <w:sz w:val="24"/>
          <w:szCs w:val="24"/>
          <w:highlight w:val="none"/>
        </w:rPr>
        <w:t>。</w:t>
      </w:r>
    </w:p>
    <w:p w14:paraId="39DF3A33">
      <w:pPr>
        <w:keepNext w:val="0"/>
        <w:keepLines w:val="0"/>
        <w:pageBreakBefore w:val="0"/>
        <w:widowControl w:val="0"/>
        <w:kinsoku/>
        <w:wordWrap/>
        <w:overflowPunct/>
        <w:topLinePunct w:val="0"/>
        <w:bidi w:val="0"/>
        <w:snapToGrid w:val="0"/>
        <w:spacing w:line="360" w:lineRule="auto"/>
        <w:ind w:right="0"/>
        <w:outlineLvl w:val="0"/>
        <w:rPr>
          <w:rFonts w:hint="eastAsia" w:ascii="宋体" w:hAnsi="宋体" w:eastAsia="宋体" w:cs="宋体"/>
          <w:b/>
          <w:snapToGrid w:val="0"/>
          <w:color w:val="auto"/>
          <w:sz w:val="24"/>
          <w:szCs w:val="24"/>
          <w:highlight w:val="none"/>
        </w:rPr>
      </w:pPr>
      <w:r>
        <w:rPr>
          <w:rFonts w:hint="eastAsia" w:ascii="宋体" w:hAnsi="宋体" w:eastAsia="宋体" w:cs="宋体"/>
          <w:b/>
          <w:snapToGrid w:val="0"/>
          <w:color w:val="auto"/>
          <w:spacing w:val="6"/>
          <w:sz w:val="24"/>
          <w:szCs w:val="24"/>
          <w:highlight w:val="none"/>
        </w:rPr>
        <w:t>七、</w:t>
      </w:r>
      <w:r>
        <w:rPr>
          <w:rFonts w:hint="eastAsia" w:ascii="宋体" w:hAnsi="宋体" w:eastAsia="宋体" w:cs="宋体"/>
          <w:b/>
          <w:snapToGrid w:val="0"/>
          <w:color w:val="auto"/>
          <w:sz w:val="24"/>
          <w:szCs w:val="24"/>
          <w:highlight w:val="none"/>
        </w:rPr>
        <w:t>交货地点</w:t>
      </w:r>
    </w:p>
    <w:p w14:paraId="6B84B408">
      <w:pPr>
        <w:keepNext w:val="0"/>
        <w:keepLines w:val="0"/>
        <w:pageBreakBefore w:val="0"/>
        <w:widowControl w:val="0"/>
        <w:kinsoku/>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交货地点：陕西省中波台管理中心指定地点。</w:t>
      </w:r>
    </w:p>
    <w:p w14:paraId="1D102AFD">
      <w:pPr>
        <w:keepNext w:val="0"/>
        <w:keepLines w:val="0"/>
        <w:pageBreakBefore w:val="0"/>
        <w:widowControl w:val="0"/>
        <w:kinsoku/>
        <w:wordWrap/>
        <w:overflowPunct/>
        <w:topLinePunct w:val="0"/>
        <w:bidi w:val="0"/>
        <w:snapToGrid w:val="0"/>
        <w:spacing w:line="360" w:lineRule="auto"/>
        <w:ind w:right="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八、验收标准、方法</w:t>
      </w:r>
    </w:p>
    <w:p w14:paraId="0C2B2DA5">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 xml:space="preserve">乙方货物经过双方检验认可后，签署验收报告，产品质保期自验收合格之日起算，由乙方提供产品保修文件。 </w:t>
      </w:r>
    </w:p>
    <w:p w14:paraId="1E71EAF0">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 xml:space="preserve">乙方应将所提供货物的装箱清单、配件、随机工具、用户使用手册、原厂保修卡等资料交付给甲方；乙方不能完整交付货物及本款规定的单证和工具的，必须负责补齐，否则视为未按合同约定交货。 </w:t>
      </w:r>
    </w:p>
    <w:p w14:paraId="1AFED6B7">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当满足以下条件时，甲方才向乙方签发货物验收报告：</w:t>
      </w:r>
    </w:p>
    <w:p w14:paraId="25CB63D0">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3.1设备到货后，依采购文件要求对全部设备、产品、型号、规格、数量、外型、外观、包装及资料、文件进行验收。 </w:t>
      </w:r>
    </w:p>
    <w:p w14:paraId="0A973C5F">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3.2拆箱后，应对其全部产品、零件、配件、用户许可证书、资料、介质造册登记，并与装箱单对比，如有出入应立即书面记录，由乙方联络厂家解决，如影响安装则按合同有关条款处理。 </w:t>
      </w:r>
    </w:p>
    <w:p w14:paraId="2F313FAC">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3.3完成全部设备及配件的安装与连接后，应严格按照测试计划进行设备通电测试，并做好各项测试的原始记录。 </w:t>
      </w:r>
    </w:p>
    <w:p w14:paraId="6BE134E5">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3.4测试中如发现设备性能指标或功能上不符合采购文件和合同时，将被视为性能不合格，甲方有权拒收并要求赔偿。 </w:t>
      </w:r>
    </w:p>
    <w:p w14:paraId="02B71707">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3.5乙方按照合同规定提供全部产品及完整的技术资料； </w:t>
      </w:r>
    </w:p>
    <w:p w14:paraId="77755393">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3.6货物符合招标文件和投标文件技术规格要求，性能满足要求； </w:t>
      </w:r>
    </w:p>
    <w:p w14:paraId="57548B26">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3.7货物具备产品合格证。</w:t>
      </w:r>
    </w:p>
    <w:p w14:paraId="3310FE2C">
      <w:pPr>
        <w:keepNext w:val="0"/>
        <w:keepLines w:val="0"/>
        <w:pageBreakBefore w:val="0"/>
        <w:widowControl w:val="0"/>
        <w:kinsoku/>
        <w:wordWrap/>
        <w:overflowPunct/>
        <w:topLinePunct w:val="0"/>
        <w:bidi w:val="0"/>
        <w:snapToGrid w:val="0"/>
        <w:spacing w:line="360" w:lineRule="auto"/>
        <w:ind w:left="0" w:right="0" w:firstLine="506" w:firstLineChars="200"/>
        <w:outlineLvl w:val="0"/>
        <w:rPr>
          <w:rFonts w:hint="eastAsia" w:ascii="宋体" w:hAnsi="宋体" w:eastAsia="宋体" w:cs="宋体"/>
          <w:snapToGrid w:val="0"/>
          <w:color w:val="auto"/>
          <w:spacing w:val="6"/>
          <w:sz w:val="24"/>
          <w:szCs w:val="24"/>
          <w:highlight w:val="none"/>
        </w:rPr>
      </w:pPr>
      <w:r>
        <w:rPr>
          <w:rFonts w:hint="eastAsia" w:ascii="宋体" w:hAnsi="宋体" w:eastAsia="宋体" w:cs="宋体"/>
          <w:b/>
          <w:snapToGrid w:val="0"/>
          <w:color w:val="auto"/>
          <w:spacing w:val="6"/>
          <w:sz w:val="24"/>
          <w:szCs w:val="24"/>
          <w:highlight w:val="none"/>
        </w:rPr>
        <w:t>九、验收签字</w:t>
      </w:r>
    </w:p>
    <w:p w14:paraId="6ADCD42B">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乙方实施完成后由甲方按照具体详见本项目招标文件及本合同的相关规定进行验收并出具验收报告。</w:t>
      </w:r>
    </w:p>
    <w:p w14:paraId="61385A18">
      <w:pPr>
        <w:keepNext w:val="0"/>
        <w:keepLines w:val="0"/>
        <w:pageBreakBefore w:val="0"/>
        <w:widowControl w:val="0"/>
        <w:kinsoku/>
        <w:wordWrap/>
        <w:overflowPunct/>
        <w:topLinePunct w:val="0"/>
        <w:bidi w:val="0"/>
        <w:snapToGrid w:val="0"/>
        <w:spacing w:line="360" w:lineRule="auto"/>
        <w:ind w:left="0" w:right="0" w:firstLine="506" w:firstLineChars="200"/>
        <w:outlineLvl w:val="0"/>
        <w:rPr>
          <w:rFonts w:hint="eastAsia" w:ascii="宋体" w:hAnsi="宋体" w:eastAsia="宋体" w:cs="宋体"/>
          <w:b/>
          <w:snapToGrid w:val="0"/>
          <w:color w:val="auto"/>
          <w:spacing w:val="6"/>
          <w:sz w:val="24"/>
          <w:szCs w:val="24"/>
          <w:highlight w:val="none"/>
        </w:rPr>
      </w:pPr>
      <w:r>
        <w:rPr>
          <w:rFonts w:hint="eastAsia" w:ascii="宋体" w:hAnsi="宋体" w:eastAsia="宋体" w:cs="宋体"/>
          <w:b/>
          <w:snapToGrid w:val="0"/>
          <w:color w:val="auto"/>
          <w:spacing w:val="6"/>
          <w:sz w:val="24"/>
          <w:szCs w:val="24"/>
          <w:highlight w:val="none"/>
        </w:rPr>
        <w:t>十、甲乙双方权利与义务</w:t>
      </w:r>
    </w:p>
    <w:p w14:paraId="356AC067">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1、甲方权利与义务：</w:t>
      </w:r>
    </w:p>
    <w:p w14:paraId="04D47DC9">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(1)乙方进行项目实施时，甲方指定专人到现场进行协调，配合乙方工作。</w:t>
      </w:r>
    </w:p>
    <w:p w14:paraId="18CE2421">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(2)甲方有义务遵守本合同各项条款的约定，并按本合同约定的期限向乙方支付本合同项下的款项。</w:t>
      </w:r>
    </w:p>
    <w:p w14:paraId="2253F09F">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(3)甲方应准备适当的场地及设备及人员以确保乙方履行其在本合同所约定的各项服务。</w:t>
      </w:r>
    </w:p>
    <w:p w14:paraId="6579DFAC">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2、乙方权利与义务：</w:t>
      </w:r>
    </w:p>
    <w:p w14:paraId="58D25B77">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(1)乙方完成技术协议及本合同中要求的全部工作。</w:t>
      </w:r>
    </w:p>
    <w:p w14:paraId="066D938E">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(2)乙方必须保证项目进度和项目质量。</w:t>
      </w:r>
    </w:p>
    <w:p w14:paraId="02AC313E">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(3)乙方有权要求甲方人员现场积极协调、配合乙方工作。</w:t>
      </w:r>
    </w:p>
    <w:p w14:paraId="30F4B701">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(4)乙方有义务免费为甲方提供：从项目开始至交付使用中的现场专业操作讲解与培训。为甲方提供产品操作手册和运维规程，并对甲方的操作、维修及技术人员进行技能培训，保证在培训后能独立操作。</w:t>
      </w:r>
    </w:p>
    <w:p w14:paraId="6999F290">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(5)乙方有义务在甲方使用本合同标的物期间为甲方提供长期的技术服务支持。</w:t>
      </w:r>
    </w:p>
    <w:p w14:paraId="2119286F">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(6)乙方有权按时获得本合同所约定的款项。</w:t>
      </w:r>
    </w:p>
    <w:p w14:paraId="127C09CB">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(7)乙方保证所提供的产品和服务不存在任何权利、质量瑕疵，自行负责设备的运输、装卸、安装、调试等工作，并应做好安全防护措施，避免安全事故发生，由此产生的费用和责任由乙方承担。</w:t>
      </w:r>
    </w:p>
    <w:p w14:paraId="34DE3F25">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(8)乙方应为甲方提供最新版软件，当本合同项下套装软件版本升级时，质保期内升级免费。</w:t>
      </w:r>
    </w:p>
    <w:p w14:paraId="7DEC86DE">
      <w:pPr>
        <w:keepNext w:val="0"/>
        <w:keepLines w:val="0"/>
        <w:pageBreakBefore w:val="0"/>
        <w:widowControl w:val="0"/>
        <w:kinsoku/>
        <w:wordWrap/>
        <w:overflowPunct/>
        <w:topLinePunct w:val="0"/>
        <w:bidi w:val="0"/>
        <w:snapToGrid w:val="0"/>
        <w:spacing w:line="360" w:lineRule="auto"/>
        <w:ind w:left="0" w:right="0" w:firstLine="506" w:firstLineChars="200"/>
        <w:outlineLvl w:val="0"/>
        <w:rPr>
          <w:rFonts w:hint="eastAsia" w:ascii="宋体" w:hAnsi="宋体" w:eastAsia="宋体" w:cs="宋体"/>
          <w:b/>
          <w:snapToGrid w:val="0"/>
          <w:color w:val="auto"/>
          <w:spacing w:val="6"/>
          <w:sz w:val="24"/>
          <w:szCs w:val="24"/>
          <w:highlight w:val="none"/>
        </w:rPr>
      </w:pPr>
      <w:r>
        <w:rPr>
          <w:rFonts w:hint="eastAsia" w:ascii="宋体" w:hAnsi="宋体" w:eastAsia="宋体" w:cs="宋体"/>
          <w:b/>
          <w:snapToGrid w:val="0"/>
          <w:color w:val="auto"/>
          <w:spacing w:val="6"/>
          <w:sz w:val="24"/>
          <w:szCs w:val="24"/>
          <w:highlight w:val="none"/>
        </w:rPr>
        <w:t>十一、保证</w:t>
      </w:r>
    </w:p>
    <w:p w14:paraId="714E737A">
      <w:pPr>
        <w:keepNext w:val="0"/>
        <w:keepLines w:val="0"/>
        <w:pageBreakBefore w:val="0"/>
        <w:widowControl w:val="0"/>
        <w:kinsoku/>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本项目提供的软件和硬件产品要求三年原厂软硬件质保及实施服务，详见本项目招标文件约定。如质保期内出现质量问题，由乙方进行整改，整改措施经甲方需求部门确认，整改所产生的费用由乙方承担。</w:t>
      </w:r>
    </w:p>
    <w:p w14:paraId="2DD42258">
      <w:pPr>
        <w:keepNext w:val="0"/>
        <w:keepLines w:val="0"/>
        <w:pageBreakBefore w:val="0"/>
        <w:widowControl w:val="0"/>
        <w:kinsoku/>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乙方向甲方承诺按照合同约定进行项目实施并在质保期内承担产品质量、故障排除和服务支持责任。</w:t>
      </w:r>
    </w:p>
    <w:p w14:paraId="3315FD20">
      <w:pPr>
        <w:keepNext w:val="0"/>
        <w:keepLines w:val="0"/>
        <w:pageBreakBefore w:val="0"/>
        <w:widowControl w:val="0"/>
        <w:kinsoku/>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甲方操作人员应按照乙方提供的操作维护手册和培训要求，正确使用和维护产品，若因甲方操作人员违反操作规程而导致不良后果，责任由甲方承担，乙方负责解决，但产生的费用即仅指服务成本费由甲方承担。</w:t>
      </w:r>
    </w:p>
    <w:p w14:paraId="751FBCFB">
      <w:pPr>
        <w:keepNext w:val="0"/>
        <w:keepLines w:val="0"/>
        <w:pageBreakBefore w:val="0"/>
        <w:widowControl w:val="0"/>
        <w:kinsoku/>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乙方产品在安装、测试、试运行及上线等各环节中需要采用妥善安全的措施，确保甲方业务平稳及数据安全。乙方未采取安全防护措施的，应承担由此造成的责任和甲方的全部损失。</w:t>
      </w:r>
    </w:p>
    <w:p w14:paraId="54390B61">
      <w:pPr>
        <w:keepNext w:val="0"/>
        <w:keepLines w:val="0"/>
        <w:pageBreakBefore w:val="0"/>
        <w:widowControl w:val="0"/>
        <w:kinsoku/>
        <w:wordWrap/>
        <w:overflowPunct/>
        <w:topLinePunct w:val="0"/>
        <w:bidi w:val="0"/>
        <w:spacing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十二、知识产权及许可限制</w:t>
      </w:r>
    </w:p>
    <w:p w14:paraId="6A7BD724">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在产品基础上基于甲方业务定制开发(甲乙双方需技术协商共同认定)的程序、代码归及由此产生的知识产权归甲方所有，未经甲方书面同意，任何时候乙方不得自用或向第三方泄露。如果乙方违约，应处以合同总价款20%的违约金，给甲方造成损失的，还应予以赔偿。</w:t>
      </w:r>
    </w:p>
    <w:p w14:paraId="408C387F">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乙方因履行本合同所知悉的与甲方有关的任何信息，未经甲方书面同意，亦不得自用或向第三方泄露。如果乙方违约，应处以合同总价款20%的违约金，给甲方造成损失的，还应予以赔偿。</w:t>
      </w:r>
    </w:p>
    <w:p w14:paraId="7AAF4DA6">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知识产权：乙方必须保障甲方使用其服务及其任何部分不受到第三方关于侵犯知识产权的指控。任何第三方如果提出侵权指控，乙方须与第三方交涉并承担由此引起的一切法律责任和费用。</w:t>
      </w:r>
    </w:p>
    <w:p w14:paraId="2DD6D0DB">
      <w:pPr>
        <w:keepNext w:val="0"/>
        <w:keepLines w:val="0"/>
        <w:pageBreakBefore w:val="0"/>
        <w:widowControl w:val="0"/>
        <w:kinsoku/>
        <w:wordWrap/>
        <w:overflowPunct/>
        <w:topLinePunct w:val="0"/>
        <w:bidi w:val="0"/>
        <w:spacing w:line="360" w:lineRule="auto"/>
        <w:ind w:left="0" w:right="0" w:firstLine="506" w:firstLineChars="200"/>
        <w:rPr>
          <w:rFonts w:hint="eastAsia" w:ascii="宋体" w:hAnsi="宋体" w:eastAsia="宋体" w:cs="宋体"/>
          <w:color w:val="auto"/>
          <w:sz w:val="24"/>
          <w:szCs w:val="24"/>
          <w:highlight w:val="none"/>
        </w:rPr>
      </w:pPr>
      <w:r>
        <w:rPr>
          <w:rFonts w:hint="eastAsia" w:ascii="宋体" w:hAnsi="宋体" w:eastAsia="宋体" w:cs="宋体"/>
          <w:b/>
          <w:snapToGrid w:val="0"/>
          <w:color w:val="auto"/>
          <w:spacing w:val="6"/>
          <w:sz w:val="24"/>
          <w:szCs w:val="24"/>
          <w:highlight w:val="none"/>
        </w:rPr>
        <w:t>十三、技术培训及技术服务</w:t>
      </w:r>
    </w:p>
    <w:p w14:paraId="16F389E7">
      <w:pPr>
        <w:keepNext w:val="0"/>
        <w:keepLines w:val="0"/>
        <w:pageBreakBefore w:val="0"/>
        <w:widowControl w:val="0"/>
        <w:kinsoku/>
        <w:wordWrap/>
        <w:overflowPunct/>
        <w:topLinePunct w:val="0"/>
        <w:bidi w:val="0"/>
        <w:snapToGrid w:val="0"/>
        <w:spacing w:line="360" w:lineRule="auto"/>
        <w:ind w:left="0" w:right="0" w:firstLine="504" w:firstLineChars="200"/>
        <w:outlineLvl w:val="0"/>
        <w:rPr>
          <w:rFonts w:hint="eastAsia" w:ascii="宋体" w:hAnsi="宋体" w:eastAsia="宋体" w:cs="宋体"/>
          <w:snapToGrid w:val="0"/>
          <w:color w:val="auto"/>
          <w:spacing w:val="6"/>
          <w:sz w:val="24"/>
          <w:szCs w:val="24"/>
          <w:highlight w:val="none"/>
        </w:rPr>
      </w:pPr>
      <w:r>
        <w:rPr>
          <w:rFonts w:hint="eastAsia" w:ascii="宋体" w:hAnsi="宋体" w:eastAsia="宋体" w:cs="宋体"/>
          <w:snapToGrid w:val="0"/>
          <w:color w:val="auto"/>
          <w:spacing w:val="6"/>
          <w:sz w:val="24"/>
          <w:szCs w:val="24"/>
          <w:highlight w:val="none"/>
        </w:rPr>
        <w:t>1、现场技术服务</w:t>
      </w:r>
    </w:p>
    <w:p w14:paraId="6DC898DC">
      <w:pPr>
        <w:keepNext w:val="0"/>
        <w:keepLines w:val="0"/>
        <w:pageBreakBefore w:val="0"/>
        <w:widowControl w:val="0"/>
        <w:kinsoku/>
        <w:wordWrap/>
        <w:overflowPunct/>
        <w:topLinePunct w:val="0"/>
        <w:bidi w:val="0"/>
        <w:snapToGrid w:val="0"/>
        <w:spacing w:line="360" w:lineRule="auto"/>
        <w:ind w:left="0" w:right="0" w:firstLine="480" w:firstLineChars="200"/>
        <w:outlineLvl w:val="0"/>
        <w:rPr>
          <w:rFonts w:hint="eastAsia" w:ascii="宋体" w:hAnsi="宋体" w:eastAsia="宋体" w:cs="宋体"/>
          <w:b/>
          <w:snapToGrid w:val="0"/>
          <w:color w:val="auto"/>
          <w:spacing w:val="6"/>
          <w:sz w:val="24"/>
          <w:szCs w:val="24"/>
          <w:highlight w:val="none"/>
        </w:rPr>
      </w:pPr>
      <w:r>
        <w:rPr>
          <w:rFonts w:hint="eastAsia" w:ascii="宋体" w:hAnsi="宋体" w:eastAsia="宋体" w:cs="宋体"/>
          <w:color w:val="auto"/>
          <w:sz w:val="24"/>
          <w:szCs w:val="24"/>
          <w:highlight w:val="none"/>
        </w:rPr>
        <w:t xml:space="preserve">乙方应按照工程进度要求进行现场安装、技术指导、最终调试，为甲方提供设备安全操作规程和维修保养规程，并对甲方的操作、维修及技术人员进行技能培训，保证在培训后能独立操作。 </w:t>
      </w:r>
    </w:p>
    <w:p w14:paraId="4F2412FA">
      <w:pPr>
        <w:keepNext w:val="0"/>
        <w:keepLines w:val="0"/>
        <w:pageBreakBefore w:val="0"/>
        <w:widowControl w:val="0"/>
        <w:kinsoku/>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2、培训</w:t>
      </w:r>
    </w:p>
    <w:p w14:paraId="1500354D">
      <w:pPr>
        <w:keepNext w:val="0"/>
        <w:keepLines w:val="0"/>
        <w:pageBreakBefore w:val="0"/>
        <w:widowControl w:val="0"/>
        <w:kinsoku/>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了正确地操作、维护和管理设备，乙方应对甲方的技术人员进行必要的培训。甲方操作人员、维修人员和设备管理人员须经乙方培训合格后，方可上岗。乙方所提供的培训服务必须使需方的技术人员掌握如下内容：</w:t>
      </w:r>
    </w:p>
    <w:p w14:paraId="4B8D2654">
      <w:pPr>
        <w:keepNext w:val="0"/>
        <w:keepLines w:val="0"/>
        <w:pageBreakBefore w:val="0"/>
        <w:widowControl w:val="0"/>
        <w:kinsoku/>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培训内容：具体详见本项目招标文件。</w:t>
      </w:r>
    </w:p>
    <w:p w14:paraId="57B89A4D">
      <w:pPr>
        <w:keepNext w:val="0"/>
        <w:keepLines w:val="0"/>
        <w:pageBreakBefore w:val="0"/>
        <w:widowControl w:val="0"/>
        <w:kinsoku/>
        <w:wordWrap/>
        <w:overflowPunct/>
        <w:topLinePunct w:val="0"/>
        <w:bidi w:val="0"/>
        <w:spacing w:line="360" w:lineRule="auto"/>
        <w:ind w:left="0" w:right="0" w:firstLine="506" w:firstLineChars="200"/>
        <w:rPr>
          <w:rFonts w:hint="eastAsia" w:ascii="宋体" w:hAnsi="宋体" w:eastAsia="宋体" w:cs="宋体"/>
          <w:b/>
          <w:snapToGrid w:val="0"/>
          <w:color w:val="auto"/>
          <w:spacing w:val="6"/>
          <w:sz w:val="24"/>
          <w:szCs w:val="24"/>
          <w:highlight w:val="none"/>
        </w:rPr>
      </w:pPr>
      <w:r>
        <w:rPr>
          <w:rFonts w:hint="eastAsia" w:ascii="宋体" w:hAnsi="宋体" w:eastAsia="宋体" w:cs="宋体"/>
          <w:b/>
          <w:snapToGrid w:val="0"/>
          <w:color w:val="auto"/>
          <w:spacing w:val="6"/>
          <w:sz w:val="24"/>
          <w:szCs w:val="24"/>
          <w:highlight w:val="none"/>
        </w:rPr>
        <w:t>十四、违约、索赔和争议</w:t>
      </w:r>
    </w:p>
    <w:p w14:paraId="3947CCE5">
      <w:pPr>
        <w:keepNext w:val="0"/>
        <w:keepLines w:val="0"/>
        <w:pageBreakBefore w:val="0"/>
        <w:widowControl w:val="0"/>
        <w:kinsoku/>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1、违约</w:t>
      </w:r>
    </w:p>
    <w:p w14:paraId="346279D9">
      <w:pPr>
        <w:keepNext w:val="0"/>
        <w:keepLines w:val="0"/>
        <w:pageBreakBefore w:val="0"/>
        <w:widowControl w:val="0"/>
        <w:kinsoku/>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p>
    <w:p w14:paraId="6FAAB37D">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如因乙方原因造成实际工作进度落后于本合同规定的进度计划时，乙方应在第一时间书面告知甲方原因及整改措施，同时立即做出调整和整改，确保项目按期保质完成。</w:t>
      </w:r>
    </w:p>
    <w:p w14:paraId="3E5D815A">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因乙方原因，造成未能按合同约定的时间完成本次项目内容或未向甲方提供技术服务，经双方沟通无反馈的，乙方应承担违约责任。每拖期一周(不足一周，应按一周计算)，应处以合同总价款5%的违约金，逾期两周的，甲方有权解除合同，如甲方解除合同，乙方应退还甲方已付费用并向甲方支付合同总价20%违约金，给甲方造成损失的，还应予以赔偿。</w:t>
      </w:r>
    </w:p>
    <w:p w14:paraId="4070A93C">
      <w:pPr>
        <w:keepNext w:val="0"/>
        <w:keepLines w:val="0"/>
        <w:pageBreakBefore w:val="0"/>
        <w:widowControl w:val="0"/>
        <w:kinsoku/>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w:t>
      </w:r>
    </w:p>
    <w:p w14:paraId="37ABA61C">
      <w:pPr>
        <w:keepNext w:val="0"/>
        <w:keepLines w:val="0"/>
        <w:pageBreakBefore w:val="0"/>
        <w:widowControl w:val="0"/>
        <w:kinsoku/>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如因甲方原因造成实际工作进度落后于本合同规定的进度计划时，乙方有权书面通知甲方立即排除阻碍因素，加快进度。甲方在收到乙方书面通知书后应立即作出调整和整改，确保工作按进度计划执行。</w:t>
      </w:r>
    </w:p>
    <w:p w14:paraId="74EB4657">
      <w:pPr>
        <w:keepNext w:val="0"/>
        <w:keepLines w:val="0"/>
        <w:pageBreakBefore w:val="0"/>
        <w:widowControl w:val="0"/>
        <w:kinsoku/>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2、索赔</w:t>
      </w:r>
      <w:r>
        <w:rPr>
          <w:rFonts w:hint="eastAsia" w:ascii="宋体" w:hAnsi="宋体" w:eastAsia="宋体" w:cs="宋体"/>
          <w:color w:val="auto"/>
          <w:sz w:val="24"/>
          <w:szCs w:val="24"/>
          <w:highlight w:val="none"/>
        </w:rPr>
        <w:tab/>
      </w:r>
    </w:p>
    <w:p w14:paraId="2DC7B064">
      <w:pPr>
        <w:keepNext w:val="0"/>
        <w:keepLines w:val="0"/>
        <w:pageBreakBefore w:val="0"/>
        <w:widowControl w:val="0"/>
        <w:kinsoku/>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甲方如发现乙方提供的项目内容或服务与本合同规定不符合，甲方可提出索赔，乙方将按下列方式理赔：</w:t>
      </w:r>
    </w:p>
    <w:p w14:paraId="22B39C97">
      <w:pPr>
        <w:keepNext w:val="0"/>
        <w:keepLines w:val="0"/>
        <w:pageBreakBefore w:val="0"/>
        <w:widowControl w:val="0"/>
        <w:kinsoku/>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立即对与合同不符的项目内容或服务进行修复；同时，乙方须承担由此产生的全部费用和甲方遭受的直接损失，由于修复造成乙方逾期交付的，乙方偿付逾期违约金。如因乙方原因，不能及时修复造成甲方生产遭受重大损失的，甲方将对乙方进行可得利益追偿。</w:t>
      </w:r>
    </w:p>
    <w:p w14:paraId="5D1BC4AA">
      <w:pPr>
        <w:keepNext w:val="0"/>
        <w:keepLines w:val="0"/>
        <w:pageBreakBefore w:val="0"/>
        <w:widowControl w:val="0"/>
        <w:kinsoku/>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(2)如乙方对索赔提出异议，甲方有权申请权威检验部门检验，并根据检验报告向乙方索赔。乙方收到检验报告后，若在</w:t>
      </w:r>
      <w:r>
        <w:rPr>
          <w:rFonts w:hint="eastAsia" w:ascii="宋体" w:hAnsi="宋体" w:eastAsia="宋体" w:cs="宋体"/>
          <w:color w:val="auto"/>
          <w:sz w:val="24"/>
          <w:szCs w:val="24"/>
          <w:highlight w:val="none"/>
          <w:u w:val="single"/>
        </w:rPr>
        <w:t xml:space="preserve"> 7 </w:t>
      </w:r>
      <w:r>
        <w:rPr>
          <w:rFonts w:hint="eastAsia" w:ascii="宋体" w:hAnsi="宋体" w:eastAsia="宋体" w:cs="宋体"/>
          <w:color w:val="auto"/>
          <w:sz w:val="24"/>
          <w:szCs w:val="24"/>
          <w:highlight w:val="none"/>
        </w:rPr>
        <w:t>天内不答复，视为同意甲方提出的一切索赔。检验所需费用按实际花费计入索赔项目。</w:t>
      </w:r>
    </w:p>
    <w:p w14:paraId="4AA69CDE">
      <w:pPr>
        <w:keepNext w:val="0"/>
        <w:keepLines w:val="0"/>
        <w:pageBreakBefore w:val="0"/>
        <w:widowControl w:val="0"/>
        <w:kinsoku/>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3、争议</w:t>
      </w:r>
    </w:p>
    <w:p w14:paraId="1945C2D2">
      <w:pPr>
        <w:keepNext w:val="0"/>
        <w:keepLines w:val="0"/>
        <w:pageBreakBefore w:val="0"/>
        <w:widowControl w:val="0"/>
        <w:kinsoku/>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在执行合同过程中所发生的争议，合同双方本着友好协商的原则加以解决。如协商无法解决，</w:t>
      </w:r>
      <w:r>
        <w:rPr>
          <w:rFonts w:hint="eastAsia" w:ascii="宋体" w:hAnsi="宋体" w:eastAsia="宋体" w:cs="宋体"/>
          <w:color w:val="auto"/>
          <w:sz w:val="24"/>
          <w:szCs w:val="24"/>
          <w:highlight w:val="none"/>
          <w:lang w:val="en-US" w:eastAsia="zh-CN"/>
        </w:rPr>
        <w:t>双方均有权向甲方所在地人民法院提起诉讼</w:t>
      </w:r>
      <w:r>
        <w:rPr>
          <w:rFonts w:hint="eastAsia" w:ascii="宋体" w:hAnsi="宋体" w:eastAsia="宋体" w:cs="宋体"/>
          <w:color w:val="auto"/>
          <w:sz w:val="24"/>
          <w:szCs w:val="24"/>
          <w:highlight w:val="none"/>
        </w:rPr>
        <w:t>。</w:t>
      </w:r>
    </w:p>
    <w:p w14:paraId="65A69FE9">
      <w:pPr>
        <w:keepNext w:val="0"/>
        <w:keepLines w:val="0"/>
        <w:pageBreakBefore w:val="0"/>
        <w:widowControl w:val="0"/>
        <w:kinsoku/>
        <w:wordWrap/>
        <w:overflowPunct/>
        <w:topLinePunct w:val="0"/>
        <w:bidi w:val="0"/>
        <w:snapToGrid w:val="0"/>
        <w:spacing w:line="360" w:lineRule="auto"/>
        <w:ind w:left="0" w:right="0" w:firstLine="506" w:firstLineChars="200"/>
        <w:outlineLvl w:val="0"/>
        <w:rPr>
          <w:rFonts w:hint="eastAsia" w:ascii="宋体" w:hAnsi="宋体" w:eastAsia="宋体" w:cs="宋体"/>
          <w:b/>
          <w:snapToGrid w:val="0"/>
          <w:color w:val="auto"/>
          <w:spacing w:val="6"/>
          <w:sz w:val="24"/>
          <w:szCs w:val="24"/>
          <w:highlight w:val="none"/>
        </w:rPr>
      </w:pPr>
      <w:r>
        <w:rPr>
          <w:rFonts w:hint="eastAsia" w:ascii="宋体" w:hAnsi="宋体" w:eastAsia="宋体" w:cs="宋体"/>
          <w:b/>
          <w:snapToGrid w:val="0"/>
          <w:color w:val="auto"/>
          <w:spacing w:val="6"/>
          <w:sz w:val="24"/>
          <w:szCs w:val="24"/>
          <w:highlight w:val="none"/>
        </w:rPr>
        <w:t xml:space="preserve"> 十五、不可抗力</w:t>
      </w:r>
    </w:p>
    <w:p w14:paraId="4621C1DF">
      <w:pPr>
        <w:keepNext w:val="0"/>
        <w:keepLines w:val="0"/>
        <w:pageBreakBefore w:val="0"/>
        <w:widowControl w:val="0"/>
        <w:kinsoku/>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可抗力是指合同双方都不能预见、不能避免并不能克服而导致合同双方无法执行合同的事件。以下事件被视为不可抗力：台风、地震、洪水等自然灾害和战争、国家或地方政策调整、突发公共卫生事件、社会公共安全事件等其它不能预见、不能避免、不能克服的客观情况。</w:t>
      </w:r>
    </w:p>
    <w:p w14:paraId="1101FF8D">
      <w:pPr>
        <w:keepNext w:val="0"/>
        <w:keepLines w:val="0"/>
        <w:pageBreakBefore w:val="0"/>
        <w:widowControl w:val="0"/>
        <w:kinsoku/>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2、发生不可抗力的一方必须在不可抗力发生后</w:t>
      </w:r>
      <w:r>
        <w:rPr>
          <w:rFonts w:hint="eastAsia" w:ascii="宋体" w:hAnsi="宋体" w:eastAsia="宋体" w:cs="宋体"/>
          <w:color w:val="auto"/>
          <w:sz w:val="24"/>
          <w:szCs w:val="24"/>
          <w:highlight w:val="none"/>
          <w:u w:val="single"/>
        </w:rPr>
        <w:t xml:space="preserve"> 7 </w:t>
      </w:r>
      <w:r>
        <w:rPr>
          <w:rFonts w:hint="eastAsia" w:ascii="宋体" w:hAnsi="宋体" w:eastAsia="宋体" w:cs="宋体"/>
          <w:color w:val="auto"/>
          <w:sz w:val="24"/>
          <w:szCs w:val="24"/>
          <w:highlight w:val="none"/>
        </w:rPr>
        <w:t xml:space="preserve"> 天内立即通知对方，并提供必要的官方文件以证明确实发生了不可抗力。</w:t>
      </w:r>
    </w:p>
    <w:p w14:paraId="7757D0B4">
      <w:pPr>
        <w:keepNext w:val="0"/>
        <w:keepLines w:val="0"/>
        <w:pageBreakBefore w:val="0"/>
        <w:widowControl w:val="0"/>
        <w:kinsoku/>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3、不可抗力发生时，发生不可抗力的一方有义务做出努力，将不可抗力带来的损失减少到最低限度，由于一方原因致使不可抗力造成的损失进一步扩大的，由责任方承担扩大的损失。</w:t>
      </w:r>
    </w:p>
    <w:p w14:paraId="55B94703">
      <w:pPr>
        <w:keepNext w:val="0"/>
        <w:keepLines w:val="0"/>
        <w:pageBreakBefore w:val="0"/>
        <w:widowControl w:val="0"/>
        <w:kinsoku/>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4、不可抗力被认可后，合同中规定双方义务的期限因不可抗力导致延期应视作自动顺延。</w:t>
      </w:r>
    </w:p>
    <w:p w14:paraId="74259257">
      <w:pPr>
        <w:keepNext w:val="0"/>
        <w:keepLines w:val="0"/>
        <w:pageBreakBefore w:val="0"/>
        <w:widowControl w:val="0"/>
        <w:kinsoku/>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5、因不可抗力造成的损失由双方协商解决。</w:t>
      </w:r>
    </w:p>
    <w:p w14:paraId="7C7BDFDC">
      <w:pPr>
        <w:keepNext w:val="0"/>
        <w:keepLines w:val="0"/>
        <w:pageBreakBefore w:val="0"/>
        <w:widowControl w:val="0"/>
        <w:kinsoku/>
        <w:wordWrap/>
        <w:overflowPunct/>
        <w:topLinePunct w:val="0"/>
        <w:bidi w:val="0"/>
        <w:snapToGrid w:val="0"/>
        <w:spacing w:line="360" w:lineRule="auto"/>
        <w:ind w:left="0" w:right="0" w:firstLine="506" w:firstLineChars="200"/>
        <w:outlineLvl w:val="0"/>
        <w:rPr>
          <w:rFonts w:hint="eastAsia" w:ascii="宋体" w:hAnsi="宋体" w:eastAsia="宋体" w:cs="宋体"/>
          <w:b/>
          <w:snapToGrid w:val="0"/>
          <w:color w:val="auto"/>
          <w:spacing w:val="6"/>
          <w:sz w:val="24"/>
          <w:szCs w:val="24"/>
          <w:highlight w:val="none"/>
        </w:rPr>
      </w:pPr>
      <w:r>
        <w:rPr>
          <w:rFonts w:hint="eastAsia" w:ascii="宋体" w:hAnsi="宋体" w:eastAsia="宋体" w:cs="宋体"/>
          <w:b/>
          <w:snapToGrid w:val="0"/>
          <w:color w:val="auto"/>
          <w:spacing w:val="6"/>
          <w:sz w:val="24"/>
          <w:szCs w:val="24"/>
          <w:highlight w:val="none"/>
        </w:rPr>
        <w:t>十六、修改</w:t>
      </w:r>
    </w:p>
    <w:p w14:paraId="36396AD3">
      <w:pPr>
        <w:keepNext w:val="0"/>
        <w:keepLines w:val="0"/>
        <w:pageBreakBefore w:val="0"/>
        <w:widowControl w:val="0"/>
        <w:kinsoku/>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只有在合同双方的授权代表书面签字盖章同意后，才能对本合同的条款进行修改、补充和更改</w:t>
      </w:r>
      <w:r>
        <w:rPr>
          <w:rFonts w:hint="eastAsia" w:ascii="宋体" w:hAnsi="宋体" w:eastAsia="宋体" w:cs="宋体"/>
          <w:color w:val="auto"/>
          <w:sz w:val="24"/>
          <w:szCs w:val="24"/>
          <w:highlight w:val="none"/>
          <w:lang w:eastAsia="zh-CN"/>
        </w:rPr>
        <w:t>，但不得对合同实质性条款进行修改</w:t>
      </w:r>
      <w:r>
        <w:rPr>
          <w:rFonts w:hint="eastAsia" w:ascii="宋体" w:hAnsi="宋体" w:eastAsia="宋体" w:cs="宋体"/>
          <w:color w:val="auto"/>
          <w:sz w:val="24"/>
          <w:szCs w:val="24"/>
          <w:highlight w:val="none"/>
        </w:rPr>
        <w:t>。这些修改、补充和更改的文件和本合同具有同等效力。</w:t>
      </w:r>
    </w:p>
    <w:p w14:paraId="7AF83092">
      <w:pPr>
        <w:keepNext w:val="0"/>
        <w:keepLines w:val="0"/>
        <w:pageBreakBefore w:val="0"/>
        <w:widowControl w:val="0"/>
        <w:kinsoku/>
        <w:wordWrap/>
        <w:overflowPunct/>
        <w:topLinePunct w:val="0"/>
        <w:bidi w:val="0"/>
        <w:snapToGrid w:val="0"/>
        <w:spacing w:line="360" w:lineRule="auto"/>
        <w:ind w:left="0" w:right="0" w:firstLine="506" w:firstLineChars="200"/>
        <w:outlineLvl w:val="0"/>
        <w:rPr>
          <w:rFonts w:hint="eastAsia" w:ascii="宋体" w:hAnsi="宋体" w:eastAsia="宋体" w:cs="宋体"/>
          <w:b/>
          <w:snapToGrid w:val="0"/>
          <w:color w:val="auto"/>
          <w:spacing w:val="6"/>
          <w:sz w:val="24"/>
          <w:szCs w:val="24"/>
          <w:highlight w:val="none"/>
        </w:rPr>
      </w:pPr>
      <w:r>
        <w:rPr>
          <w:rFonts w:hint="eastAsia" w:ascii="宋体" w:hAnsi="宋体" w:eastAsia="宋体" w:cs="宋体"/>
          <w:b/>
          <w:snapToGrid w:val="0"/>
          <w:color w:val="auto"/>
          <w:spacing w:val="6"/>
          <w:sz w:val="24"/>
          <w:szCs w:val="24"/>
          <w:highlight w:val="none"/>
        </w:rPr>
        <w:t>十七、权利和义务的转让</w:t>
      </w:r>
    </w:p>
    <w:p w14:paraId="15974813">
      <w:pPr>
        <w:keepNext w:val="0"/>
        <w:keepLines w:val="0"/>
        <w:pageBreakBefore w:val="0"/>
        <w:widowControl w:val="0"/>
        <w:kinsoku/>
        <w:wordWrap/>
        <w:overflowPunct/>
        <w:topLinePunct w:val="0"/>
        <w:bidi w:val="0"/>
        <w:spacing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乙方不得部分转让或全部转让其应履行的合同义务，否则应承担由此对甲方造成的损失。</w:t>
      </w:r>
    </w:p>
    <w:p w14:paraId="522339B4">
      <w:pPr>
        <w:keepNext w:val="0"/>
        <w:keepLines w:val="0"/>
        <w:pageBreakBefore w:val="0"/>
        <w:widowControl w:val="0"/>
        <w:tabs>
          <w:tab w:val="left" w:pos="3502"/>
        </w:tabs>
        <w:kinsoku/>
        <w:wordWrap/>
        <w:overflowPunct/>
        <w:topLinePunct w:val="0"/>
        <w:bidi w:val="0"/>
        <w:snapToGrid w:val="0"/>
        <w:spacing w:line="360" w:lineRule="auto"/>
        <w:ind w:left="0" w:right="0" w:firstLine="506" w:firstLineChars="200"/>
        <w:outlineLvl w:val="0"/>
        <w:rPr>
          <w:rFonts w:hint="eastAsia" w:ascii="宋体" w:hAnsi="宋体" w:eastAsia="宋体" w:cs="宋体"/>
          <w:b/>
          <w:snapToGrid w:val="0"/>
          <w:color w:val="auto"/>
          <w:spacing w:val="6"/>
          <w:sz w:val="24"/>
          <w:szCs w:val="24"/>
          <w:highlight w:val="none"/>
        </w:rPr>
      </w:pPr>
      <w:r>
        <w:rPr>
          <w:rFonts w:hint="eastAsia" w:ascii="宋体" w:hAnsi="宋体" w:eastAsia="宋体" w:cs="宋体"/>
          <w:b/>
          <w:snapToGrid w:val="0"/>
          <w:color w:val="auto"/>
          <w:spacing w:val="6"/>
          <w:sz w:val="24"/>
          <w:szCs w:val="24"/>
          <w:highlight w:val="none"/>
        </w:rPr>
        <w:t>十八、解除合同的措施</w:t>
      </w:r>
    </w:p>
    <w:p w14:paraId="7BCA8F42">
      <w:pPr>
        <w:keepNext w:val="0"/>
        <w:keepLines w:val="0"/>
        <w:pageBreakBefore w:val="0"/>
        <w:widowControl w:val="0"/>
        <w:kinsoku/>
        <w:wordWrap/>
        <w:overflowPunct/>
        <w:topLinePunct w:val="0"/>
        <w:autoSpaceDE w:val="0"/>
        <w:autoSpaceDN w:val="0"/>
        <w:bidi w:val="0"/>
        <w:adjustRightInd w:val="0"/>
        <w:spacing w:line="360" w:lineRule="auto"/>
        <w:ind w:left="0" w:righ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1、乙方存在违约、违反保密义务等行为的，甲方有权解除合同，乙方应退还全部已付货款，并支付合同总价款20%的违约金，违约金不足以弥补给甲方造成的损失的，乙方应补足。</w:t>
      </w:r>
    </w:p>
    <w:p w14:paraId="1E7CE688">
      <w:pPr>
        <w:keepNext w:val="0"/>
        <w:keepLines w:val="0"/>
        <w:pageBreakBefore w:val="0"/>
        <w:widowControl w:val="0"/>
        <w:kinsoku/>
        <w:wordWrap/>
        <w:overflowPunct/>
        <w:topLinePunct w:val="0"/>
        <w:autoSpaceDE w:val="0"/>
        <w:autoSpaceDN w:val="0"/>
        <w:bidi w:val="0"/>
        <w:adjustRightInd w:val="0"/>
        <w:spacing w:line="360" w:lineRule="auto"/>
        <w:ind w:left="0" w:righ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2、解除合同时，乙方应在一周内退还属于甲方的资料、物品，作好善后处理，并为甲方保密。否则，甲方有权对因此造成的损失追究责任。</w:t>
      </w:r>
    </w:p>
    <w:p w14:paraId="51893B2C">
      <w:pPr>
        <w:keepNext w:val="0"/>
        <w:keepLines w:val="0"/>
        <w:pageBreakBefore w:val="0"/>
        <w:widowControl w:val="0"/>
        <w:kinsoku/>
        <w:wordWrap/>
        <w:overflowPunct/>
        <w:topLinePunct w:val="0"/>
        <w:autoSpaceDE w:val="0"/>
        <w:autoSpaceDN w:val="0"/>
        <w:bidi w:val="0"/>
        <w:adjustRightInd w:val="0"/>
        <w:spacing w:line="360" w:lineRule="auto"/>
        <w:ind w:left="0" w:righ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3、由于甲方过错解除本合同时，甲方补偿由此给乙方带来的直接经济损失。</w:t>
      </w:r>
    </w:p>
    <w:p w14:paraId="5AF2BBF5">
      <w:pPr>
        <w:keepNext w:val="0"/>
        <w:keepLines w:val="0"/>
        <w:pageBreakBefore w:val="0"/>
        <w:widowControl w:val="0"/>
        <w:kinsoku/>
        <w:wordWrap/>
        <w:overflowPunct/>
        <w:topLinePunct w:val="0"/>
        <w:autoSpaceDE w:val="0"/>
        <w:autoSpaceDN w:val="0"/>
        <w:bidi w:val="0"/>
        <w:adjustRightInd w:val="0"/>
        <w:spacing w:line="360" w:lineRule="auto"/>
        <w:ind w:left="0" w:righ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4、解除合同时，甲方应在一周内退还所有乙方提供的技术资料及相关产品，作好善后处理，</w:t>
      </w:r>
    </w:p>
    <w:p w14:paraId="7FF49B1B">
      <w:pPr>
        <w:keepNext w:val="0"/>
        <w:keepLines w:val="0"/>
        <w:pageBreakBefore w:val="0"/>
        <w:widowControl w:val="0"/>
        <w:kinsoku/>
        <w:wordWrap/>
        <w:overflowPunct/>
        <w:topLinePunct w:val="0"/>
        <w:autoSpaceDE w:val="0"/>
        <w:autoSpaceDN w:val="0"/>
        <w:bidi w:val="0"/>
        <w:adjustRightInd w:val="0"/>
        <w:spacing w:line="360" w:lineRule="auto"/>
        <w:ind w:left="0" w:righ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并为乙方保密。否则，乙方有权对因此造成的损失追究责任。</w:t>
      </w:r>
    </w:p>
    <w:p w14:paraId="3FFF46F5">
      <w:pPr>
        <w:keepNext w:val="0"/>
        <w:keepLines w:val="0"/>
        <w:pageBreakBefore w:val="0"/>
        <w:widowControl w:val="0"/>
        <w:kinsoku/>
        <w:wordWrap/>
        <w:overflowPunct/>
        <w:topLinePunct w:val="0"/>
        <w:bidi w:val="0"/>
        <w:snapToGrid w:val="0"/>
        <w:spacing w:line="360" w:lineRule="auto"/>
        <w:ind w:left="0" w:right="0" w:firstLine="506" w:firstLineChars="200"/>
        <w:outlineLvl w:val="0"/>
        <w:rPr>
          <w:rFonts w:hint="eastAsia" w:ascii="宋体" w:hAnsi="宋体" w:eastAsia="宋体" w:cs="宋体"/>
          <w:b/>
          <w:snapToGrid w:val="0"/>
          <w:color w:val="auto"/>
          <w:spacing w:val="6"/>
          <w:sz w:val="24"/>
          <w:szCs w:val="24"/>
          <w:highlight w:val="none"/>
        </w:rPr>
      </w:pPr>
      <w:r>
        <w:rPr>
          <w:rFonts w:hint="eastAsia" w:ascii="宋体" w:hAnsi="宋体" w:eastAsia="宋体" w:cs="宋体"/>
          <w:b/>
          <w:snapToGrid w:val="0"/>
          <w:color w:val="auto"/>
          <w:spacing w:val="6"/>
          <w:sz w:val="24"/>
          <w:szCs w:val="24"/>
          <w:highlight w:val="none"/>
        </w:rPr>
        <w:t>十九、合同终止</w:t>
      </w:r>
    </w:p>
    <w:p w14:paraId="1F71195A">
      <w:pPr>
        <w:keepNext w:val="0"/>
        <w:keepLines w:val="0"/>
        <w:pageBreakBefore w:val="0"/>
        <w:widowControl w:val="0"/>
        <w:kinsoku/>
        <w:wordWrap/>
        <w:overflowPunct/>
        <w:topLinePunct w:val="0"/>
        <w:autoSpaceDE w:val="0"/>
        <w:autoSpaceDN w:val="0"/>
        <w:bidi w:val="0"/>
        <w:adjustRightInd w:val="0"/>
        <w:spacing w:line="360" w:lineRule="auto"/>
        <w:ind w:left="0" w:righ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本合同所实施的项目内容交付甲方使用直至双方权利与义务履行结束，本合同自动终止。</w:t>
      </w:r>
    </w:p>
    <w:p w14:paraId="33F93995">
      <w:pPr>
        <w:keepNext w:val="0"/>
        <w:keepLines w:val="0"/>
        <w:pageBreakBefore w:val="0"/>
        <w:widowControl w:val="0"/>
        <w:kinsoku/>
        <w:wordWrap/>
        <w:overflowPunct/>
        <w:topLinePunct w:val="0"/>
        <w:bidi w:val="0"/>
        <w:snapToGrid w:val="0"/>
        <w:spacing w:line="360" w:lineRule="auto"/>
        <w:ind w:left="0" w:right="0" w:firstLine="506" w:firstLineChars="200"/>
        <w:outlineLvl w:val="0"/>
        <w:rPr>
          <w:rFonts w:hint="eastAsia" w:ascii="宋体" w:hAnsi="宋体" w:eastAsia="宋体" w:cs="宋体"/>
          <w:b/>
          <w:snapToGrid w:val="0"/>
          <w:color w:val="auto"/>
          <w:spacing w:val="6"/>
          <w:sz w:val="24"/>
          <w:szCs w:val="24"/>
          <w:highlight w:val="none"/>
        </w:rPr>
      </w:pPr>
      <w:r>
        <w:rPr>
          <w:rFonts w:hint="eastAsia" w:ascii="宋体" w:hAnsi="宋体" w:eastAsia="宋体" w:cs="宋体"/>
          <w:b/>
          <w:snapToGrid w:val="0"/>
          <w:color w:val="auto"/>
          <w:spacing w:val="6"/>
          <w:sz w:val="24"/>
          <w:szCs w:val="24"/>
          <w:highlight w:val="none"/>
        </w:rPr>
        <w:t>二十、保密</w:t>
      </w:r>
    </w:p>
    <w:p w14:paraId="2D19729E">
      <w:pPr>
        <w:keepNext w:val="0"/>
        <w:keepLines w:val="0"/>
        <w:pageBreakBefore w:val="0"/>
        <w:widowControl w:val="0"/>
        <w:kinsoku/>
        <w:wordWrap/>
        <w:overflowPunct/>
        <w:topLinePunct w:val="0"/>
        <w:autoSpaceDE w:val="0"/>
        <w:autoSpaceDN w:val="0"/>
        <w:bidi w:val="0"/>
        <w:adjustRightInd w:val="0"/>
        <w:spacing w:line="360" w:lineRule="auto"/>
        <w:ind w:left="0" w:righ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双方约定，在本合同履行过程中一方均应对对方提供的一切信息、文件、资料保密，在任何情况下，均不得向任何第三方泄露。保密条款的约定不受合同期限的限制。</w:t>
      </w:r>
    </w:p>
    <w:p w14:paraId="4527D061">
      <w:pPr>
        <w:keepNext w:val="0"/>
        <w:keepLines w:val="0"/>
        <w:pageBreakBefore w:val="0"/>
        <w:widowControl w:val="0"/>
        <w:kinsoku/>
        <w:wordWrap/>
        <w:overflowPunct/>
        <w:topLinePunct w:val="0"/>
        <w:bidi w:val="0"/>
        <w:snapToGrid w:val="0"/>
        <w:spacing w:line="360" w:lineRule="auto"/>
        <w:ind w:left="0" w:right="0" w:firstLine="506" w:firstLineChars="200"/>
        <w:outlineLvl w:val="0"/>
        <w:rPr>
          <w:rFonts w:hint="eastAsia" w:ascii="宋体" w:hAnsi="宋体" w:eastAsia="宋体" w:cs="宋体"/>
          <w:b/>
          <w:snapToGrid w:val="0"/>
          <w:color w:val="auto"/>
          <w:spacing w:val="6"/>
          <w:sz w:val="24"/>
          <w:szCs w:val="24"/>
          <w:highlight w:val="none"/>
        </w:rPr>
      </w:pPr>
      <w:r>
        <w:rPr>
          <w:rFonts w:hint="eastAsia" w:ascii="宋体" w:hAnsi="宋体" w:eastAsia="宋体" w:cs="宋体"/>
          <w:b/>
          <w:snapToGrid w:val="0"/>
          <w:color w:val="auto"/>
          <w:spacing w:val="6"/>
          <w:sz w:val="24"/>
          <w:szCs w:val="24"/>
          <w:highlight w:val="none"/>
        </w:rPr>
        <w:t>二十一、合同附件</w:t>
      </w:r>
    </w:p>
    <w:p w14:paraId="6B5114CC">
      <w:pPr>
        <w:keepNext w:val="0"/>
        <w:keepLines w:val="0"/>
        <w:pageBreakBefore w:val="0"/>
        <w:widowControl w:val="0"/>
        <w:kinsoku/>
        <w:wordWrap/>
        <w:overflowPunct/>
        <w:topLinePunct w:val="0"/>
        <w:autoSpaceDE w:val="0"/>
        <w:autoSpaceDN w:val="0"/>
        <w:bidi w:val="0"/>
        <w:adjustRightInd w:val="0"/>
        <w:spacing w:line="360" w:lineRule="auto"/>
        <w:ind w:left="0" w:righ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本合同附件与合同具有同等法律效力并与合同同时生效，同时废止。乙方的投标文件及澄清函等招投标文件构成本合同的组成内容。</w:t>
      </w:r>
    </w:p>
    <w:p w14:paraId="1BE3F156">
      <w:pPr>
        <w:keepNext w:val="0"/>
        <w:keepLines w:val="0"/>
        <w:pageBreakBefore w:val="0"/>
        <w:widowControl w:val="0"/>
        <w:kinsoku/>
        <w:wordWrap/>
        <w:overflowPunct/>
        <w:topLinePunct w:val="0"/>
        <w:autoSpaceDE w:val="0"/>
        <w:autoSpaceDN w:val="0"/>
        <w:bidi w:val="0"/>
        <w:adjustRightInd w:val="0"/>
        <w:spacing w:line="360" w:lineRule="auto"/>
        <w:ind w:left="0" w:righ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snapToGrid w:val="0"/>
          <w:color w:val="auto"/>
          <w:spacing w:val="6"/>
          <w:sz w:val="24"/>
          <w:szCs w:val="24"/>
          <w:highlight w:val="none"/>
        </w:rPr>
        <w:t>技术协议</w:t>
      </w:r>
      <w:r>
        <w:rPr>
          <w:rFonts w:hint="eastAsia" w:ascii="宋体" w:hAnsi="宋体" w:eastAsia="宋体" w:cs="宋体"/>
          <w:color w:val="auto"/>
          <w:sz w:val="24"/>
          <w:szCs w:val="24"/>
          <w:highlight w:val="none"/>
        </w:rPr>
        <w:t>》</w:t>
      </w:r>
    </w:p>
    <w:p w14:paraId="29F1E9EE">
      <w:pPr>
        <w:keepNext w:val="0"/>
        <w:keepLines w:val="0"/>
        <w:pageBreakBefore w:val="0"/>
        <w:widowControl w:val="0"/>
        <w:kinsoku/>
        <w:wordWrap/>
        <w:overflowPunct/>
        <w:topLinePunct w:val="0"/>
        <w:bidi w:val="0"/>
        <w:snapToGrid w:val="0"/>
        <w:spacing w:line="360" w:lineRule="auto"/>
        <w:ind w:left="0" w:right="0" w:firstLine="506" w:firstLineChars="200"/>
        <w:outlineLvl w:val="0"/>
        <w:rPr>
          <w:rFonts w:hint="eastAsia" w:ascii="宋体" w:hAnsi="宋体" w:eastAsia="宋体" w:cs="宋体"/>
          <w:b/>
          <w:snapToGrid w:val="0"/>
          <w:color w:val="auto"/>
          <w:spacing w:val="6"/>
          <w:sz w:val="24"/>
          <w:szCs w:val="24"/>
          <w:highlight w:val="none"/>
        </w:rPr>
      </w:pPr>
      <w:r>
        <w:rPr>
          <w:rFonts w:hint="eastAsia" w:ascii="宋体" w:hAnsi="宋体" w:eastAsia="宋体" w:cs="宋体"/>
          <w:b/>
          <w:snapToGrid w:val="0"/>
          <w:color w:val="auto"/>
          <w:spacing w:val="6"/>
          <w:sz w:val="24"/>
          <w:szCs w:val="24"/>
          <w:highlight w:val="none"/>
        </w:rPr>
        <w:t>二十二、合同生效</w:t>
      </w:r>
    </w:p>
    <w:p w14:paraId="3E1E87BE">
      <w:pPr>
        <w:keepNext w:val="0"/>
        <w:keepLines w:val="0"/>
        <w:pageBreakBefore w:val="0"/>
        <w:widowControl w:val="0"/>
        <w:kinsoku/>
        <w:wordWrap/>
        <w:overflowPunct/>
        <w:topLinePunct w:val="0"/>
        <w:autoSpaceDE w:val="0"/>
        <w:autoSpaceDN w:val="0"/>
        <w:bidi w:val="0"/>
        <w:adjustRightInd w:val="0"/>
        <w:spacing w:line="360" w:lineRule="auto"/>
        <w:ind w:left="0" w:righ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合同生效时间：</w:t>
      </w:r>
      <w:r>
        <w:rPr>
          <w:rFonts w:hint="eastAsia" w:ascii="宋体" w:hAnsi="宋体" w:eastAsia="宋体" w:cs="宋体"/>
          <w:color w:val="auto"/>
          <w:sz w:val="24"/>
          <w:szCs w:val="24"/>
          <w:highlight w:val="none"/>
          <w:lang w:val="en-US" w:eastAsia="zh-CN"/>
        </w:rPr>
        <w:t>合同自双方法定代表人或授权代表签字并加盖单位公章之日起生效</w:t>
      </w:r>
      <w:r>
        <w:rPr>
          <w:rFonts w:hint="eastAsia" w:ascii="宋体" w:hAnsi="宋体" w:eastAsia="宋体" w:cs="宋体"/>
          <w:color w:val="auto"/>
          <w:sz w:val="24"/>
          <w:szCs w:val="24"/>
          <w:highlight w:val="none"/>
        </w:rPr>
        <w:t>。</w:t>
      </w:r>
    </w:p>
    <w:p w14:paraId="0384B7DC">
      <w:pPr>
        <w:keepNext w:val="0"/>
        <w:keepLines w:val="0"/>
        <w:pageBreakBefore w:val="0"/>
        <w:widowControl w:val="0"/>
        <w:kinsoku/>
        <w:wordWrap/>
        <w:overflowPunct/>
        <w:topLinePunct w:val="0"/>
        <w:bidi w:val="0"/>
        <w:snapToGrid w:val="0"/>
        <w:spacing w:line="360" w:lineRule="auto"/>
        <w:ind w:left="0" w:right="0" w:firstLine="506" w:firstLineChars="200"/>
        <w:rPr>
          <w:rFonts w:hint="eastAsia" w:ascii="宋体" w:hAnsi="宋体" w:eastAsia="宋体" w:cs="宋体"/>
          <w:b/>
          <w:snapToGrid w:val="0"/>
          <w:color w:val="auto"/>
          <w:spacing w:val="6"/>
          <w:sz w:val="24"/>
          <w:szCs w:val="24"/>
          <w:highlight w:val="none"/>
        </w:rPr>
      </w:pPr>
      <w:r>
        <w:rPr>
          <w:rFonts w:hint="eastAsia" w:ascii="宋体" w:hAnsi="宋体" w:eastAsia="宋体" w:cs="宋体"/>
          <w:b/>
          <w:snapToGrid w:val="0"/>
          <w:color w:val="auto"/>
          <w:spacing w:val="6"/>
          <w:sz w:val="24"/>
          <w:szCs w:val="24"/>
          <w:highlight w:val="none"/>
        </w:rPr>
        <w:t>二十三、其他约定事项</w:t>
      </w:r>
    </w:p>
    <w:p w14:paraId="50291958">
      <w:pPr>
        <w:keepNext w:val="0"/>
        <w:keepLines w:val="0"/>
        <w:pageBreakBefore w:val="0"/>
        <w:widowControl w:val="0"/>
        <w:kinsoku/>
        <w:wordWrap/>
        <w:overflowPunct/>
        <w:topLinePunct w:val="0"/>
        <w:autoSpaceDE w:val="0"/>
        <w:autoSpaceDN w:val="0"/>
        <w:bidi w:val="0"/>
        <w:adjustRightInd w:val="0"/>
        <w:spacing w:line="360" w:lineRule="auto"/>
        <w:ind w:left="0" w:right="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合同一式</w:t>
      </w:r>
      <w:r>
        <w:rPr>
          <w:rFonts w:hint="eastAsia" w:ascii="宋体" w:hAnsi="宋体" w:eastAsia="宋体" w:cs="宋体"/>
          <w:color w:val="auto"/>
          <w:sz w:val="24"/>
          <w:szCs w:val="24"/>
          <w:highlight w:val="none"/>
          <w:lang w:eastAsia="zh-CN"/>
        </w:rPr>
        <w:t>肆</w:t>
      </w:r>
      <w:r>
        <w:rPr>
          <w:rFonts w:hint="eastAsia" w:ascii="宋体" w:hAnsi="宋体" w:eastAsia="宋体" w:cs="宋体"/>
          <w:color w:val="auto"/>
          <w:sz w:val="24"/>
          <w:szCs w:val="24"/>
          <w:highlight w:val="none"/>
        </w:rPr>
        <w:t>份，甲方执</w:t>
      </w:r>
      <w:r>
        <w:rPr>
          <w:rFonts w:hint="eastAsia" w:ascii="宋体" w:hAnsi="宋体" w:eastAsia="宋体" w:cs="宋体"/>
          <w:color w:val="auto"/>
          <w:sz w:val="24"/>
          <w:szCs w:val="24"/>
          <w:highlight w:val="none"/>
          <w:lang w:eastAsia="zh-CN"/>
        </w:rPr>
        <w:t>贰</w:t>
      </w:r>
      <w:r>
        <w:rPr>
          <w:rFonts w:hint="eastAsia" w:ascii="宋体" w:hAnsi="宋体" w:eastAsia="宋体" w:cs="宋体"/>
          <w:color w:val="auto"/>
          <w:sz w:val="24"/>
          <w:szCs w:val="24"/>
          <w:highlight w:val="none"/>
        </w:rPr>
        <w:t>份，乙方执</w:t>
      </w:r>
      <w:r>
        <w:rPr>
          <w:rFonts w:hint="eastAsia" w:ascii="宋体" w:hAnsi="宋体" w:eastAsia="宋体" w:cs="宋体"/>
          <w:color w:val="auto"/>
          <w:sz w:val="24"/>
          <w:szCs w:val="24"/>
          <w:highlight w:val="none"/>
          <w:lang w:eastAsia="zh-CN"/>
        </w:rPr>
        <w:t>贰</w:t>
      </w:r>
      <w:r>
        <w:rPr>
          <w:rFonts w:hint="eastAsia" w:ascii="宋体" w:hAnsi="宋体" w:eastAsia="宋体" w:cs="宋体"/>
          <w:color w:val="auto"/>
          <w:sz w:val="24"/>
          <w:szCs w:val="24"/>
          <w:highlight w:val="none"/>
        </w:rPr>
        <w:t>份，具有同等法律效力。其余未尽事宜双方协商解决，如协商不成双方均可向合同签订地人民法院提起诉讼。</w:t>
      </w:r>
    </w:p>
    <w:p w14:paraId="4560F8DF">
      <w:pPr>
        <w:keepNext w:val="0"/>
        <w:keepLines w:val="0"/>
        <w:pageBreakBefore w:val="0"/>
        <w:widowControl w:val="0"/>
        <w:kinsoku/>
        <w:wordWrap/>
        <w:overflowPunct/>
        <w:topLinePunct w:val="0"/>
        <w:autoSpaceDE w:val="0"/>
        <w:autoSpaceDN w:val="0"/>
        <w:bidi w:val="0"/>
        <w:adjustRightInd w:val="0"/>
        <w:spacing w:line="360" w:lineRule="auto"/>
        <w:ind w:left="0" w:right="0" w:firstLine="360" w:firstLineChars="150"/>
        <w:textAlignment w:val="baseline"/>
        <w:rPr>
          <w:rFonts w:hint="eastAsia" w:ascii="宋体" w:hAnsi="宋体" w:eastAsia="宋体" w:cs="宋体"/>
          <w:color w:val="auto"/>
          <w:sz w:val="24"/>
          <w:szCs w:val="24"/>
          <w:highlight w:val="none"/>
        </w:rPr>
      </w:pPr>
    </w:p>
    <w:tbl>
      <w:tblPr>
        <w:tblStyle w:val="4"/>
        <w:tblpPr w:leftFromText="180" w:rightFromText="180" w:vertAnchor="text" w:tblpX="26" w:tblpY="1"/>
        <w:tblOverlap w:val="never"/>
        <w:tblW w:w="8519" w:type="dxa"/>
        <w:tblInd w:w="0" w:type="dxa"/>
        <w:tblLayout w:type="fixed"/>
        <w:tblCellMar>
          <w:top w:w="0" w:type="dxa"/>
          <w:left w:w="108" w:type="dxa"/>
          <w:bottom w:w="0" w:type="dxa"/>
          <w:right w:w="108" w:type="dxa"/>
        </w:tblCellMar>
      </w:tblPr>
      <w:tblGrid>
        <w:gridCol w:w="4511"/>
        <w:gridCol w:w="4008"/>
      </w:tblGrid>
      <w:tr w14:paraId="1D318B4D">
        <w:tblPrEx>
          <w:tblCellMar>
            <w:top w:w="0" w:type="dxa"/>
            <w:left w:w="108" w:type="dxa"/>
            <w:bottom w:w="0" w:type="dxa"/>
            <w:right w:w="108" w:type="dxa"/>
          </w:tblCellMar>
        </w:tblPrEx>
        <w:trPr>
          <w:trHeight w:val="458" w:hRule="atLeast"/>
        </w:trPr>
        <w:tc>
          <w:tcPr>
            <w:tcW w:w="4511" w:type="dxa"/>
            <w:tcBorders>
              <w:tl2br w:val="nil"/>
              <w:tr2bl w:val="nil"/>
            </w:tcBorders>
            <w:vAlign w:val="center"/>
          </w:tcPr>
          <w:p w14:paraId="621AA16D">
            <w:pPr>
              <w:keepNext w:val="0"/>
              <w:keepLines w:val="0"/>
              <w:pageBreakBefore w:val="0"/>
              <w:widowControl w:val="0"/>
              <w:kinsoku/>
              <w:wordWrap/>
              <w:overflowPunct/>
              <w:topLinePunct w:val="0"/>
              <w:bidi w:val="0"/>
              <w:spacing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甲方(合同章)</w:t>
            </w:r>
          </w:p>
        </w:tc>
        <w:tc>
          <w:tcPr>
            <w:tcW w:w="4008" w:type="dxa"/>
            <w:tcBorders>
              <w:tl2br w:val="nil"/>
              <w:tr2bl w:val="nil"/>
            </w:tcBorders>
            <w:vAlign w:val="center"/>
          </w:tcPr>
          <w:p w14:paraId="2DFD9B79">
            <w:pPr>
              <w:keepNext w:val="0"/>
              <w:keepLines w:val="0"/>
              <w:pageBreakBefore w:val="0"/>
              <w:widowControl w:val="0"/>
              <w:kinsoku/>
              <w:wordWrap/>
              <w:overflowPunct/>
              <w:topLinePunct w:val="0"/>
              <w:bidi w:val="0"/>
              <w:spacing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乙方(合同章)</w:t>
            </w:r>
          </w:p>
        </w:tc>
      </w:tr>
      <w:tr w14:paraId="428F6140">
        <w:tblPrEx>
          <w:tblCellMar>
            <w:top w:w="0" w:type="dxa"/>
            <w:left w:w="108" w:type="dxa"/>
            <w:bottom w:w="0" w:type="dxa"/>
            <w:right w:w="108" w:type="dxa"/>
          </w:tblCellMar>
        </w:tblPrEx>
        <w:trPr>
          <w:trHeight w:val="457" w:hRule="atLeast"/>
        </w:trPr>
        <w:tc>
          <w:tcPr>
            <w:tcW w:w="4511" w:type="dxa"/>
            <w:tcBorders>
              <w:tl2br w:val="nil"/>
              <w:tr2bl w:val="nil"/>
            </w:tcBorders>
            <w:vAlign w:val="center"/>
          </w:tcPr>
          <w:p w14:paraId="71B9CAC3">
            <w:pPr>
              <w:keepNext w:val="0"/>
              <w:keepLines w:val="0"/>
              <w:pageBreakBefore w:val="0"/>
              <w:widowControl w:val="0"/>
              <w:kinsoku/>
              <w:wordWrap/>
              <w:overflowPunct/>
              <w:topLinePunct w:val="0"/>
              <w:bidi w:val="0"/>
              <w:spacing w:line="360" w:lineRule="auto"/>
              <w:ind w:left="0" w:right="0"/>
              <w:rPr>
                <w:rFonts w:hint="eastAsia" w:ascii="宋体" w:hAnsi="宋体" w:eastAsia="宋体" w:cs="宋体"/>
                <w:color w:val="auto"/>
                <w:sz w:val="24"/>
                <w:szCs w:val="24"/>
                <w:highlight w:val="none"/>
              </w:rPr>
            </w:pPr>
          </w:p>
        </w:tc>
        <w:tc>
          <w:tcPr>
            <w:tcW w:w="4008" w:type="dxa"/>
            <w:tcBorders>
              <w:tl2br w:val="nil"/>
              <w:tr2bl w:val="nil"/>
            </w:tcBorders>
            <w:vAlign w:val="center"/>
          </w:tcPr>
          <w:p w14:paraId="2BF45EB2">
            <w:pPr>
              <w:keepNext w:val="0"/>
              <w:keepLines w:val="0"/>
              <w:pageBreakBefore w:val="0"/>
              <w:widowControl w:val="0"/>
              <w:kinsoku/>
              <w:wordWrap/>
              <w:overflowPunct/>
              <w:topLinePunct w:val="0"/>
              <w:bidi w:val="0"/>
              <w:spacing w:line="360" w:lineRule="auto"/>
              <w:ind w:left="0" w:right="0"/>
              <w:rPr>
                <w:rFonts w:hint="eastAsia" w:ascii="宋体" w:hAnsi="宋体" w:eastAsia="宋体" w:cs="宋体"/>
                <w:color w:val="auto"/>
                <w:sz w:val="24"/>
                <w:szCs w:val="24"/>
                <w:highlight w:val="none"/>
              </w:rPr>
            </w:pPr>
          </w:p>
        </w:tc>
      </w:tr>
      <w:tr w14:paraId="78CC7D81">
        <w:tblPrEx>
          <w:tblCellMar>
            <w:top w:w="0" w:type="dxa"/>
            <w:left w:w="108" w:type="dxa"/>
            <w:bottom w:w="0" w:type="dxa"/>
            <w:right w:w="108" w:type="dxa"/>
          </w:tblCellMar>
        </w:tblPrEx>
        <w:trPr>
          <w:trHeight w:val="1050" w:hRule="atLeast"/>
        </w:trPr>
        <w:tc>
          <w:tcPr>
            <w:tcW w:w="4511" w:type="dxa"/>
            <w:tcBorders>
              <w:tl2br w:val="nil"/>
              <w:tr2bl w:val="nil"/>
            </w:tcBorders>
            <w:vAlign w:val="center"/>
          </w:tcPr>
          <w:p w14:paraId="11DE78AA">
            <w:pPr>
              <w:keepNext w:val="0"/>
              <w:keepLines w:val="0"/>
              <w:pageBreakBefore w:val="0"/>
              <w:widowControl w:val="0"/>
              <w:kinsoku/>
              <w:wordWrap/>
              <w:overflowPunct/>
              <w:topLinePunct w:val="0"/>
              <w:bidi w:val="0"/>
              <w:spacing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法人或授权代表： </w:t>
            </w:r>
          </w:p>
        </w:tc>
        <w:tc>
          <w:tcPr>
            <w:tcW w:w="4008" w:type="dxa"/>
            <w:tcBorders>
              <w:tl2br w:val="nil"/>
              <w:tr2bl w:val="nil"/>
            </w:tcBorders>
            <w:vAlign w:val="center"/>
          </w:tcPr>
          <w:p w14:paraId="47BCB577">
            <w:pPr>
              <w:keepNext w:val="0"/>
              <w:keepLines w:val="0"/>
              <w:pageBreakBefore w:val="0"/>
              <w:widowControl w:val="0"/>
              <w:kinsoku/>
              <w:wordWrap/>
              <w:overflowPunct/>
              <w:topLinePunct w:val="0"/>
              <w:bidi w:val="0"/>
              <w:spacing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法人或授权代表：</w:t>
            </w:r>
          </w:p>
        </w:tc>
      </w:tr>
      <w:tr w14:paraId="55FFDC01">
        <w:tblPrEx>
          <w:tblCellMar>
            <w:top w:w="0" w:type="dxa"/>
            <w:left w:w="108" w:type="dxa"/>
            <w:bottom w:w="0" w:type="dxa"/>
            <w:right w:w="108" w:type="dxa"/>
          </w:tblCellMar>
        </w:tblPrEx>
        <w:trPr>
          <w:trHeight w:val="613" w:hRule="atLeast"/>
        </w:trPr>
        <w:tc>
          <w:tcPr>
            <w:tcW w:w="4511" w:type="dxa"/>
            <w:tcBorders>
              <w:tl2br w:val="nil"/>
              <w:tr2bl w:val="nil"/>
            </w:tcBorders>
            <w:vAlign w:val="center"/>
          </w:tcPr>
          <w:p w14:paraId="6F41072A">
            <w:pPr>
              <w:keepNext w:val="0"/>
              <w:keepLines w:val="0"/>
              <w:pageBreakBefore w:val="0"/>
              <w:widowControl w:val="0"/>
              <w:kinsoku/>
              <w:wordWrap/>
              <w:overflowPunct/>
              <w:topLinePunct w:val="0"/>
              <w:bidi w:val="0"/>
              <w:spacing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p>
        </w:tc>
        <w:tc>
          <w:tcPr>
            <w:tcW w:w="4008" w:type="dxa"/>
            <w:tcBorders>
              <w:tl2br w:val="nil"/>
              <w:tr2bl w:val="nil"/>
            </w:tcBorders>
            <w:vAlign w:val="center"/>
          </w:tcPr>
          <w:p w14:paraId="08AEE71B">
            <w:pPr>
              <w:keepNext w:val="0"/>
              <w:keepLines w:val="0"/>
              <w:pageBreakBefore w:val="0"/>
              <w:widowControl w:val="0"/>
              <w:kinsoku/>
              <w:wordWrap/>
              <w:overflowPunct/>
              <w:topLinePunct w:val="0"/>
              <w:bidi w:val="0"/>
              <w:spacing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p>
        </w:tc>
      </w:tr>
      <w:tr w14:paraId="35D4A18B">
        <w:tblPrEx>
          <w:tblCellMar>
            <w:top w:w="0" w:type="dxa"/>
            <w:left w:w="108" w:type="dxa"/>
            <w:bottom w:w="0" w:type="dxa"/>
            <w:right w:w="108" w:type="dxa"/>
          </w:tblCellMar>
        </w:tblPrEx>
        <w:trPr>
          <w:trHeight w:val="472" w:hRule="atLeast"/>
        </w:trPr>
        <w:tc>
          <w:tcPr>
            <w:tcW w:w="4511" w:type="dxa"/>
            <w:tcBorders>
              <w:tl2br w:val="nil"/>
              <w:tr2bl w:val="nil"/>
            </w:tcBorders>
            <w:vAlign w:val="center"/>
          </w:tcPr>
          <w:p w14:paraId="474B2381">
            <w:pPr>
              <w:keepNext w:val="0"/>
              <w:keepLines w:val="0"/>
              <w:pageBreakBefore w:val="0"/>
              <w:widowControl w:val="0"/>
              <w:kinsoku/>
              <w:wordWrap/>
              <w:overflowPunct/>
              <w:topLinePunct w:val="0"/>
              <w:bidi w:val="0"/>
              <w:spacing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帐号：</w:t>
            </w:r>
          </w:p>
        </w:tc>
        <w:tc>
          <w:tcPr>
            <w:tcW w:w="4008" w:type="dxa"/>
            <w:tcBorders>
              <w:tl2br w:val="nil"/>
              <w:tr2bl w:val="nil"/>
            </w:tcBorders>
            <w:vAlign w:val="center"/>
          </w:tcPr>
          <w:p w14:paraId="1BC06AE3">
            <w:pPr>
              <w:keepNext w:val="0"/>
              <w:keepLines w:val="0"/>
              <w:pageBreakBefore w:val="0"/>
              <w:widowControl w:val="0"/>
              <w:kinsoku/>
              <w:wordWrap/>
              <w:overflowPunct/>
              <w:topLinePunct w:val="0"/>
              <w:bidi w:val="0"/>
              <w:spacing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帐号：</w:t>
            </w:r>
          </w:p>
        </w:tc>
      </w:tr>
      <w:tr w14:paraId="0AC11C7B">
        <w:tblPrEx>
          <w:tblCellMar>
            <w:top w:w="0" w:type="dxa"/>
            <w:left w:w="108" w:type="dxa"/>
            <w:bottom w:w="0" w:type="dxa"/>
            <w:right w:w="108" w:type="dxa"/>
          </w:tblCellMar>
        </w:tblPrEx>
        <w:trPr>
          <w:trHeight w:val="492" w:hRule="atLeast"/>
        </w:trPr>
        <w:tc>
          <w:tcPr>
            <w:tcW w:w="4511" w:type="dxa"/>
            <w:tcBorders>
              <w:tl2br w:val="nil"/>
              <w:tr2bl w:val="nil"/>
            </w:tcBorders>
            <w:vAlign w:val="center"/>
          </w:tcPr>
          <w:p w14:paraId="556CCC16">
            <w:pPr>
              <w:keepNext w:val="0"/>
              <w:keepLines w:val="0"/>
              <w:pageBreakBefore w:val="0"/>
              <w:widowControl w:val="0"/>
              <w:kinsoku/>
              <w:wordWrap/>
              <w:overflowPunct/>
              <w:topLinePunct w:val="0"/>
              <w:bidi w:val="0"/>
              <w:spacing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税号：</w:t>
            </w:r>
          </w:p>
        </w:tc>
        <w:tc>
          <w:tcPr>
            <w:tcW w:w="4008" w:type="dxa"/>
            <w:tcBorders>
              <w:tl2br w:val="nil"/>
              <w:tr2bl w:val="nil"/>
            </w:tcBorders>
            <w:vAlign w:val="center"/>
          </w:tcPr>
          <w:p w14:paraId="5CB9616E">
            <w:pPr>
              <w:keepNext w:val="0"/>
              <w:keepLines w:val="0"/>
              <w:pageBreakBefore w:val="0"/>
              <w:widowControl w:val="0"/>
              <w:kinsoku/>
              <w:wordWrap/>
              <w:overflowPunct/>
              <w:topLinePunct w:val="0"/>
              <w:bidi w:val="0"/>
              <w:spacing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税号：</w:t>
            </w:r>
          </w:p>
        </w:tc>
      </w:tr>
      <w:tr w14:paraId="4CD35FBD">
        <w:tblPrEx>
          <w:tblCellMar>
            <w:top w:w="0" w:type="dxa"/>
            <w:left w:w="108" w:type="dxa"/>
            <w:bottom w:w="0" w:type="dxa"/>
            <w:right w:w="108" w:type="dxa"/>
          </w:tblCellMar>
        </w:tblPrEx>
        <w:trPr>
          <w:trHeight w:val="791" w:hRule="atLeast"/>
        </w:trPr>
        <w:tc>
          <w:tcPr>
            <w:tcW w:w="4511" w:type="dxa"/>
            <w:tcBorders>
              <w:tl2br w:val="nil"/>
              <w:tr2bl w:val="nil"/>
            </w:tcBorders>
            <w:vAlign w:val="center"/>
          </w:tcPr>
          <w:p w14:paraId="62FB5AA3">
            <w:pPr>
              <w:keepNext w:val="0"/>
              <w:keepLines w:val="0"/>
              <w:pageBreakBefore w:val="0"/>
              <w:widowControl w:val="0"/>
              <w:kinsoku/>
              <w:wordWrap/>
              <w:overflowPunct/>
              <w:topLinePunct w:val="0"/>
              <w:bidi w:val="0"/>
              <w:spacing w:line="360" w:lineRule="auto"/>
              <w:ind w:left="0" w:right="0" w:hanging="720" w:hanging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c>
          <w:tcPr>
            <w:tcW w:w="4008" w:type="dxa"/>
            <w:tcBorders>
              <w:tl2br w:val="nil"/>
              <w:tr2bl w:val="nil"/>
            </w:tcBorders>
            <w:vAlign w:val="center"/>
          </w:tcPr>
          <w:p w14:paraId="61424359">
            <w:pPr>
              <w:keepNext w:val="0"/>
              <w:keepLines w:val="0"/>
              <w:pageBreakBefore w:val="0"/>
              <w:widowControl w:val="0"/>
              <w:kinsoku/>
              <w:wordWrap/>
              <w:overflowPunct/>
              <w:topLinePunct w:val="0"/>
              <w:bidi w:val="0"/>
              <w:spacing w:line="360" w:lineRule="auto"/>
              <w:ind w:left="0" w:right="0" w:hanging="600" w:hanging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地址： </w:t>
            </w:r>
          </w:p>
        </w:tc>
      </w:tr>
      <w:tr w14:paraId="3E574104">
        <w:tblPrEx>
          <w:tblCellMar>
            <w:top w:w="0" w:type="dxa"/>
            <w:left w:w="108" w:type="dxa"/>
            <w:bottom w:w="0" w:type="dxa"/>
            <w:right w:w="108" w:type="dxa"/>
          </w:tblCellMar>
        </w:tblPrEx>
        <w:trPr>
          <w:trHeight w:val="441" w:hRule="atLeast"/>
        </w:trPr>
        <w:tc>
          <w:tcPr>
            <w:tcW w:w="4511" w:type="dxa"/>
            <w:tcBorders>
              <w:tl2br w:val="nil"/>
              <w:tr2bl w:val="nil"/>
            </w:tcBorders>
            <w:vAlign w:val="center"/>
          </w:tcPr>
          <w:p w14:paraId="0A7FA785">
            <w:pPr>
              <w:keepNext w:val="0"/>
              <w:keepLines w:val="0"/>
              <w:pageBreakBefore w:val="0"/>
              <w:widowControl w:val="0"/>
              <w:kinsoku/>
              <w:wordWrap/>
              <w:overflowPunct/>
              <w:topLinePunct w:val="0"/>
              <w:bidi w:val="0"/>
              <w:spacing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4008" w:type="dxa"/>
            <w:tcBorders>
              <w:tl2br w:val="nil"/>
              <w:tr2bl w:val="nil"/>
            </w:tcBorders>
            <w:vAlign w:val="center"/>
          </w:tcPr>
          <w:p w14:paraId="5C9FFE3F">
            <w:pPr>
              <w:keepNext w:val="0"/>
              <w:keepLines w:val="0"/>
              <w:pageBreakBefore w:val="0"/>
              <w:widowControl w:val="0"/>
              <w:kinsoku/>
              <w:wordWrap/>
              <w:overflowPunct/>
              <w:topLinePunct w:val="0"/>
              <w:bidi w:val="0"/>
              <w:spacing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r>
    </w:tbl>
    <w:p w14:paraId="41D8562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F33FFA"/>
    <w:rsid w:val="270C5D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b/>
      <w:kern w:val="44"/>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rPr>
      <w:rFonts w:ascii="宋体" w:hAnsi="Times New Roman" w:eastAsia="宋体" w:cs="Times New Roman"/>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2026-04-07T06:27:00Z</dcterms:created>
  <dc:creator>正翼</dc:creator>
  <cp:lastModifiedBy>正翼</cp:lastModifiedBy>
  <dcterms:modified xsi:type="dcterms:W3CDTF">2026-06-05T08:38:31Z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5B7099E1AF134C0AB5AE47B714C6499E_12</vt:lpwstr>
  </property>
  <property fmtid="{D5CDD505-2E9C-101B-9397-08002B2CF9AE}" pid="4" name="KSOTemplateDocerSaveRecord">
    <vt:lpwstr>eyJoZGlkIjoiZjg2MzQxZjlhNDA2YWZmNzJkMzNiMDViMTdlZWMzNzUiLCJ1c2VySWQiOiI0NTEzNTU3OTIifQ==</vt:lpwstr>
  </property>
</Properties>
</file>