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版本号：政采-洋县-2026-0016720260615001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2026洋县黄家营镇骆驼项村香菇产业园配套设施建设项目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政采-洋县-2026-00167</w:t>
      </w:r>
      <w:r>
        <w:br/>
      </w:r>
      <w:r>
        <w:br/>
      </w:r>
      <w:r>
        <w:br/>
      </w:r>
    </w:p>
    <w:p>
      <w:pPr>
        <w:pStyle w:val="null3"/>
        <w:jc w:val="center"/>
        <w:outlineLvl w:val="2"/>
      </w:pPr>
      <w:r>
        <w:rPr>
          <w:rFonts w:ascii="仿宋_GB2312" w:hAnsi="仿宋_GB2312" w:cs="仿宋_GB2312" w:eastAsia="仿宋_GB2312"/>
          <w:sz w:val="28"/>
          <w:b/>
        </w:rPr>
        <w:t>洋县黄家营镇人民政府办公室</w:t>
      </w:r>
    </w:p>
    <w:p>
      <w:pPr>
        <w:pStyle w:val="null3"/>
        <w:jc w:val="center"/>
        <w:outlineLvl w:val="2"/>
      </w:pPr>
      <w:r>
        <w:rPr>
          <w:rFonts w:ascii="仿宋_GB2312" w:hAnsi="仿宋_GB2312" w:cs="仿宋_GB2312" w:eastAsia="仿宋_GB2312"/>
          <w:sz w:val="28"/>
          <w:b/>
        </w:rPr>
        <w:t>陕西兴正工程造价咨询有限公司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陕西兴正工程造价咨询有限公司</w:t>
      </w:r>
      <w:r>
        <w:rPr>
          <w:rFonts w:ascii="仿宋_GB2312" w:hAnsi="仿宋_GB2312" w:cs="仿宋_GB2312" w:eastAsia="仿宋_GB2312"/>
        </w:rPr>
        <w:t>（以下简称“代理机构”）受</w:t>
      </w:r>
      <w:r>
        <w:rPr>
          <w:rFonts w:ascii="仿宋_GB2312" w:hAnsi="仿宋_GB2312" w:cs="仿宋_GB2312" w:eastAsia="仿宋_GB2312"/>
        </w:rPr>
        <w:t>洋县黄家营镇人民政府办公室</w:t>
      </w:r>
      <w:r>
        <w:rPr>
          <w:rFonts w:ascii="仿宋_GB2312" w:hAnsi="仿宋_GB2312" w:cs="仿宋_GB2312" w:eastAsia="仿宋_GB2312"/>
        </w:rPr>
        <w:t>委托，拟对</w:t>
      </w:r>
      <w:r>
        <w:rPr>
          <w:rFonts w:ascii="仿宋_GB2312" w:hAnsi="仿宋_GB2312" w:cs="仿宋_GB2312" w:eastAsia="仿宋_GB2312"/>
        </w:rPr>
        <w:t>2026洋县黄家营镇骆驼项村香菇产业园配套设施建设项目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政采-洋县-2026-00167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2026洋县黄家营镇骆驼项村香菇产业园配套设施建设项目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为2026年洋县黄家营镇骆驼项村香菇产业园配套设施建设项目，建设内容为：新建260㎡钢结构冷库一座，室外工程：砌筑石挡土墙、混凝土排水渠、铁艺大门、pc阳光板、混凝土地面、搭建厂房，拆除工程：拆除钢结构房屋、移栽混凝土电杆、建渣外运，电气设备安装工程：烘干设备及冷库设备各一套，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采购包1（2026洋县黄家营镇骆驼项村香菇产业园配套设施建设项目）：属于专门面向中小企业采购。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1、统⼀社会信⽤代码营业执照或事业单位法⼈证书：供应商具有独⽴承担⺠事责任能⼒的法⼈、其他组织或⾃然⼈，提供合法有效的统⼀社会信⽤代码营业执照或事业单位法⼈证书(⾃然⼈应提供⾝份证明）</w:t>
      </w:r>
    </w:p>
    <w:p>
      <w:pPr>
        <w:pStyle w:val="null3"/>
      </w:pPr>
      <w:r>
        <w:rPr>
          <w:rFonts w:ascii="仿宋_GB2312" w:hAnsi="仿宋_GB2312" w:cs="仿宋_GB2312" w:eastAsia="仿宋_GB2312"/>
        </w:rPr>
        <w:t>2、法定代表⼈授权：供应商应授权合法的⼈员参加投标全过程，其中法定代表⼈直接参加投标的，须出具法⼈⾝份证，法定代表⼈授权代表参加投标的，须出具法定代表⼈授权书及授权代表⾝份证</w:t>
      </w:r>
    </w:p>
    <w:p>
      <w:pPr>
        <w:pStyle w:val="null3"/>
      </w:pPr>
      <w:r>
        <w:rPr>
          <w:rFonts w:ascii="仿宋_GB2312" w:hAnsi="仿宋_GB2312" w:cs="仿宋_GB2312" w:eastAsia="仿宋_GB2312"/>
        </w:rPr>
        <w:t>3、财务会计制度、依法缴纳税收和社会保障资⾦的良好记录及参加本项⽬采购活动前三年内在经营活动中⽆重⼤违法活动记录：供应商须具有健全的财务会计制度、具有履⾏合同所必需的设备和专业技术能⼒、具有依法缴纳税收和社会保障资⾦的良好记录，以及参加本项⽬采购活动前三年内在经营活动中⽆重⼤违法活动记录，供应商提供《汉中市政府采购供应商资格承诺函》</w:t>
      </w:r>
    </w:p>
    <w:p>
      <w:pPr>
        <w:pStyle w:val="null3"/>
      </w:pPr>
      <w:r>
        <w:rPr>
          <w:rFonts w:ascii="仿宋_GB2312" w:hAnsi="仿宋_GB2312" w:cs="仿宋_GB2312" w:eastAsia="仿宋_GB2312"/>
        </w:rPr>
        <w:t>4、投标保证⾦：保证⾦缴纳凭证（截图加盖公章）</w:t>
      </w:r>
    </w:p>
    <w:p>
      <w:pPr>
        <w:pStyle w:val="null3"/>
      </w:pPr>
      <w:r>
        <w:rPr>
          <w:rFonts w:ascii="仿宋_GB2312" w:hAnsi="仿宋_GB2312" w:cs="仿宋_GB2312" w:eastAsia="仿宋_GB2312"/>
        </w:rPr>
        <w:t>5、供应商资质要求：供应商具有建筑工程施工总承包三级（含三级）以上资质；且具有有效的安全生产许可证</w:t>
      </w:r>
    </w:p>
    <w:p>
      <w:pPr>
        <w:pStyle w:val="null3"/>
      </w:pPr>
      <w:r>
        <w:rPr>
          <w:rFonts w:ascii="仿宋_GB2312" w:hAnsi="仿宋_GB2312" w:cs="仿宋_GB2312" w:eastAsia="仿宋_GB2312"/>
        </w:rPr>
        <w:t>6、拟派项目负责人要求：供应商拟派项目经理需具备建筑工程专业二级（含二级）及以上建造师资格，具备有效的安全生产考核合格证（建安B证），且无在建项目（以承诺书为准）</w:t>
      </w:r>
    </w:p>
    <w:p>
      <w:pPr>
        <w:pStyle w:val="null3"/>
      </w:pPr>
      <w:r>
        <w:rPr>
          <w:rFonts w:ascii="仿宋_GB2312" w:hAnsi="仿宋_GB2312" w:cs="仿宋_GB2312" w:eastAsia="仿宋_GB2312"/>
        </w:rPr>
        <w:t>7、信⽤截图：供应商不得为“信⽤中国”⽹站（www.creditchina.gov.cn）中列⼊失信被执⾏⼈和重⼤税收违法案件当事⼈名单的供应商，不得为中国政府采购⽹（www.ccgp.gov.cn）政府采购严重违法失信⾏为记录名单中被财政部⻔禁⽌参加政府采购活动的供应商；（提供查询结果⽹⻚截图）</w:t>
      </w:r>
    </w:p>
    <w:p>
      <w:pPr>
        <w:pStyle w:val="null3"/>
      </w:pPr>
      <w:r>
        <w:rPr>
          <w:rFonts w:ascii="仿宋_GB2312" w:hAnsi="仿宋_GB2312" w:cs="仿宋_GB2312" w:eastAsia="仿宋_GB2312"/>
        </w:rPr>
        <w:t>8、供应商企业关系关联及联合体说明：本项⽬不接受联合体磋商，单位负责⼈为同⼀⼈或者存在直接控股、管理关系的不同供应商，不得参加同⼀合同项下的政府采购活动。供应商需在项⽬电⼦化交易系统中按要求上传相应证明⽂件并进⾏电⼦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洋县黄家营镇人民政府办公室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洋县黄家营镇黄家营村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何旭盈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13992681609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陕西兴正工程造价咨询有限公司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陕西省汉中市汉台区东关街道办事处聚兴上城商业2号楼328室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19891679133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采购包1：1,427,003.14元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开户名称：陕西兴正工程造价咨询有限公司汉中分公司</w:t>
            </w:r>
          </w:p>
          <w:p>
            <w:pPr>
              <w:pStyle w:val="null3"/>
            </w:pPr>
            <w:r>
              <w:rPr>
                <w:rFonts w:ascii="仿宋_GB2312" w:hAnsi="仿宋_GB2312" w:cs="仿宋_GB2312" w:eastAsia="仿宋_GB2312"/>
              </w:rPr>
              <w:t>开户银行：中国工商银行汉中前进东路支行</w:t>
            </w:r>
          </w:p>
          <w:p>
            <w:pPr>
              <w:pStyle w:val="null3"/>
            </w:pPr>
            <w:r>
              <w:rPr>
                <w:rFonts w:ascii="仿宋_GB2312" w:hAnsi="仿宋_GB2312" w:cs="仿宋_GB2312" w:eastAsia="仿宋_GB2312"/>
              </w:rPr>
              <w:t>银行账号：2606055309100054068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说明：按照签订合同执行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办法的通知》（计价格【2002】1980号）和国家发改委办公厅颁发的《关于招标代理服务收费有关问题的通知》（发改办价格【2003】857号）⽂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洋县黄家营镇人民政府办公室</w:t>
      </w:r>
      <w:r>
        <w:rPr>
          <w:rFonts w:ascii="仿宋_GB2312" w:hAnsi="仿宋_GB2312" w:cs="仿宋_GB2312" w:eastAsia="仿宋_GB2312"/>
        </w:rPr>
        <w:t>和</w:t>
      </w:r>
      <w:r>
        <w:rPr>
          <w:rFonts w:ascii="仿宋_GB2312" w:hAnsi="仿宋_GB2312" w:cs="仿宋_GB2312" w:eastAsia="仿宋_GB2312"/>
        </w:rPr>
        <w:t>陕西兴正工程造价咨询有限公司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洋县黄家营镇人民政府办公室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陕西兴正工程造价咨询有限公司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洋县黄家营镇人民政府办公室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陕西兴正工程造价咨询有限公司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联系人：杨瑞</w:t>
      </w:r>
    </w:p>
    <w:p>
      <w:pPr>
        <w:pStyle w:val="null3"/>
      </w:pPr>
      <w:r>
        <w:rPr>
          <w:rFonts w:ascii="仿宋_GB2312" w:hAnsi="仿宋_GB2312" w:cs="仿宋_GB2312" w:eastAsia="仿宋_GB2312"/>
        </w:rPr>
        <w:t>联系电话：19891679133</w:t>
      </w:r>
    </w:p>
    <w:p>
      <w:pPr>
        <w:pStyle w:val="null3"/>
      </w:pPr>
      <w:r>
        <w:rPr>
          <w:rFonts w:ascii="仿宋_GB2312" w:hAnsi="仿宋_GB2312" w:cs="仿宋_GB2312" w:eastAsia="仿宋_GB2312"/>
        </w:rPr>
        <w:t>地址：陕西省汉中市汉台区东关街道办事处聚兴上城商业2号楼328室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1,427,003.14</w:t>
      </w:r>
    </w:p>
    <w:p>
      <w:pPr>
        <w:pStyle w:val="null3"/>
      </w:pPr>
      <w:r>
        <w:rPr>
          <w:rFonts w:ascii="仿宋_GB2312" w:hAnsi="仿宋_GB2312" w:cs="仿宋_GB2312" w:eastAsia="仿宋_GB2312"/>
        </w:rPr>
        <w:t>采购包最高限价（元）: 1,427,003.14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2026年洋县黄家营镇骆驼项村香菇产业园配套设施建设项目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1,427,003.14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标的名称：2026年洋县黄家营镇骆驼项村香菇产业园配套设施建设项目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一、工程概况：</w:t>
            </w:r>
          </w:p>
          <w:p>
            <w:pPr>
              <w:pStyle w:val="null3"/>
            </w:pPr>
            <w:r>
              <w:rPr>
                <w:rFonts w:ascii="仿宋_GB2312" w:hAnsi="仿宋_GB2312" w:cs="仿宋_GB2312" w:eastAsia="仿宋_GB2312"/>
                <w:sz w:val="24"/>
                <w:color w:val="000000"/>
              </w:rPr>
              <w:t>该工程为2026年洋县黄家营镇骆驼项村香菇产业园配套设施建设项目，建</w:t>
            </w:r>
            <w:r>
              <w:rPr>
                <w:rFonts w:ascii="仿宋_GB2312" w:hAnsi="仿宋_GB2312" w:cs="仿宋_GB2312" w:eastAsia="仿宋_GB2312"/>
                <w:sz w:val="24"/>
                <w:color w:val="000000"/>
              </w:rPr>
              <w:t>设内容为：新建260㎡钢结构冷库一座，室外工程：砌筑石挡土墙、混凝土排水</w:t>
            </w:r>
            <w:r>
              <w:rPr>
                <w:rFonts w:ascii="仿宋_GB2312" w:hAnsi="仿宋_GB2312" w:cs="仿宋_GB2312" w:eastAsia="仿宋_GB2312"/>
                <w:sz w:val="24"/>
                <w:color w:val="000000"/>
              </w:rPr>
              <w:t>渠、铁艺大门、pc阳光板、混凝土地面、搭建厂房，拆除工程：拆除钢结构房</w:t>
            </w:r>
            <w:r>
              <w:rPr>
                <w:rFonts w:ascii="仿宋_GB2312" w:hAnsi="仿宋_GB2312" w:cs="仿宋_GB2312" w:eastAsia="仿宋_GB2312"/>
                <w:sz w:val="24"/>
                <w:color w:val="000000"/>
              </w:rPr>
              <w:t>屋、移栽混凝土电杆、建渣外运，电气设备安装工程：烘干设备及冷库设备各</w:t>
            </w:r>
            <w:r>
              <w:rPr>
                <w:rFonts w:ascii="仿宋_GB2312" w:hAnsi="仿宋_GB2312" w:cs="仿宋_GB2312" w:eastAsia="仿宋_GB2312"/>
                <w:sz w:val="24"/>
                <w:color w:val="000000"/>
              </w:rPr>
              <w:t>一套，具体详见工程量清单。</w:t>
            </w:r>
          </w:p>
          <w:p>
            <w:pPr>
              <w:pStyle w:val="null3"/>
            </w:pPr>
            <w:r>
              <w:rPr>
                <w:rFonts w:ascii="仿宋_GB2312" w:hAnsi="仿宋_GB2312" w:cs="仿宋_GB2312" w:eastAsia="仿宋_GB2312"/>
                <w:sz w:val="24"/>
                <w:b/>
                <w:color w:val="000000"/>
              </w:rPr>
              <w:t>二、编制依据：</w:t>
            </w:r>
          </w:p>
          <w:p>
            <w:pPr>
              <w:pStyle w:val="null3"/>
            </w:pPr>
            <w:r>
              <w:rPr>
                <w:rFonts w:ascii="仿宋_GB2312" w:hAnsi="仿宋_GB2312" w:cs="仿宋_GB2312" w:eastAsia="仿宋_GB2312"/>
                <w:sz w:val="24"/>
                <w:color w:val="000000"/>
              </w:rPr>
              <w:t>1、与建设工程有关的标准、技术规范；</w:t>
            </w:r>
          </w:p>
          <w:p>
            <w:pPr>
              <w:pStyle w:val="null3"/>
            </w:pPr>
            <w:r>
              <w:rPr>
                <w:rFonts w:ascii="仿宋_GB2312" w:hAnsi="仿宋_GB2312" w:cs="仿宋_GB2312" w:eastAsia="仿宋_GB2312"/>
                <w:sz w:val="24"/>
                <w:color w:val="000000"/>
              </w:rPr>
              <w:t>2、《建设工程工程量清单计价标准2025》；</w:t>
            </w:r>
          </w:p>
          <w:p>
            <w:pPr>
              <w:pStyle w:val="null3"/>
            </w:pPr>
            <w:r>
              <w:rPr>
                <w:rFonts w:ascii="仿宋_GB2312" w:hAnsi="仿宋_GB2312" w:cs="仿宋_GB2312" w:eastAsia="仿宋_GB2312"/>
                <w:sz w:val="24"/>
                <w:color w:val="000000"/>
              </w:rPr>
              <w:t>3、《陕西省通用安装工程基价表》（2025）、《陕西省房屋建筑与装饰</w:t>
            </w:r>
            <w:r>
              <w:rPr>
                <w:rFonts w:ascii="仿宋_GB2312" w:hAnsi="仿宋_GB2312" w:cs="仿宋_GB2312" w:eastAsia="仿宋_GB2312"/>
                <w:sz w:val="24"/>
                <w:color w:val="000000"/>
              </w:rPr>
              <w:t>工程基价表》（2025）、《陕西省市政工程基价表》（2025）、《陕西省园林</w:t>
            </w:r>
            <w:r>
              <w:rPr>
                <w:rFonts w:ascii="仿宋_GB2312" w:hAnsi="仿宋_GB2312" w:cs="仿宋_GB2312" w:eastAsia="仿宋_GB2312"/>
                <w:sz w:val="24"/>
                <w:color w:val="000000"/>
              </w:rPr>
              <w:t>绿化工程基价表》（2025）、《陕西省城市地下综合管廊工程基价表》（2025）</w:t>
            </w:r>
            <w:r>
              <w:rPr>
                <w:rFonts w:ascii="仿宋_GB2312" w:hAnsi="仿宋_GB2312" w:cs="仿宋_GB2312" w:eastAsia="仿宋_GB2312"/>
                <w:sz w:val="24"/>
                <w:color w:val="000000"/>
              </w:rPr>
              <w:t>、《陕西省绿色建筑工程基价表》（2025）；</w:t>
            </w:r>
          </w:p>
          <w:p>
            <w:pPr>
              <w:pStyle w:val="null3"/>
            </w:pPr>
            <w:r>
              <w:rPr>
                <w:rFonts w:ascii="仿宋_GB2312" w:hAnsi="仿宋_GB2312" w:cs="仿宋_GB2312" w:eastAsia="仿宋_GB2312"/>
                <w:sz w:val="24"/>
                <w:color w:val="000000"/>
              </w:rPr>
              <w:t>4、《陕西省通用安装工程消耗量定额（2025）》、《陕西省市政工程消</w:t>
            </w:r>
            <w:r>
              <w:rPr>
                <w:rFonts w:ascii="仿宋_GB2312" w:hAnsi="仿宋_GB2312" w:cs="仿宋_GB2312" w:eastAsia="仿宋_GB2312"/>
                <w:sz w:val="24"/>
                <w:color w:val="000000"/>
              </w:rPr>
              <w:t>耗量定额（2025）》、《陕西省城市地下综合管廊工程消耗量定额（2025）》、</w:t>
            </w:r>
            <w:r>
              <w:rPr>
                <w:rFonts w:ascii="仿宋_GB2312" w:hAnsi="仿宋_GB2312" w:cs="仿宋_GB2312" w:eastAsia="仿宋_GB2312"/>
                <w:sz w:val="24"/>
                <w:color w:val="000000"/>
              </w:rPr>
              <w:t>《陕西省房屋建筑与装饰工程消耗量定额（2025）》、《陕西省园林绿化工程</w:t>
            </w:r>
            <w:r>
              <w:rPr>
                <w:rFonts w:ascii="仿宋_GB2312" w:hAnsi="仿宋_GB2312" w:cs="仿宋_GB2312" w:eastAsia="仿宋_GB2312"/>
                <w:sz w:val="24"/>
                <w:color w:val="000000"/>
              </w:rPr>
              <w:t>消耗量定额（2025）》、《陕西省绿色建筑工程消耗量定额（2025）》；</w:t>
            </w:r>
          </w:p>
          <w:p>
            <w:pPr>
              <w:pStyle w:val="null3"/>
            </w:pPr>
            <w:r>
              <w:rPr>
                <w:rFonts w:ascii="仿宋_GB2312" w:hAnsi="仿宋_GB2312" w:cs="仿宋_GB2312" w:eastAsia="仿宋_GB2312"/>
                <w:sz w:val="24"/>
                <w:color w:val="000000"/>
              </w:rPr>
              <w:t>5、陕西省建设工程施工机械台班费用定额（2025）、陕西省建设工程施</w:t>
            </w:r>
            <w:r>
              <w:rPr>
                <w:rFonts w:ascii="仿宋_GB2312" w:hAnsi="仿宋_GB2312" w:cs="仿宋_GB2312" w:eastAsia="仿宋_GB2312"/>
                <w:sz w:val="24"/>
                <w:color w:val="000000"/>
              </w:rPr>
              <w:t>工仪器仪表台班费用定额（2025）；</w:t>
            </w:r>
          </w:p>
          <w:p>
            <w:pPr>
              <w:pStyle w:val="null3"/>
            </w:pPr>
            <w:r>
              <w:rPr>
                <w:rFonts w:ascii="仿宋_GB2312" w:hAnsi="仿宋_GB2312" w:cs="仿宋_GB2312" w:eastAsia="仿宋_GB2312"/>
                <w:sz w:val="24"/>
                <w:color w:val="000000"/>
              </w:rPr>
              <w:t>6、2025年3月陕西省住房和城乡建设厅《陕西省建设工程费用规则》；</w:t>
            </w:r>
          </w:p>
          <w:p>
            <w:pPr>
              <w:pStyle w:val="null3"/>
            </w:pPr>
            <w:r>
              <w:rPr>
                <w:rFonts w:ascii="仿宋_GB2312" w:hAnsi="仿宋_GB2312" w:cs="仿宋_GB2312" w:eastAsia="仿宋_GB2312"/>
                <w:sz w:val="24"/>
                <w:color w:val="000000"/>
              </w:rPr>
              <w:t>7、陕西省住房和城乡建设厅关于印发2025年陕西省建设工程费用规则等计</w:t>
            </w:r>
            <w:r>
              <w:rPr>
                <w:rFonts w:ascii="仿宋_GB2312" w:hAnsi="仿宋_GB2312" w:cs="仿宋_GB2312" w:eastAsia="仿宋_GB2312"/>
                <w:sz w:val="24"/>
                <w:color w:val="000000"/>
              </w:rPr>
              <w:t>价依据的通知，2025年3月1日；</w:t>
            </w:r>
          </w:p>
          <w:p>
            <w:pPr>
              <w:pStyle w:val="null3"/>
            </w:pPr>
            <w:r>
              <w:rPr>
                <w:rFonts w:ascii="仿宋_GB2312" w:hAnsi="仿宋_GB2312" w:cs="仿宋_GB2312" w:eastAsia="仿宋_GB2312"/>
                <w:sz w:val="24"/>
                <w:color w:val="000000"/>
              </w:rPr>
              <w:t>8、汉中市汉台区住房和城乡建设局“关于转发《陕西省住房和城乡建设</w:t>
            </w:r>
            <w:r>
              <w:rPr>
                <w:rFonts w:ascii="仿宋_GB2312" w:hAnsi="仿宋_GB2312" w:cs="仿宋_GB2312" w:eastAsia="仿宋_GB2312"/>
                <w:sz w:val="24"/>
                <w:color w:val="000000"/>
              </w:rPr>
              <w:t>厅关于印发2025陕西省建设工程费用规则等计价依据的通知》的通知”，2025</w:t>
            </w:r>
            <w:r>
              <w:rPr>
                <w:rFonts w:ascii="仿宋_GB2312" w:hAnsi="仿宋_GB2312" w:cs="仿宋_GB2312" w:eastAsia="仿宋_GB2312"/>
                <w:sz w:val="24"/>
                <w:color w:val="000000"/>
              </w:rPr>
              <w:t>年4月22日；</w:t>
            </w:r>
          </w:p>
          <w:p>
            <w:pPr>
              <w:pStyle w:val="null3"/>
            </w:pPr>
            <w:r>
              <w:rPr>
                <w:rFonts w:ascii="仿宋_GB2312" w:hAnsi="仿宋_GB2312" w:cs="仿宋_GB2312" w:eastAsia="仿宋_GB2312"/>
                <w:sz w:val="24"/>
                <w:color w:val="000000"/>
              </w:rPr>
              <w:t>9、材料单价参考2026年4期《汉中建设工程造价信息》洋县材料价格及当</w:t>
            </w:r>
            <w:r>
              <w:rPr>
                <w:rFonts w:ascii="仿宋_GB2312" w:hAnsi="仿宋_GB2312" w:cs="仿宋_GB2312" w:eastAsia="仿宋_GB2312"/>
                <w:sz w:val="24"/>
                <w:color w:val="000000"/>
              </w:rPr>
              <w:t>地市场价格计算，结合相关认价文件等；</w:t>
            </w:r>
          </w:p>
          <w:p>
            <w:pPr>
              <w:pStyle w:val="null3"/>
            </w:pPr>
            <w:r>
              <w:rPr>
                <w:rFonts w:ascii="仿宋_GB2312" w:hAnsi="仿宋_GB2312" w:cs="仿宋_GB2312" w:eastAsia="仿宋_GB2312"/>
                <w:sz w:val="24"/>
                <w:b/>
                <w:color w:val="000000"/>
              </w:rPr>
              <w:t>三、其他说明：</w:t>
            </w:r>
          </w:p>
          <w:p>
            <w:pPr>
              <w:pStyle w:val="null3"/>
            </w:pPr>
            <w:r>
              <w:rPr>
                <w:rFonts w:ascii="仿宋_GB2312" w:hAnsi="仿宋_GB2312" w:cs="仿宋_GB2312" w:eastAsia="仿宋_GB2312"/>
                <w:sz w:val="24"/>
                <w:color w:val="000000"/>
              </w:rPr>
              <w:t>1、搭建厂房，暂定综合单价：130.00元/㎡</w:t>
            </w:r>
          </w:p>
          <w:p>
            <w:pPr>
              <w:pStyle w:val="null3"/>
            </w:pPr>
            <w:r>
              <w:rPr>
                <w:rFonts w:ascii="仿宋_GB2312" w:hAnsi="仿宋_GB2312" w:cs="仿宋_GB2312" w:eastAsia="仿宋_GB2312"/>
                <w:sz w:val="24"/>
                <w:b/>
                <w:color w:val="000000"/>
              </w:rPr>
              <w:t>四、计价软件：广联达 GCCP7.0 版本；</w:t>
            </w:r>
          </w:p>
          <w:p>
            <w:pPr>
              <w:pStyle w:val="null3"/>
            </w:pPr>
            <w:r>
              <w:rPr>
                <w:rFonts w:ascii="仿宋_GB2312" w:hAnsi="仿宋_GB2312" w:cs="仿宋_GB2312" w:eastAsia="仿宋_GB2312"/>
                <w:sz w:val="24"/>
                <w:b/>
                <w:color w:val="000000"/>
              </w:rPr>
              <w:t>五、工期： 90</w:t>
            </w:r>
            <w:r>
              <w:rPr>
                <w:rFonts w:ascii="仿宋_GB2312" w:hAnsi="仿宋_GB2312" w:cs="仿宋_GB2312" w:eastAsia="仿宋_GB2312"/>
                <w:sz w:val="24"/>
                <w:b/>
                <w:color w:val="000000"/>
              </w:rPr>
              <w:t>日历天；</w:t>
            </w:r>
          </w:p>
          <w:p>
            <w:pPr>
              <w:pStyle w:val="null3"/>
            </w:pPr>
            <w:r>
              <w:rPr>
                <w:rFonts w:ascii="仿宋_GB2312" w:hAnsi="仿宋_GB2312" w:cs="仿宋_GB2312" w:eastAsia="仿宋_GB2312"/>
                <w:sz w:val="24"/>
                <w:b/>
                <w:color w:val="000000"/>
              </w:rPr>
              <w:t>六、质量：合格。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经双方协商，工程完工，通过建设单位、设计单位、监理单位、施工单位的四方验收及有关地方行政管理部门审验并取得相应验收合格凭证。</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承包人严格按照国家颁发的施工验收规范及工程设计图纸（工程量清单）要求进行施工。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成交供应商在采购结果发布后3个⼯作⽇内向代理机构提交纸质版响应⽂件以便于存档，响应⽂件正本1份，副本1份(可以使⽤签章⽂件直接打印)，电⼦版⽂件1份(U盘为载体，PDF格式)。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统⼀社会信⽤代码营业执照或事业单位法⼈证书</w:t>
            </w:r>
          </w:p>
        </w:tc>
        <w:tc>
          <w:tcPr>
            <w:tcW w:type="dxa" w:w="3322"/>
          </w:tcPr>
          <w:p>
            <w:pPr>
              <w:pStyle w:val="null3"/>
            </w:pPr>
            <w:r>
              <w:rPr>
                <w:rFonts w:ascii="仿宋_GB2312" w:hAnsi="仿宋_GB2312" w:cs="仿宋_GB2312" w:eastAsia="仿宋_GB2312"/>
              </w:rPr>
              <w:t>供应商具有独⽴承担⺠事责任能⼒的法⼈、其他组织或⾃然⼈，提供合法有效的统⼀社会信⽤代码营业执照或事业单位法⼈证书(⾃然⼈应提供⾝份证明）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w:t>
            </w:r>
          </w:p>
        </w:tc>
        <w:tc>
          <w:tcPr>
            <w:tcW w:type="dxa" w:w="3322"/>
          </w:tcPr>
          <w:p>
            <w:pPr>
              <w:pStyle w:val="null3"/>
            </w:pPr>
            <w:r>
              <w:rPr>
                <w:rFonts w:ascii="仿宋_GB2312" w:hAnsi="仿宋_GB2312" w:cs="仿宋_GB2312" w:eastAsia="仿宋_GB2312"/>
              </w:rPr>
              <w:t>供应商应授权合法的⼈员参加投标全过程，其中法定代表⼈直接参加投标的，须出具法⼈⾝份证，法定代表⼈授权代表参加投标的，须出具法定代表⼈授权书及授权代表⾝份证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财务会计制度、依法缴纳税收和社会保障资⾦的良好记录及参加本项⽬采购活动前三年内在经营活动中⽆重⼤违法活动记录</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具有依法缴纳税收和社会保障资⾦的良好记录，以及参加本项⽬采购活动前三年内在经营活动中⽆重⼤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w:t>
            </w:r>
          </w:p>
        </w:tc>
        <w:tc>
          <w:tcPr>
            <w:tcW w:type="dxa" w:w="3322"/>
          </w:tcPr>
          <w:p>
            <w:pPr>
              <w:pStyle w:val="null3"/>
            </w:pPr>
            <w:r>
              <w:rPr>
                <w:rFonts w:ascii="仿宋_GB2312" w:hAnsi="仿宋_GB2312" w:cs="仿宋_GB2312" w:eastAsia="仿宋_GB2312"/>
              </w:rPr>
              <w:t>保证⾦缴纳凭证（截图加盖公章）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供应商具有建筑工程施工总承包三级（含三级）以上资质；且具有有效的安全生产许可证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供应商拟派项目经理需具备建筑工程专业二级（含二级）及以上建造师资格，具备有效的安全生产考核合格证（建安B证），且无在建项目（以承诺书为准）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信⽤截图</w:t>
            </w:r>
          </w:p>
        </w:tc>
        <w:tc>
          <w:tcPr>
            <w:tcW w:type="dxa" w:w="3322"/>
          </w:tcPr>
          <w:p>
            <w:pPr>
              <w:pStyle w:val="null3"/>
            </w:pPr>
            <w:r>
              <w:rPr>
                <w:rFonts w:ascii="仿宋_GB2312" w:hAnsi="仿宋_GB2312" w:cs="仿宋_GB2312" w:eastAsia="仿宋_GB2312"/>
              </w:rPr>
              <w:t>供应商不得为“信⽤中国”⽹站（www.creditchina.gov.cn）中列⼊失信被执⾏⼈和重⼤税收违法案件当事⼈名单的供应商，不得为中国政府采购⽹（www.ccgp.gov.cn）政府采购严重违法失信⾏为记录名单中被财政部⻔禁⽌参加政府采购活动的供应商；（提供查询结果⽹⻚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本项⽬不接受联合体磋商，单位负责⼈为同⼀⼈或者存在直接控股、管理关系的不同供应商，不得参加同⼀合同项下的政府采购活动。供应商需在项⽬电⼦化交易系统中按要求上传相应证明⽂件并进⾏电⼦签章。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响应人提供本项目施工方案，包括①施工方法（工艺）②施工组织和施工程序③施工重点难点④技术组织措施。 二、赋分标准： 1、完整性：方案内容完整全面，对上述各项内容均有描述，得4分；缺1项，得3分；缺2项，得2分；缺3项，得1分；不提供不得分。 2、针对性：针对性强，得4分；每有一处缺陷的扣1分。 3、可实施性：可实施性强，得4分；每有一处缺陷的扣1分。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一、评审内容：响应人提供本项目施工进度计划，包括①施工进度目标和施工总进度计划表/图②分部分项 工期一览表③重要工程的验收、检验的次序和时间。 二、赋分标准： 1、完整性：方案内容完整全面，对上述各项内容均有描述，得3分；缺1项，得2分；缺2 项，得1分；不提供不得分。 2、针对性：针对性强，得1.5分；每有一处缺陷的扣0.5分。 3、可实施性：可实施性强，得1.5分；每有一处缺陷的扣0.5分。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一、评审内容：响应人提供本项目工期保证措施，包括①施工组织与管理保证措施②施工技术措施。 二、赋分标准： 1、完整性：方案内容完整全面，对上述各项内容均有描述，得2分；缺1项，得1分；不提供不得分。 2、针对性：针对性强，得2分；每有一处缺陷的扣1分。 3、可实施性：可实施性强，得2分；每有一处缺陷的扣1分。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一、评审内容：响应人提供本项目质量保证措施，包括①工程质量目标②施工质量保证措施③施工质量管理与控制方案。 二、赋分标准： 1、完整性：方案内容完整全面，对上述各项内容均有描述，得3分；缺1项，得2分；缺2 项，得1分；不提供不得分。 2、针对性：针对性强，得1.5分；每有一处缺陷的扣0.5分。 3、可实施性：可实施性强，得1.5分；每有一处缺陷的扣0.5分。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一、评审内容：响应人提供本项目安全技术措施，包括①安全管理制度②安全责任归属划分③安全标识：安全警戒标语、施工人员安全警示服和安全帽穿配要求④安全教育培训。二、赋分标准： 1、完整性：方案内容完整全面，对上述各项内容均有描述，得 2 分；缺1 项，得 1.5 分；缺 2 项，得 1 分；缺 3 项，得 0.5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一、评审内容：响应人提供本项目文明施工措施，包括①成品保护措施和制度②施工现场的临时管理措施③文明施工保障措施④文物保护措施。 二、赋分标准： 1、完整性：方案内容完整全面，对上述各项内容均有描述，得 2 分；缺 1 项，得 1.5 分；缺 2 项，得 1分；缺 3 项，得 0.5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一、评审内容：响应人提供本项目环境保护措施，包括①环境保护管理体系②环保控制措施：污染物及废弃物的处理措施、噪音控制措施、防尘及扬尘的控制措施。 二、赋分标准： 1、完整性：方案内容完整全面，对上述各项内容均有描述，得 2 分；缺 1 项，得1分；不提供不得分。 2、针对性：针对性强，得 1 分；每有一处缺陷的扣0.5分。 3、可实施性：可实施性强，得 1 分；每有一处缺陷的扣0.5分。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项目部人员组织</w:t>
            </w:r>
          </w:p>
        </w:tc>
        <w:tc>
          <w:tcPr>
            <w:tcW w:type="dxa" w:w="2492"/>
          </w:tcPr>
          <w:p>
            <w:pPr>
              <w:pStyle w:val="null3"/>
            </w:pPr>
            <w:r>
              <w:rPr>
                <w:rFonts w:ascii="仿宋_GB2312" w:hAnsi="仿宋_GB2312" w:cs="仿宋_GB2312" w:eastAsia="仿宋_GB2312"/>
              </w:rPr>
              <w:t>针对本项目提供实施具体人员配置清单（技术负责人、施工员、质检员、安全员、材料员、预算员），包含：具体成员身份证、毕业证、岗位证书。提供以上清单中所有内容得6分，每少提供1人或提供人员资料不齐全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一、评审内容：响应人提供本项目的资源配置计划，包括①拟投入的主要施工机械设备计划②主要材料进场计划③劳动力投入计划。 二、赋分标准： 1、完整性：方案内容完整全面，对上述各项内容均有描述，得 3 分；缺 1 项，得 2 分；缺 2 项，得 1 分；不提供不得分。 2、针对性：针对性强，得 1.5分；每有一处缺陷的扣0.5分。 3、可实施性：可实施性强，得 1.5分；每有一处缺陷的扣0.5分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一、评审内容：响应人提供本项目的保修方案，包括①工程保修期②维护次数和维修费用③维修人员配备和服务措施④响应时间。 二、赋分标准： 1、完整性：方案内容完整全面，对上述各项内容均有描述，得 2 分；缺 1 项，得 1.5 分；缺 2 项，得 1 分；缺 3 项，得 0.5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供应商提供2023年6月至今（以合同签订时间为准）完成的类似项目业绩， 须提供中标通知书和合同复印件加盖公章， 每提供一份得2分， 此项最高得6分；未提供或提供不完整不得分。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有效供应商最低报价为基准价得30分，其他各供应商的报价得分按下列公式计算： 报价 得分=（基准价/磋商报价）×30。根据“最后报价”计算价格得分。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 程 施 工 合 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