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版本号：KY2026-1-71120260729002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城市地下空间工程智能建造与仿真教学平台采购项目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KY2026-1-711</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城市地下空间工程智能建造与仿真教学平台采购项目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KY2026-1-711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城市地下空间工程智能建造与仿真教学平台采购项目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城市地下空间工程智能建造与仿真教学平台是现在城市地下空间工程专业必备设备。具体内容详见谈判文件第三章。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采购包1（城市地下空间工程智能建造与仿真教学平台）：属于专门面向中小企业采购。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1、法定代表人授权委托书：法定代表人授权书及被授权人身份证明。（法定代表人直接谈判只须提供其身份证明）</w:t>
      </w:r>
    </w:p>
    <w:p>
      <w:pPr>
        <w:pStyle w:val="null3"/>
      </w:pPr>
      <w:r>
        <w:rPr>
          <w:rFonts w:ascii="仿宋_GB2312" w:hAnsi="仿宋_GB2312" w:cs="仿宋_GB2312" w:eastAsia="仿宋_GB2312"/>
        </w:rPr>
        <w:t>2、声明函：本项目专门面向中小企业采购，响应产品的制造商应为中型企业或小型、微型企业或监狱企业或残疾人福利性单位，供应商须提供声明函。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李成龙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温虎、刘金柯、卢韶华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银行账号：86113010750181502001451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说明：供应商成交后凭成交通知书向学校缴纳成交金额的 5 %作为履约保证金，待合同履约完毕后无息退还。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成交供应商应依据成交金额向采购代理机构交纳成交服务费，交费金额以国家计委颁布的《招标代理服务收费管理暂行办法》(计价格[2002]1980号)文件为依据计代理服务费，按照以下要求计： 1、项目金额在100万元及以下的，按中标金额全额计取； 2、项目金额超过100万元的，100万元及以下部分全额计取，超出部分按75%计取。 3、本项目代理服务费按货物计取。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西安建筑科技大学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陕西开源招标有限公司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按采购文件、响应文件及合同约定执行。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联系人：温虎、刘金柯</w:t>
      </w:r>
    </w:p>
    <w:p>
      <w:pPr>
        <w:pStyle w:val="null3"/>
      </w:pPr>
      <w:r>
        <w:rPr>
          <w:rFonts w:ascii="仿宋_GB2312" w:hAnsi="仿宋_GB2312" w:cs="仿宋_GB2312" w:eastAsia="仿宋_GB2312"/>
        </w:rPr>
        <w:t>联系电话：029-81206622-820</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具体采购内容详见技术要求。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城市地下空间工程智能建造与仿真教学平台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标的名称：城市地下空间工程智能建造与仿真教学平台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115"/>
              <w:gridCol w:w="2231"/>
            </w:tblGrid>
            <w:tr>
              <w:tc>
                <w:tcPr>
                  <w:tcW w:type="dxa" w:w="11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22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4"/>
                      <w:b/>
                    </w:rPr>
                    <w:t>采购清单及技术标准、配置要求：</w:t>
                  </w:r>
                </w:p>
                <w:p>
                  <w:pPr>
                    <w:pStyle w:val="null3"/>
                  </w:pPr>
                  <w:r>
                    <w:rPr>
                      <w:rFonts w:ascii="仿宋_GB2312" w:hAnsi="仿宋_GB2312" w:cs="仿宋_GB2312" w:eastAsia="仿宋_GB2312"/>
                      <w:sz w:val="24"/>
                      <w:b/>
                      <w:color w:val="000000"/>
                      <w:shd w:fill="FFFFFF" w:val="clear"/>
                    </w:rPr>
                    <w:t>一、</w:t>
                  </w:r>
                  <w:r>
                    <w:rPr>
                      <w:rFonts w:ascii="仿宋_GB2312" w:hAnsi="仿宋_GB2312" w:cs="仿宋_GB2312" w:eastAsia="仿宋_GB2312"/>
                      <w:sz w:val="24"/>
                      <w:b/>
                      <w:color w:val="000000"/>
                      <w:shd w:fill="FFFFFF" w:val="clear"/>
                    </w:rPr>
                    <w:t>采购清单</w:t>
                  </w:r>
                </w:p>
                <w:tbl>
                  <w:tblPr>
                    <w:tblBorders>
                      <w:top w:val="none" w:color="000000" w:sz="4"/>
                      <w:left w:val="none" w:color="000000" w:sz="4"/>
                      <w:bottom w:val="none" w:color="000000" w:sz="4"/>
                      <w:right w:val="none" w:color="000000" w:sz="4"/>
                      <w:insideH w:val="none"/>
                      <w:insideV w:val="none"/>
                    </w:tblBorders>
                  </w:tblPr>
                  <w:tblGrid>
                    <w:gridCol w:w="247"/>
                    <w:gridCol w:w="1213"/>
                    <w:gridCol w:w="267"/>
                    <w:gridCol w:w="288"/>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序号</w:t>
                        </w:r>
                      </w:p>
                    </w:tc>
                    <w:tc>
                      <w:tcPr>
                        <w:tcW w:type="dxa" w:w="121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产品名称</w:t>
                        </w:r>
                      </w:p>
                    </w:tc>
                    <w:tc>
                      <w:tcPr>
                        <w:tcW w:type="dxa" w:w="26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数量</w:t>
                        </w:r>
                      </w:p>
                    </w:tc>
                    <w:tc>
                      <w:tcPr>
                        <w:tcW w:type="dxa" w:w="28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shd w:fill="FFFFFF" w:val="clear"/>
                          </w:rPr>
                          <w:t>单位</w:t>
                        </w:r>
                      </w:p>
                    </w:tc>
                  </w:tr>
                  <w:tr>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21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城市地下空间工程智能建造与仿真教学平台</w:t>
                        </w:r>
                      </w:p>
                      <w:p>
                        <w:pPr>
                          <w:pStyle w:val="null3"/>
                          <w:jc w:val="center"/>
                        </w:pPr>
                        <w:r>
                          <w:rPr>
                            <w:rFonts w:ascii="仿宋_GB2312" w:hAnsi="仿宋_GB2312" w:cs="仿宋_GB2312" w:eastAsia="仿宋_GB2312"/>
                            <w:sz w:val="24"/>
                          </w:rPr>
                          <w:t>【核心产品】</w:t>
                        </w:r>
                      </w:p>
                    </w:tc>
                    <w:tc>
                      <w:tcPr>
                        <w:tcW w:type="dxa" w:w="26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28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r>
                </w:tbl>
                <w:p>
                  <w:pPr>
                    <w:pStyle w:val="null3"/>
                    <w:jc w:val="left"/>
                  </w:pPr>
                  <w:r>
                    <w:rPr>
                      <w:rFonts w:ascii="仿宋_GB2312" w:hAnsi="仿宋_GB2312" w:cs="仿宋_GB2312" w:eastAsia="仿宋_GB2312"/>
                      <w:sz w:val="24"/>
                      <w:b/>
                    </w:rPr>
                    <w:t>二、技术标准、配置要求</w:t>
                  </w:r>
                </w:p>
                <w:tbl>
                  <w:tblPr>
                    <w:tblBorders>
                      <w:top w:val="none" w:color="000000" w:sz="4"/>
                      <w:left w:val="none" w:color="000000" w:sz="4"/>
                      <w:bottom w:val="none" w:color="000000" w:sz="4"/>
                      <w:right w:val="none" w:color="000000" w:sz="4"/>
                      <w:insideH w:val="none"/>
                      <w:insideV w:val="none"/>
                    </w:tblBorders>
                  </w:tblPr>
                  <w:tblGrid>
                    <w:gridCol w:w="103"/>
                    <w:gridCol w:w="190"/>
                    <w:gridCol w:w="1114"/>
                    <w:gridCol w:w="328"/>
                    <w:gridCol w:w="141"/>
                    <w:gridCol w:w="135"/>
                  </w:tblGrid>
                  <w:tr>
                    <w:tc>
                      <w:tcPr>
                        <w:tcW w:type="dxa" w:w="103"/>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产品名称</w:t>
                        </w:r>
                      </w:p>
                    </w:tc>
                    <w:tc>
                      <w:tcPr>
                        <w:tcW w:type="dxa" w:w="11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技术标准</w:t>
                        </w:r>
                      </w:p>
                    </w:tc>
                    <w:tc>
                      <w:tcPr>
                        <w:tcW w:type="dxa" w:w="3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配置要求</w:t>
                        </w:r>
                      </w:p>
                    </w:tc>
                    <w:tc>
                      <w:tcPr>
                        <w:tcW w:type="dxa" w:w="1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p>
                    </w:tc>
                    <w:tc>
                      <w:tcPr>
                        <w:tcW w:type="dxa" w:w="13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备注</w:t>
                        </w:r>
                      </w:p>
                    </w:tc>
                  </w:tr>
                  <w:tr>
                    <w:tc>
                      <w:tcPr>
                        <w:tcW w:type="dxa" w:w="10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城市地下空间工程智能建造与仿真教学平台</w:t>
                        </w:r>
                      </w:p>
                    </w:tc>
                    <w:tc>
                      <w:tcPr>
                        <w:tcW w:type="dxa" w:w="11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120"/>
                          <w:jc w:val="both"/>
                        </w:pPr>
                        <w:r>
                          <w:rPr>
                            <w:rFonts w:ascii="仿宋_GB2312" w:hAnsi="仿宋_GB2312" w:cs="仿宋_GB2312" w:eastAsia="仿宋_GB2312"/>
                            <w:sz w:val="24"/>
                            <w:b/>
                          </w:rPr>
                          <w:t>一、城市地下空间智能建造与智慧运维教学系统</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、数字化扫描系统及三维建模系统</w:t>
                        </w:r>
                      </w:p>
                      <w:p>
                        <w:pPr>
                          <w:pStyle w:val="null3"/>
                          <w:ind w:firstLine="240"/>
                          <w:jc w:val="both"/>
                        </w:pPr>
                        <w:r>
                          <w:rPr>
                            <w:rFonts w:ascii="仿宋_GB2312" w:hAnsi="仿宋_GB2312" w:cs="仿宋_GB2312" w:eastAsia="仿宋_GB2312"/>
                            <w:sz w:val="24"/>
                            <w:color w:val="000000"/>
                          </w:rPr>
                          <w:t>1)</w:t>
                        </w:r>
                        <w:r>
                          <w:rPr>
                            <w:rFonts w:ascii="仿宋_GB2312" w:hAnsi="仿宋_GB2312" w:cs="仿宋_GB2312" w:eastAsia="仿宋_GB2312"/>
                            <w:sz w:val="24"/>
                          </w:rPr>
                          <w:t>测量方式：一体式无线设备，一台扫描仪即可完成“三维扫描-数据生成-网格优化”全系列工作。</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触摸屏：设备具有一体式触摸屏，尺寸≥6.4英寸，可通过触摸屏查看扫描、处理数据。</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设备内存：≥1TB（包含系统占用空间）。</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扫描方式：多线激光或红外光源移动拍照式，手持扫描。</w:t>
                        </w:r>
                      </w:p>
                      <w:p>
                        <w:pPr>
                          <w:pStyle w:val="null3"/>
                          <w:ind w:firstLine="240"/>
                          <w:jc w:val="both"/>
                        </w:pPr>
                        <w:r>
                          <w:rPr>
                            <w:rFonts w:ascii="仿宋_GB2312" w:hAnsi="仿宋_GB2312" w:cs="仿宋_GB2312" w:eastAsia="仿宋_GB2312"/>
                            <w:sz w:val="24"/>
                          </w:rPr>
                          <w:t>5)</w:t>
                        </w:r>
                        <w:r>
                          <w:rPr>
                            <w:rFonts w:ascii="仿宋_GB2312" w:hAnsi="仿宋_GB2312" w:cs="仿宋_GB2312" w:eastAsia="仿宋_GB2312"/>
                            <w:sz w:val="24"/>
                          </w:rPr>
                          <w:t>扫描精度：≤0.05mm。</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6)</w:t>
                        </w:r>
                        <w:r>
                          <w:rPr>
                            <w:rFonts w:ascii="仿宋_GB2312" w:hAnsi="仿宋_GB2312" w:cs="仿宋_GB2312" w:eastAsia="仿宋_GB2312"/>
                            <w:sz w:val="24"/>
                          </w:rPr>
                          <w:t xml:space="preserve">体积精度: </w:t>
                        </w:r>
                        <w:r>
                          <w:rPr>
                            <w:rFonts w:ascii="仿宋_GB2312" w:hAnsi="仿宋_GB2312" w:cs="仿宋_GB2312" w:eastAsia="仿宋_GB2312"/>
                            <w:sz w:val="24"/>
                          </w:rPr>
                          <w:t>≤</w:t>
                        </w:r>
                        <w:r>
                          <w:rPr>
                            <w:rFonts w:ascii="仿宋_GB2312" w:hAnsi="仿宋_GB2312" w:cs="仿宋_GB2312" w:eastAsia="仿宋_GB2312"/>
                            <w:sz w:val="24"/>
                          </w:rPr>
                          <w:t>0.04</w:t>
                        </w:r>
                        <w:r>
                          <w:rPr>
                            <w:rFonts w:ascii="仿宋_GB2312" w:hAnsi="仿宋_GB2312" w:cs="仿宋_GB2312" w:eastAsia="仿宋_GB2312"/>
                            <w:sz w:val="24"/>
                          </w:rPr>
                          <w:t>mm+</w:t>
                        </w:r>
                        <w:r>
                          <w:rPr>
                            <w:rFonts w:ascii="仿宋_GB2312" w:hAnsi="仿宋_GB2312" w:cs="仿宋_GB2312" w:eastAsia="仿宋_GB2312"/>
                            <w:sz w:val="24"/>
                          </w:rPr>
                          <w:t>0.06</w:t>
                        </w:r>
                        <w:r>
                          <w:rPr>
                            <w:rFonts w:ascii="仿宋_GB2312" w:hAnsi="仿宋_GB2312" w:cs="仿宋_GB2312" w:eastAsia="仿宋_GB2312"/>
                            <w:sz w:val="24"/>
                          </w:rPr>
                          <w:t>mm</w:t>
                        </w:r>
                        <w:r>
                          <w:rPr>
                            <w:rFonts w:ascii="仿宋_GB2312" w:hAnsi="仿宋_GB2312" w:cs="仿宋_GB2312" w:eastAsia="仿宋_GB2312"/>
                            <w:sz w:val="24"/>
                          </w:rPr>
                          <w:t>/m</w:t>
                        </w:r>
                        <w:r>
                          <w:rPr>
                            <w:rFonts w:ascii="仿宋_GB2312" w:hAnsi="仿宋_GB2312" w:cs="仿宋_GB2312" w:eastAsia="仿宋_GB2312"/>
                            <w:sz w:val="24"/>
                          </w:rPr>
                          <w:t>。</w:t>
                        </w:r>
                      </w:p>
                      <w:p>
                        <w:pPr>
                          <w:pStyle w:val="null3"/>
                          <w:ind w:firstLine="240"/>
                          <w:jc w:val="both"/>
                        </w:pPr>
                        <w:r>
                          <w:rPr>
                            <w:rFonts w:ascii="仿宋_GB2312" w:hAnsi="仿宋_GB2312" w:cs="仿宋_GB2312" w:eastAsia="仿宋_GB2312"/>
                            <w:sz w:val="24"/>
                          </w:rPr>
                          <w:t>7)</w:t>
                        </w:r>
                        <w:r>
                          <w:rPr>
                            <w:rFonts w:ascii="仿宋_GB2312" w:hAnsi="仿宋_GB2312" w:cs="仿宋_GB2312" w:eastAsia="仿宋_GB2312"/>
                            <w:sz w:val="24"/>
                          </w:rPr>
                          <w:t>空间点距：0.05mm～10mm可调。</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扫描速度：≥4,400,000点/s。</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9)</w:t>
                        </w:r>
                        <w:r>
                          <w:rPr>
                            <w:rFonts w:ascii="仿宋_GB2312" w:hAnsi="仿宋_GB2312" w:cs="仿宋_GB2312" w:eastAsia="仿宋_GB2312"/>
                            <w:sz w:val="24"/>
                          </w:rPr>
                          <w:t>扫描范围：静态扫描幅面≥1260mm × 1090mm。</w:t>
                        </w:r>
                      </w:p>
                      <w:p>
                        <w:pPr>
                          <w:pStyle w:val="null3"/>
                          <w:ind w:firstLine="240"/>
                          <w:jc w:val="both"/>
                        </w:pPr>
                        <w:r>
                          <w:rPr>
                            <w:rFonts w:ascii="仿宋_GB2312" w:hAnsi="仿宋_GB2312" w:cs="仿宋_GB2312" w:eastAsia="仿宋_GB2312"/>
                            <w:sz w:val="24"/>
                          </w:rPr>
                          <w:t>10)</w:t>
                        </w:r>
                        <w:r>
                          <w:rPr>
                            <w:rFonts w:ascii="仿宋_GB2312" w:hAnsi="仿宋_GB2312" w:cs="仿宋_GB2312" w:eastAsia="仿宋_GB2312"/>
                            <w:sz w:val="24"/>
                          </w:rPr>
                          <w:t>光源形式：≥38束交叉激光线，</w:t>
                        </w:r>
                        <w:r>
                          <w:rPr>
                            <w:rFonts w:ascii="仿宋_GB2312" w:hAnsi="仿宋_GB2312" w:cs="仿宋_GB2312" w:eastAsia="仿宋_GB2312"/>
                            <w:sz w:val="21"/>
                          </w:rPr>
                          <w:t>≥</w:t>
                        </w:r>
                        <w:r>
                          <w:rPr>
                            <w:rFonts w:ascii="仿宋_GB2312" w:hAnsi="仿宋_GB2312" w:cs="仿宋_GB2312" w:eastAsia="仿宋_GB2312"/>
                            <w:sz w:val="24"/>
                          </w:rPr>
                          <w:t>7</w:t>
                        </w:r>
                        <w:r>
                          <w:rPr>
                            <w:rFonts w:ascii="仿宋_GB2312" w:hAnsi="仿宋_GB2312" w:cs="仿宋_GB2312" w:eastAsia="仿宋_GB2312"/>
                            <w:sz w:val="24"/>
                          </w:rPr>
                          <w:t>束平行激光线，红外VCSEL光源。</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color w:val="000000"/>
                          </w:rPr>
                          <w:t>11)</w:t>
                        </w:r>
                        <w:r>
                          <w:rPr>
                            <w:rFonts w:ascii="仿宋_GB2312" w:hAnsi="仿宋_GB2312" w:cs="仿宋_GB2312" w:eastAsia="仿宋_GB2312"/>
                            <w:sz w:val="24"/>
                          </w:rPr>
                          <w:t>具备激光/红外不贴点扫描模式：无需标志点，通过被测物表面几何特征定位。</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color w:val="000000"/>
                          </w:rPr>
                          <w:t>12)</w:t>
                        </w:r>
                        <w:r>
                          <w:rPr>
                            <w:rFonts w:ascii="仿宋_GB2312" w:hAnsi="仿宋_GB2312" w:cs="仿宋_GB2312" w:eastAsia="仿宋_GB2312"/>
                            <w:sz w:val="24"/>
                          </w:rPr>
                          <w:t>纹理相机：≥500万像素，可直接获取彩色3D数据。</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color w:val="000000"/>
                          </w:rPr>
                          <w:t>13)</w:t>
                        </w:r>
                        <w:r>
                          <w:rPr>
                            <w:rFonts w:ascii="仿宋_GB2312" w:hAnsi="仿宋_GB2312" w:cs="仿宋_GB2312" w:eastAsia="仿宋_GB2312"/>
                            <w:sz w:val="24"/>
                          </w:rPr>
                          <w:t>质量色谱：扫描过程中通过彩色色谱对点云边缘数据质量实时评价，提醒工作人员对漏扫区域增补。</w:t>
                        </w:r>
                      </w:p>
                      <w:p>
                        <w:pPr>
                          <w:pStyle w:val="null3"/>
                          <w:ind w:firstLine="240"/>
                          <w:jc w:val="both"/>
                        </w:pPr>
                        <w:r>
                          <w:rPr>
                            <w:rFonts w:ascii="仿宋_GB2312" w:hAnsi="仿宋_GB2312" w:cs="仿宋_GB2312" w:eastAsia="仿宋_GB2312"/>
                            <w:sz w:val="24"/>
                            <w:color w:val="000000"/>
                          </w:rPr>
                          <w:t>14)</w:t>
                        </w:r>
                        <w:r>
                          <w:rPr>
                            <w:rFonts w:ascii="仿宋_GB2312" w:hAnsi="仿宋_GB2312" w:cs="仿宋_GB2312" w:eastAsia="仿宋_GB2312"/>
                            <w:sz w:val="24"/>
                          </w:rPr>
                          <w:t>自带热点：可以通过热点，直接和电脑进行无线连接。</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color w:val="000000"/>
                          </w:rPr>
                          <w:t>15)</w:t>
                        </w:r>
                        <w:r>
                          <w:rPr>
                            <w:rFonts w:ascii="仿宋_GB2312" w:hAnsi="仿宋_GB2312" w:cs="仿宋_GB2312" w:eastAsia="仿宋_GB2312"/>
                            <w:sz w:val="24"/>
                          </w:rPr>
                          <w:t>联机扫描：设备可以通过无线方式和PC端连接，扩展算力。</w:t>
                        </w:r>
                      </w:p>
                      <w:p>
                        <w:pPr>
                          <w:pStyle w:val="null3"/>
                          <w:ind w:firstLine="240"/>
                          <w:jc w:val="both"/>
                        </w:pPr>
                        <w:r>
                          <w:rPr>
                            <w:rFonts w:ascii="仿宋_GB2312" w:hAnsi="仿宋_GB2312" w:cs="仿宋_GB2312" w:eastAsia="仿宋_GB2312"/>
                            <w:sz w:val="24"/>
                            <w:color w:val="000000"/>
                          </w:rPr>
                          <w:t>16)</w:t>
                        </w:r>
                        <w:r>
                          <w:rPr>
                            <w:rFonts w:ascii="仿宋_GB2312" w:hAnsi="仿宋_GB2312" w:cs="仿宋_GB2312" w:eastAsia="仿宋_GB2312"/>
                            <w:sz w:val="24"/>
                          </w:rPr>
                          <w:t>电池：支持type c接口的移动电池供电，连续扫描模式下续航≥3小时。</w:t>
                        </w:r>
                      </w:p>
                      <w:p>
                        <w:pPr>
                          <w:pStyle w:val="null3"/>
                          <w:ind w:firstLine="240"/>
                          <w:jc w:val="both"/>
                        </w:pPr>
                        <w:r>
                          <w:rPr>
                            <w:rFonts w:ascii="仿宋_GB2312" w:hAnsi="仿宋_GB2312" w:cs="仿宋_GB2312" w:eastAsia="仿宋_GB2312"/>
                            <w:sz w:val="24"/>
                            <w:color w:val="000000"/>
                          </w:rPr>
                          <w:t>17)</w:t>
                        </w:r>
                        <w:r>
                          <w:rPr>
                            <w:rFonts w:ascii="仿宋_GB2312" w:hAnsi="仿宋_GB2312" w:cs="仿宋_GB2312" w:eastAsia="仿宋_GB2312"/>
                            <w:sz w:val="24"/>
                          </w:rPr>
                          <w:t>标志点转台套装组件：包含：6mm磁吸标志球、6mm磁吸标志点、磁吸标志卡、标志点立柱、300mm转台。</w:t>
                        </w:r>
                      </w:p>
                      <w:p>
                        <w:pPr>
                          <w:pStyle w:val="null3"/>
                          <w:ind w:firstLine="240"/>
                          <w:jc w:val="both"/>
                        </w:pPr>
                        <w:r>
                          <w:rPr>
                            <w:rFonts w:ascii="仿宋_GB2312" w:hAnsi="仿宋_GB2312" w:cs="仿宋_GB2312" w:eastAsia="仿宋_GB2312"/>
                            <w:sz w:val="24"/>
                            <w:color w:val="000000"/>
                          </w:rPr>
                          <w:t>18)</w:t>
                        </w:r>
                        <w:r>
                          <w:rPr>
                            <w:rFonts w:ascii="仿宋_GB2312" w:hAnsi="仿宋_GB2312" w:cs="仿宋_GB2312" w:eastAsia="仿宋_GB2312"/>
                            <w:sz w:val="24"/>
                          </w:rPr>
                          <w:t>具有CNAS认可的精度校准报告。</w:t>
                        </w:r>
                      </w:p>
                      <w:p>
                        <w:pPr>
                          <w:pStyle w:val="null3"/>
                          <w:ind w:firstLine="240"/>
                          <w:jc w:val="both"/>
                        </w:pPr>
                        <w:r>
                          <w:rPr>
                            <w:rFonts w:ascii="仿宋_GB2312" w:hAnsi="仿宋_GB2312" w:cs="仿宋_GB2312" w:eastAsia="仿宋_GB2312"/>
                            <w:sz w:val="24"/>
                            <w:color w:val="000000"/>
                          </w:rPr>
                          <w:t>19)</w:t>
                        </w:r>
                        <w:r>
                          <w:rPr>
                            <w:rFonts w:ascii="仿宋_GB2312" w:hAnsi="仿宋_GB2312" w:cs="仿宋_GB2312" w:eastAsia="仿宋_GB2312"/>
                            <w:sz w:val="24"/>
                          </w:rPr>
                          <w:t>具有EC国际电工委员会激光安全证书、CE证书。</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、3D打印系统</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适用材料:水泥基复合材料。</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最大打印尺寸：（长×宽×高）700mm×600mm×600mm。</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平面打印速度：0mm/s～80mm/s（可调）。</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垂直移动速度：0mm/s～30mm/s（可调）。</w:t>
                        </w:r>
                      </w:p>
                      <w:p>
                        <w:pPr>
                          <w:pStyle w:val="null3"/>
                          <w:ind w:firstLine="240"/>
                          <w:jc w:val="both"/>
                        </w:pPr>
                        <w:r>
                          <w:rPr>
                            <w:rFonts w:ascii="仿宋_GB2312" w:hAnsi="仿宋_GB2312" w:cs="仿宋_GB2312" w:eastAsia="仿宋_GB2312"/>
                            <w:sz w:val="24"/>
                          </w:rPr>
                          <w:t>5)</w:t>
                        </w:r>
                        <w:r>
                          <w:rPr>
                            <w:rFonts w:ascii="仿宋_GB2312" w:hAnsi="仿宋_GB2312" w:cs="仿宋_GB2312" w:eastAsia="仿宋_GB2312"/>
                            <w:sz w:val="24"/>
                          </w:rPr>
                          <w:t>运动机构重复定位精度：±0.05mm。</w:t>
                        </w:r>
                      </w:p>
                      <w:p>
                        <w:pPr>
                          <w:pStyle w:val="null3"/>
                          <w:ind w:firstLine="240"/>
                          <w:jc w:val="both"/>
                        </w:pPr>
                        <w:r>
                          <w:rPr>
                            <w:rFonts w:ascii="仿宋_GB2312" w:hAnsi="仿宋_GB2312" w:cs="仿宋_GB2312" w:eastAsia="仿宋_GB2312"/>
                            <w:sz w:val="24"/>
                          </w:rPr>
                          <w:t>6)</w:t>
                        </w:r>
                        <w:r>
                          <w:rPr>
                            <w:rFonts w:ascii="仿宋_GB2312" w:hAnsi="仿宋_GB2312" w:cs="仿宋_GB2312" w:eastAsia="仿宋_GB2312"/>
                            <w:sz w:val="24"/>
                          </w:rPr>
                          <w:t>打印喷头直径 10mm/15mm/55mm（其他尺寸可定制）。</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7)</w:t>
                        </w:r>
                        <w:r>
                          <w:rPr>
                            <w:rFonts w:ascii="仿宋_GB2312" w:hAnsi="仿宋_GB2312" w:cs="仿宋_GB2312" w:eastAsia="仿宋_GB2312"/>
                            <w:sz w:val="24"/>
                          </w:rPr>
                          <w:t>支持的输出文件格式  G-code。</w:t>
                        </w:r>
                      </w:p>
                      <w:p>
                        <w:pPr>
                          <w:pStyle w:val="null3"/>
                          <w:ind w:firstLine="240"/>
                          <w:jc w:val="both"/>
                        </w:pPr>
                        <w:r>
                          <w:rPr>
                            <w:rFonts w:ascii="仿宋_GB2312" w:hAnsi="仿宋_GB2312" w:cs="仿宋_GB2312" w:eastAsia="仿宋_GB2312"/>
                            <w:sz w:val="24"/>
                          </w:rPr>
                          <w:t>8)</w:t>
                        </w:r>
                        <w:r>
                          <w:rPr>
                            <w:rFonts w:ascii="仿宋_GB2312" w:hAnsi="仿宋_GB2312" w:cs="仿宋_GB2312" w:eastAsia="仿宋_GB2312"/>
                            <w:sz w:val="24"/>
                          </w:rPr>
                          <w:t>输入电压：220V±5%  50Hz。</w:t>
                        </w:r>
                      </w:p>
                      <w:p>
                        <w:pPr>
                          <w:pStyle w:val="null3"/>
                          <w:ind w:firstLine="240"/>
                          <w:jc w:val="both"/>
                        </w:pPr>
                        <w:r>
                          <w:rPr>
                            <w:rFonts w:ascii="仿宋_GB2312" w:hAnsi="仿宋_GB2312" w:cs="仿宋_GB2312" w:eastAsia="仿宋_GB2312"/>
                            <w:sz w:val="24"/>
                          </w:rPr>
                          <w:t>9)</w:t>
                        </w:r>
                        <w:r>
                          <w:rPr>
                            <w:rFonts w:ascii="仿宋_GB2312" w:hAnsi="仿宋_GB2312" w:cs="仿宋_GB2312" w:eastAsia="仿宋_GB2312"/>
                            <w:sz w:val="24"/>
                          </w:rPr>
                          <w:t>运行功率：4KW，支持持断点续打、打印暂停等操作。</w:t>
                        </w:r>
                      </w:p>
                      <w:p>
                        <w:pPr>
                          <w:pStyle w:val="null3"/>
                          <w:ind w:firstLine="240"/>
                          <w:jc w:val="both"/>
                        </w:pPr>
                        <w:r>
                          <w:rPr>
                            <w:rFonts w:ascii="仿宋_GB2312" w:hAnsi="仿宋_GB2312" w:cs="仿宋_GB2312" w:eastAsia="仿宋_GB2312"/>
                            <w:sz w:val="24"/>
                          </w:rPr>
                          <w:t>10)</w:t>
                        </w:r>
                        <w:r>
                          <w:rPr>
                            <w:rFonts w:ascii="仿宋_GB2312" w:hAnsi="仿宋_GB2312" w:cs="仿宋_GB2312" w:eastAsia="仿宋_GB2312"/>
                            <w:sz w:val="24"/>
                          </w:rPr>
                          <w:t>控制软件内嵌于控制系统、并可通过液晶触屏操作。</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11)</w:t>
                        </w:r>
                        <w:r>
                          <w:rPr>
                            <w:rFonts w:ascii="仿宋_GB2312" w:hAnsi="仿宋_GB2312" w:cs="仿宋_GB2312" w:eastAsia="仿宋_GB2312"/>
                            <w:sz w:val="24"/>
                          </w:rPr>
                          <w:t>系统限位报警和抱闸功能。</w:t>
                        </w:r>
                      </w:p>
                      <w:p>
                        <w:pPr>
                          <w:pStyle w:val="null3"/>
                          <w:ind w:firstLine="240"/>
                          <w:jc w:val="both"/>
                        </w:pPr>
                        <w:r>
                          <w:rPr>
                            <w:rFonts w:ascii="仿宋_GB2312" w:hAnsi="仿宋_GB2312" w:cs="仿宋_GB2312" w:eastAsia="仿宋_GB2312"/>
                            <w:sz w:val="24"/>
                          </w:rPr>
                          <w:t>12)</w:t>
                        </w:r>
                        <w:r>
                          <w:rPr>
                            <w:rFonts w:ascii="仿宋_GB2312" w:hAnsi="仿宋_GB2312" w:cs="仿宋_GB2312" w:eastAsia="仿宋_GB2312"/>
                            <w:sz w:val="24"/>
                          </w:rPr>
                          <w:t>系统主体结构采用高精度线性模组，低摩擦、耐久性好。</w:t>
                        </w:r>
                      </w:p>
                      <w:p>
                        <w:pPr>
                          <w:pStyle w:val="null3"/>
                          <w:ind w:firstLine="240"/>
                          <w:jc w:val="both"/>
                        </w:pPr>
                        <w:r>
                          <w:rPr>
                            <w:rFonts w:ascii="仿宋_GB2312" w:hAnsi="仿宋_GB2312" w:cs="仿宋_GB2312" w:eastAsia="仿宋_GB2312"/>
                            <w:sz w:val="24"/>
                          </w:rPr>
                          <w:t>13)</w:t>
                        </w:r>
                        <w:r>
                          <w:rPr>
                            <w:rFonts w:ascii="仿宋_GB2312" w:hAnsi="仿宋_GB2312" w:cs="仿宋_GB2312" w:eastAsia="仿宋_GB2312"/>
                            <w:sz w:val="24"/>
                          </w:rPr>
                          <w:t>采用伺服电机控制，性能稳定、定位精准。</w:t>
                        </w:r>
                      </w:p>
                      <w:p>
                        <w:pPr>
                          <w:pStyle w:val="null3"/>
                          <w:ind w:firstLine="240"/>
                          <w:jc w:val="both"/>
                        </w:pPr>
                        <w:r>
                          <w:rPr>
                            <w:rFonts w:ascii="仿宋_GB2312" w:hAnsi="仿宋_GB2312" w:cs="仿宋_GB2312" w:eastAsia="仿宋_GB2312"/>
                            <w:sz w:val="24"/>
                          </w:rPr>
                          <w:t>14)</w:t>
                        </w:r>
                        <w:r>
                          <w:rPr>
                            <w:rFonts w:ascii="仿宋_GB2312" w:hAnsi="仿宋_GB2312" w:cs="仿宋_GB2312" w:eastAsia="仿宋_GB2312"/>
                            <w:sz w:val="24"/>
                          </w:rPr>
                          <w:t>自带可移动试样平台，打印成品自由移动。</w:t>
                        </w:r>
                      </w:p>
                      <w:p>
                        <w:pPr>
                          <w:pStyle w:val="null3"/>
                          <w:jc w:val="both"/>
                        </w:pPr>
                        <w:r>
                          <w:rPr>
                            <w:rFonts w:ascii="仿宋_GB2312" w:hAnsi="仿宋_GB2312" w:cs="仿宋_GB2312" w:eastAsia="仿宋_GB2312"/>
                            <w:sz w:val="24"/>
                            <w:b/>
                          </w:rPr>
                          <w:t>二、岩土工程仿真实验平台</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、动态信号采集及分析系统</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）通道数：单套系统≥128通道。</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）输入方式DIF_DC，GND。</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）模数转换器：≥24位转换器。</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）应变测试仪器程控切换全桥、半桥、三线制1/4桥（120Ω和350Ω程控切换）；软件提供≥6种桥路连接方式的示意图，可选任意一个通道做补偿通道。</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5</w:t>
                        </w:r>
                        <w:r>
                          <w:rPr>
                            <w:rFonts w:ascii="仿宋_GB2312" w:hAnsi="仿宋_GB2312" w:cs="仿宋_GB2312" w:eastAsia="仿宋_GB2312"/>
                            <w:sz w:val="24"/>
                          </w:rPr>
                          <w:t>）所有通道同步采样≥5kHz,支持向下多档位切换。</w:t>
                        </w:r>
                      </w:p>
                      <w:p>
                        <w:pPr>
                          <w:pStyle w:val="null3"/>
                          <w:ind w:firstLine="240"/>
                          <w:jc w:val="both"/>
                        </w:pPr>
                        <w:r>
                          <w:rPr>
                            <w:rFonts w:ascii="仿宋_GB2312" w:hAnsi="仿宋_GB2312" w:cs="仿宋_GB2312" w:eastAsia="仿宋_GB2312"/>
                            <w:sz w:val="24"/>
                          </w:rPr>
                          <w:t>6</w:t>
                        </w:r>
                        <w:r>
                          <w:rPr>
                            <w:rFonts w:ascii="仿宋_GB2312" w:hAnsi="仿宋_GB2312" w:cs="仿宋_GB2312" w:eastAsia="仿宋_GB2312"/>
                            <w:sz w:val="24"/>
                          </w:rPr>
                          <w:t>）所有通道供桥电压2V、5V、10V分档切换，桥压精度≤0.1％。</w:t>
                        </w:r>
                      </w:p>
                      <w:p>
                        <w:pPr>
                          <w:pStyle w:val="null3"/>
                          <w:ind w:firstLine="240"/>
                          <w:jc w:val="both"/>
                        </w:pPr>
                        <w:r>
                          <w:rPr>
                            <w:rFonts w:ascii="仿宋_GB2312" w:hAnsi="仿宋_GB2312" w:cs="仿宋_GB2312" w:eastAsia="仿宋_GB2312"/>
                            <w:sz w:val="24"/>
                          </w:rPr>
                          <w:t>7</w:t>
                        </w:r>
                        <w:r>
                          <w:rPr>
                            <w:rFonts w:ascii="仿宋_GB2312" w:hAnsi="仿宋_GB2312" w:cs="仿宋_GB2312" w:eastAsia="仿宋_GB2312"/>
                            <w:sz w:val="24"/>
                          </w:rPr>
                          <w:t>）应变量程±50000με；应变示值误差±（0.2％red±2με）。</w:t>
                        </w:r>
                      </w:p>
                      <w:p>
                        <w:pPr>
                          <w:pStyle w:val="null3"/>
                          <w:ind w:firstLine="240"/>
                          <w:jc w:val="both"/>
                        </w:pPr>
                        <w:r>
                          <w:rPr>
                            <w:rFonts w:ascii="仿宋_GB2312" w:hAnsi="仿宋_GB2312" w:cs="仿宋_GB2312" w:eastAsia="仿宋_GB2312"/>
                            <w:sz w:val="24"/>
                          </w:rPr>
                          <w:t>8</w:t>
                        </w:r>
                        <w:r>
                          <w:rPr>
                            <w:rFonts w:ascii="仿宋_GB2312" w:hAnsi="仿宋_GB2312" w:cs="仿宋_GB2312" w:eastAsia="仿宋_GB2312"/>
                            <w:sz w:val="24"/>
                          </w:rPr>
                          <w:t>）配套含通道标识线缆，支持智能导线识别功能，提供≥5m/通道对应信号线，可在软件端实时识别对应的信号线及通道。</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9</w:t>
                        </w:r>
                        <w:r>
                          <w:rPr>
                            <w:rFonts w:ascii="仿宋_GB2312" w:hAnsi="仿宋_GB2312" w:cs="仿宋_GB2312" w:eastAsia="仿宋_GB2312"/>
                            <w:sz w:val="24"/>
                          </w:rPr>
                          <w:t>）结合控制软件能够测量长导线电阻并准确判断桥路的短路、开路等故障。</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10</w:t>
                        </w:r>
                        <w:r>
                          <w:rPr>
                            <w:rFonts w:ascii="仿宋_GB2312" w:hAnsi="仿宋_GB2312" w:cs="仿宋_GB2312" w:eastAsia="仿宋_GB2312"/>
                            <w:sz w:val="24"/>
                          </w:rPr>
                          <w:t>）提供第三方机构（通过CNAS认证）出具的校准证书。</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11</w:t>
                        </w:r>
                        <w:r>
                          <w:rPr>
                            <w:rFonts w:ascii="仿宋_GB2312" w:hAnsi="仿宋_GB2312" w:cs="仿宋_GB2312" w:eastAsia="仿宋_GB2312"/>
                            <w:sz w:val="24"/>
                          </w:rPr>
                          <w:t>）软件至少包含Excel、Matlab、Txt、UFF、Access、Word（活动报告）、bmp等格式输出，具有重采样、截取、删除、合并等功能。</w:t>
                        </w:r>
                      </w:p>
                      <w:p>
                        <w:pPr>
                          <w:pStyle w:val="null3"/>
                          <w:ind w:firstLine="240"/>
                          <w:jc w:val="both"/>
                        </w:pPr>
                        <w:r>
                          <w:rPr>
                            <w:rFonts w:ascii="仿宋_GB2312" w:hAnsi="仿宋_GB2312" w:cs="仿宋_GB2312" w:eastAsia="仿宋_GB2312"/>
                            <w:sz w:val="24"/>
                          </w:rPr>
                          <w:t>12</w:t>
                        </w:r>
                        <w:r>
                          <w:rPr>
                            <w:rFonts w:ascii="仿宋_GB2312" w:hAnsi="仿宋_GB2312" w:cs="仿宋_GB2312" w:eastAsia="仿宋_GB2312"/>
                            <w:sz w:val="24"/>
                          </w:rPr>
                          <w:t>）软件无加密狗，供标准二次开发接口。</w:t>
                        </w:r>
                      </w:p>
                      <w:p>
                        <w:pPr>
                          <w:pStyle w:val="null3"/>
                          <w:ind w:firstLine="240"/>
                          <w:jc w:val="both"/>
                        </w:pPr>
                        <w:r>
                          <w:rPr>
                            <w:rFonts w:ascii="仿宋_GB2312" w:hAnsi="仿宋_GB2312" w:cs="仿宋_GB2312" w:eastAsia="仿宋_GB2312"/>
                            <w:sz w:val="24"/>
                          </w:rPr>
                          <w:t>13</w:t>
                        </w:r>
                        <w:r>
                          <w:rPr>
                            <w:rFonts w:ascii="仿宋_GB2312" w:hAnsi="仿宋_GB2312" w:cs="仿宋_GB2312" w:eastAsia="仿宋_GB2312"/>
                            <w:sz w:val="24"/>
                          </w:rPr>
                          <w:t>）连续采集：连续稳定的测试分析280～800nm的光谱数据。</w:t>
                        </w:r>
                      </w:p>
                      <w:p>
                        <w:pPr>
                          <w:pStyle w:val="null3"/>
                          <w:ind w:firstLine="240"/>
                          <w:jc w:val="both"/>
                        </w:pPr>
                        <w:r>
                          <w:rPr>
                            <w:rFonts w:ascii="仿宋_GB2312" w:hAnsi="仿宋_GB2312" w:cs="仿宋_GB2312" w:eastAsia="仿宋_GB2312"/>
                            <w:sz w:val="24"/>
                          </w:rPr>
                          <w:t>14</w:t>
                        </w:r>
                        <w:r>
                          <w:rPr>
                            <w:rFonts w:ascii="仿宋_GB2312" w:hAnsi="仿宋_GB2312" w:cs="仿宋_GB2312" w:eastAsia="仿宋_GB2312"/>
                            <w:sz w:val="24"/>
                          </w:rPr>
                          <w:t>）设定采集：根据试验需求，设定参数采集。</w:t>
                        </w:r>
                      </w:p>
                      <w:p>
                        <w:pPr>
                          <w:pStyle w:val="null3"/>
                          <w:ind w:firstLine="240"/>
                          <w:jc w:val="both"/>
                        </w:pPr>
                        <w:r>
                          <w:rPr>
                            <w:rFonts w:ascii="仿宋_GB2312" w:hAnsi="仿宋_GB2312" w:cs="仿宋_GB2312" w:eastAsia="仿宋_GB2312"/>
                            <w:sz w:val="24"/>
                          </w:rPr>
                          <w:t>15</w:t>
                        </w:r>
                        <w:r>
                          <w:rPr>
                            <w:rFonts w:ascii="仿宋_GB2312" w:hAnsi="仿宋_GB2312" w:cs="仿宋_GB2312" w:eastAsia="仿宋_GB2312"/>
                            <w:sz w:val="24"/>
                          </w:rPr>
                          <w:t>）出发采集：支持外部光强触发。</w:t>
                        </w:r>
                      </w:p>
                      <w:p>
                        <w:pPr>
                          <w:pStyle w:val="null3"/>
                          <w:ind w:firstLine="240"/>
                          <w:jc w:val="both"/>
                        </w:pPr>
                        <w:r>
                          <w:rPr>
                            <w:rFonts w:ascii="仿宋_GB2312" w:hAnsi="仿宋_GB2312" w:cs="仿宋_GB2312" w:eastAsia="仿宋_GB2312"/>
                            <w:sz w:val="24"/>
                          </w:rPr>
                          <w:t>16</w:t>
                        </w:r>
                        <w:r>
                          <w:rPr>
                            <w:rFonts w:ascii="仿宋_GB2312" w:hAnsi="仿宋_GB2312" w:cs="仿宋_GB2312" w:eastAsia="仿宋_GB2312"/>
                            <w:sz w:val="24"/>
                          </w:rPr>
                          <w:t>）积分时间：范围0.05ms~60,000ms，可根据光强灵活调整，优化信噪比。</w:t>
                        </w:r>
                      </w:p>
                      <w:p>
                        <w:pPr>
                          <w:pStyle w:val="null3"/>
                          <w:ind w:firstLine="240"/>
                          <w:jc w:val="both"/>
                        </w:pPr>
                        <w:r>
                          <w:rPr>
                            <w:rFonts w:ascii="仿宋_GB2312" w:hAnsi="仿宋_GB2312" w:cs="仿宋_GB2312" w:eastAsia="仿宋_GB2312"/>
                            <w:sz w:val="24"/>
                          </w:rPr>
                          <w:t>17</w:t>
                        </w:r>
                        <w:r>
                          <w:rPr>
                            <w:rFonts w:ascii="仿宋_GB2312" w:hAnsi="仿宋_GB2312" w:cs="仿宋_GB2312" w:eastAsia="仿宋_GB2312"/>
                            <w:sz w:val="24"/>
                          </w:rPr>
                          <w:t>）平均次数：可设定1至多次平均，有效平滑随机噪声，提高数据稳定性；</w:t>
                        </w:r>
                      </w:p>
                      <w:p>
                        <w:pPr>
                          <w:pStyle w:val="null3"/>
                          <w:ind w:firstLine="240"/>
                          <w:jc w:val="both"/>
                        </w:pPr>
                        <w:r>
                          <w:rPr>
                            <w:rFonts w:ascii="仿宋_GB2312" w:hAnsi="仿宋_GB2312" w:cs="仿宋_GB2312" w:eastAsia="仿宋_GB2312"/>
                            <w:sz w:val="24"/>
                          </w:rPr>
                          <w:t>18</w:t>
                        </w:r>
                        <w:r>
                          <w:rPr>
                            <w:rFonts w:ascii="仿宋_GB2312" w:hAnsi="仿宋_GB2312" w:cs="仿宋_GB2312" w:eastAsia="仿宋_GB2312"/>
                            <w:sz w:val="24"/>
                          </w:rPr>
                          <w:t>）Boxcar平滑：具备提供光谱数据的横向平滑功能，提升信号质量。</w:t>
                        </w:r>
                      </w:p>
                      <w:p>
                        <w:pPr>
                          <w:pStyle w:val="null3"/>
                          <w:ind w:firstLine="240"/>
                          <w:jc w:val="both"/>
                        </w:pPr>
                        <w:r>
                          <w:rPr>
                            <w:rFonts w:ascii="仿宋_GB2312" w:hAnsi="仿宋_GB2312" w:cs="仿宋_GB2312" w:eastAsia="仿宋_GB2312"/>
                            <w:sz w:val="24"/>
                          </w:rPr>
                          <w:t>19</w:t>
                        </w:r>
                        <w:r>
                          <w:rPr>
                            <w:rFonts w:ascii="仿宋_GB2312" w:hAnsi="仿宋_GB2312" w:cs="仿宋_GB2312" w:eastAsia="仿宋_GB2312"/>
                            <w:sz w:val="24"/>
                          </w:rPr>
                          <w:t>）实时显示：支持光谱的实时动态显示，频率(360.0-1080 THz)、波数(12500-35710 cm⁻¹)之间切换。</w:t>
                        </w:r>
                      </w:p>
                      <w:p>
                        <w:pPr>
                          <w:pStyle w:val="null3"/>
                          <w:ind w:firstLine="240"/>
                          <w:jc w:val="both"/>
                        </w:pPr>
                        <w:r>
                          <w:rPr>
                            <w:rFonts w:ascii="仿宋_GB2312" w:hAnsi="仿宋_GB2312" w:cs="仿宋_GB2312" w:eastAsia="仿宋_GB2312"/>
                            <w:sz w:val="24"/>
                          </w:rPr>
                          <w:t>20</w:t>
                        </w:r>
                        <w:r>
                          <w:rPr>
                            <w:rFonts w:ascii="仿宋_GB2312" w:hAnsi="仿宋_GB2312" w:cs="仿宋_GB2312" w:eastAsia="仿宋_GB2312"/>
                            <w:sz w:val="24"/>
                          </w:rPr>
                          <w:t>）数学运算：支持光谱的叠加、减背景、参考光校正等。</w:t>
                        </w:r>
                      </w:p>
                      <w:p>
                        <w:pPr>
                          <w:pStyle w:val="null3"/>
                          <w:ind w:firstLine="240"/>
                          <w:jc w:val="both"/>
                        </w:pPr>
                        <w:r>
                          <w:rPr>
                            <w:rFonts w:ascii="仿宋_GB2312" w:hAnsi="仿宋_GB2312" w:cs="仿宋_GB2312" w:eastAsia="仿宋_GB2312"/>
                            <w:sz w:val="24"/>
                          </w:rPr>
                          <w:t>21</w:t>
                        </w:r>
                        <w:r>
                          <w:rPr>
                            <w:rFonts w:ascii="仿宋_GB2312" w:hAnsi="仿宋_GB2312" w:cs="仿宋_GB2312" w:eastAsia="仿宋_GB2312"/>
                            <w:sz w:val="24"/>
                          </w:rPr>
                          <w:t>）测量模式：支持直接强度、透射率、吸收率、反射率等多种测量模式，并自动计算。</w:t>
                        </w:r>
                      </w:p>
                      <w:p>
                        <w:pPr>
                          <w:pStyle w:val="null3"/>
                          <w:ind w:firstLine="240"/>
                          <w:jc w:val="both"/>
                        </w:pPr>
                        <w:r>
                          <w:rPr>
                            <w:rFonts w:ascii="仿宋_GB2312" w:hAnsi="仿宋_GB2312" w:cs="仿宋_GB2312" w:eastAsia="仿宋_GB2312"/>
                            <w:sz w:val="24"/>
                          </w:rPr>
                          <w:t>22</w:t>
                        </w:r>
                        <w:r>
                          <w:rPr>
                            <w:rFonts w:ascii="仿宋_GB2312" w:hAnsi="仿宋_GB2312" w:cs="仿宋_GB2312" w:eastAsia="仿宋_GB2312"/>
                            <w:sz w:val="24"/>
                          </w:rPr>
                          <w:t>）自动/手动寻峰、寻谷，可设定最小峰高（百分比）等判断标准。</w:t>
                        </w:r>
                      </w:p>
                      <w:p>
                        <w:pPr>
                          <w:pStyle w:val="null3"/>
                          <w:ind w:firstLine="240"/>
                          <w:jc w:val="both"/>
                        </w:pPr>
                        <w:r>
                          <w:rPr>
                            <w:rFonts w:ascii="仿宋_GB2312" w:hAnsi="仿宋_GB2312" w:cs="仿宋_GB2312" w:eastAsia="仿宋_GB2312"/>
                            <w:sz w:val="24"/>
                          </w:rPr>
                          <w:t>23</w:t>
                        </w:r>
                        <w:r>
                          <w:rPr>
                            <w:rFonts w:ascii="仿宋_GB2312" w:hAnsi="仿宋_GB2312" w:cs="仿宋_GB2312" w:eastAsia="仿宋_GB2312"/>
                            <w:sz w:val="24"/>
                          </w:rPr>
                          <w:t>）全高半宽测量：自动计算并显示峰值点的半高全宽值。</w:t>
                        </w:r>
                      </w:p>
                      <w:p>
                        <w:pPr>
                          <w:pStyle w:val="null3"/>
                          <w:ind w:firstLine="240"/>
                          <w:jc w:val="both"/>
                        </w:pPr>
                        <w:r>
                          <w:rPr>
                            <w:rFonts w:ascii="仿宋_GB2312" w:hAnsi="仿宋_GB2312" w:cs="仿宋_GB2312" w:eastAsia="仿宋_GB2312"/>
                            <w:sz w:val="24"/>
                          </w:rPr>
                          <w:t>24</w:t>
                        </w:r>
                        <w:r>
                          <w:rPr>
                            <w:rFonts w:ascii="仿宋_GB2312" w:hAnsi="仿宋_GB2312" w:cs="仿宋_GB2312" w:eastAsia="仿宋_GB2312"/>
                            <w:sz w:val="24"/>
                          </w:rPr>
                          <w:t>）峰列表管理：显示所有峰的波长、强度、半峰全宽信息，支持导出至Excel。</w:t>
                        </w:r>
                      </w:p>
                      <w:p>
                        <w:pPr>
                          <w:pStyle w:val="null3"/>
                          <w:jc w:val="both"/>
                        </w:pPr>
                        <w:r>
                          <w:rPr>
                            <w:rFonts w:ascii="仿宋_GB2312" w:hAnsi="仿宋_GB2312" w:cs="仿宋_GB2312" w:eastAsia="仿宋_GB2312"/>
                            <w:sz w:val="24"/>
                            <w:b/>
                          </w:rPr>
                          <w:t>2</w:t>
                        </w:r>
                        <w:r>
                          <w:rPr>
                            <w:rFonts w:ascii="仿宋_GB2312" w:hAnsi="仿宋_GB2312" w:cs="仿宋_GB2312" w:eastAsia="仿宋_GB2312"/>
                            <w:sz w:val="24"/>
                            <w:b/>
                          </w:rPr>
                          <w:t>、岩土工程仿真实验平台</w:t>
                        </w:r>
                      </w:p>
                      <w:p>
                        <w:pPr>
                          <w:pStyle w:val="null3"/>
                          <w:ind w:firstLine="240"/>
                          <w:jc w:val="both"/>
                        </w:pPr>
                        <w:r>
                          <w:rPr>
                            <w:rFonts w:ascii="仿宋_GB2312" w:hAnsi="仿宋_GB2312" w:cs="仿宋_GB2312" w:eastAsia="仿宋_GB2312"/>
                            <w:sz w:val="24"/>
                          </w:rPr>
                          <w:t>1)</w:t>
                        </w:r>
                        <w:r>
                          <w:rPr>
                            <w:rFonts w:ascii="仿宋_GB2312" w:hAnsi="仿宋_GB2312" w:cs="仿宋_GB2312" w:eastAsia="仿宋_GB2312"/>
                            <w:sz w:val="24"/>
                          </w:rPr>
                          <w:t>颗粒流岩土力学计算分析软件包，用于模拟任意形状、大小的二维圆盘或三维球体集合体的运行及其相互作用。除了模拟大体积流动和混合材料力学研究，程序更适合有关固体材料中细观/宏观裂纹扩展、破坏累积并断裂、破坏冲击和微震响应等课题的研究。</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2)</w:t>
                        </w:r>
                        <w:r>
                          <w:rPr>
                            <w:rFonts w:ascii="仿宋_GB2312" w:hAnsi="仿宋_GB2312" w:cs="仿宋_GB2312" w:eastAsia="仿宋_GB2312"/>
                            <w:sz w:val="24"/>
                          </w:rPr>
                          <w:t>材料的属性定义可以具体到单个颗粒，允许材料属性甚至颗粒大小分布遵守一定的分布规律，如均匀分布或高斯分布等。</w:t>
                        </w:r>
                      </w:p>
                      <w:p>
                        <w:pPr>
                          <w:pStyle w:val="null3"/>
                          <w:ind w:firstLine="240"/>
                          <w:jc w:val="both"/>
                        </w:pPr>
                        <w:r>
                          <w:rPr>
                            <w:rFonts w:ascii="仿宋_GB2312" w:hAnsi="仿宋_GB2312" w:cs="仿宋_GB2312" w:eastAsia="仿宋_GB2312"/>
                            <w:sz w:val="24"/>
                          </w:rPr>
                          <w:t>3)</w:t>
                        </w:r>
                        <w:r>
                          <w:rPr>
                            <w:rFonts w:ascii="仿宋_GB2312" w:hAnsi="仿宋_GB2312" w:cs="仿宋_GB2312" w:eastAsia="仿宋_GB2312"/>
                            <w:sz w:val="24"/>
                          </w:rPr>
                          <w:t>“超单元”技术支持通过叠加若干‘奴化’颗粒形成颗粒组，“超单元”技术允许用户严格遵循工程材料的真实矿物组成、形状建立颗粒流模型。</w:t>
                        </w:r>
                      </w:p>
                      <w:p>
                        <w:pPr>
                          <w:pStyle w:val="null3"/>
                          <w:ind w:firstLine="240"/>
                          <w:jc w:val="both"/>
                        </w:pPr>
                        <w:r>
                          <w:rPr>
                            <w:rFonts w:ascii="仿宋_GB2312" w:hAnsi="仿宋_GB2312" w:cs="仿宋_GB2312" w:eastAsia="仿宋_GB2312"/>
                            <w:sz w:val="24"/>
                          </w:rPr>
                          <w:t>4)</w:t>
                        </w:r>
                        <w:r>
                          <w:rPr>
                            <w:rFonts w:ascii="仿宋_GB2312" w:hAnsi="仿宋_GB2312" w:cs="仿宋_GB2312" w:eastAsia="仿宋_GB2312"/>
                            <w:sz w:val="24"/>
                          </w:rPr>
                          <w:t>具有二次开发功能。内置程序编译工具FISH语言，用于程序配置、模型控制高级接触模型包括：光滑节理模型、平节理模型。除此之外，程序为自定义接触本构模型提供了开发接口。</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5)</w:t>
                        </w:r>
                        <w:r>
                          <w:rPr>
                            <w:rFonts w:ascii="仿宋_GB2312" w:hAnsi="仿宋_GB2312" w:cs="仿宋_GB2312" w:eastAsia="仿宋_GB2312"/>
                            <w:sz w:val="24"/>
                          </w:rPr>
                          <w:t>可与连续介质岩石力学计算软件包FLAC3D耦合使用。</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6)</w:t>
                        </w:r>
                        <w:r>
                          <w:rPr>
                            <w:rFonts w:ascii="仿宋_GB2312" w:hAnsi="仿宋_GB2312" w:cs="仿宋_GB2312" w:eastAsia="仿宋_GB2312"/>
                            <w:sz w:val="24"/>
                          </w:rPr>
                          <w:t>在整个求解时间域，可对任意变量的力学响应进行监测/记录。同时根据功能平衡关系，可准确求解系统能量及其变化。</w:t>
                        </w:r>
                      </w:p>
                      <w:p>
                        <w:pPr>
                          <w:pStyle w:val="null3"/>
                          <w:ind w:firstLine="240"/>
                          <w:jc w:val="both"/>
                        </w:pPr>
                        <w:r>
                          <w:rPr>
                            <w:rFonts w:ascii="仿宋_GB2312" w:hAnsi="仿宋_GB2312" w:cs="仿宋_GB2312" w:eastAsia="仿宋_GB2312"/>
                            <w:sz w:val="24"/>
                          </w:rPr>
                          <w:t>7)</w:t>
                        </w:r>
                        <w:r>
                          <w:rPr>
                            <w:rFonts w:ascii="仿宋_GB2312" w:hAnsi="仿宋_GB2312" w:cs="仿宋_GB2312" w:eastAsia="仿宋_GB2312"/>
                            <w:sz w:val="24"/>
                          </w:rPr>
                          <w:t>模块包括二维及三维程序的基本模块、热力学模块、本构自定义模块等。</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8)</w:t>
                        </w:r>
                        <w:r>
                          <w:rPr>
                            <w:rFonts w:ascii="仿宋_GB2312" w:hAnsi="仿宋_GB2312" w:cs="仿宋_GB2312" w:eastAsia="仿宋_GB2312"/>
                            <w:sz w:val="24"/>
                          </w:rPr>
                          <w:t>程序提供静力、施工阶段、动力、边坡、动静耦合、固结、热传递、热应力、渗流-热应力分析。</w:t>
                        </w:r>
                      </w:p>
                      <w:p>
                        <w:pPr>
                          <w:pStyle w:val="null3"/>
                          <w:ind w:firstLine="240"/>
                          <w:jc w:val="both"/>
                        </w:pPr>
                        <w:r>
                          <w:rPr>
                            <w:rFonts w:ascii="仿宋_GB2312" w:hAnsi="仿宋_GB2312" w:cs="仿宋_GB2312" w:eastAsia="仿宋_GB2312"/>
                            <w:sz w:val="24"/>
                          </w:rPr>
                          <w:t>9)</w:t>
                        </w:r>
                        <w:r>
                          <w:rPr>
                            <w:rFonts w:ascii="仿宋_GB2312" w:hAnsi="仿宋_GB2312" w:cs="仿宋_GB2312" w:eastAsia="仿宋_GB2312"/>
                            <w:sz w:val="24"/>
                          </w:rPr>
                          <w:t>土体本构类型丰富，包含莫尔-库伦、修正莫尔-库伦（可考虑先期固结压力）、修正剑桥-粘土、邓肯-张、Jardine、日本电力中央研究所（D-min）、硬化土、硬化土（小效应刚度）等常用本构并支持用户自定义；自带修正UBCSAND模型、 PM4Sand、NorSand、Bowl、GHE-S、 Hardin Drnevich、Ramberg Osgood、CWFS、 S-CLAY1S、日本动力非线性分析等高级本构,支持动力本构模型参数拟合功能。</w:t>
                        </w:r>
                      </w:p>
                      <w:p>
                        <w:pPr>
                          <w:pStyle w:val="null3"/>
                          <w:ind w:firstLine="240"/>
                          <w:jc w:val="both"/>
                        </w:pPr>
                        <w:r>
                          <w:rPr>
                            <w:rFonts w:ascii="仿宋_GB2312" w:hAnsi="仿宋_GB2312" w:cs="仿宋_GB2312" w:eastAsia="仿宋_GB2312"/>
                            <w:sz w:val="24"/>
                          </w:rPr>
                          <w:t>10)</w:t>
                        </w:r>
                        <w:r>
                          <w:rPr>
                            <w:rFonts w:ascii="仿宋_GB2312" w:hAnsi="仿宋_GB2312" w:cs="仿宋_GB2312" w:eastAsia="仿宋_GB2312"/>
                            <w:sz w:val="24"/>
                          </w:rPr>
                          <w:t>几何建模方便，支持可导入钻孔数据或地形等高线图，快速生成复杂地形地貌。支持GTS模型与Gen、Civil等产品互导。</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11)</w:t>
                        </w:r>
                        <w:r>
                          <w:rPr>
                            <w:rFonts w:ascii="仿宋_GB2312" w:hAnsi="仿宋_GB2312" w:cs="仿宋_GB2312" w:eastAsia="仿宋_GB2312"/>
                            <w:sz w:val="24"/>
                          </w:rPr>
                          <w:t>软件单元类型丰富，包括桩、土工格栅、接触、弹簧、板、实体、防渗墙、无限元、自由场、虚拟梁、测量板、液体晃动等单元类型；可考虑结构单元的非弹性铰模型，桁架和梁单元不需要节点耦合；结构单元可自定义复杂截面；可对梁、板单端部自由度释放；包含混凝土和钢材参数数据库，支持实体内力输出单元。</w:t>
                        </w:r>
                      </w:p>
                      <w:p>
                        <w:pPr>
                          <w:pStyle w:val="null3"/>
                          <w:ind w:firstLine="240"/>
                          <w:jc w:val="both"/>
                        </w:pPr>
                        <w:r>
                          <w:rPr>
                            <w:rFonts w:ascii="仿宋_GB2312" w:hAnsi="仿宋_GB2312" w:cs="仿宋_GB2312" w:eastAsia="仿宋_GB2312"/>
                            <w:sz w:val="24"/>
                          </w:rPr>
                          <w:t>12)</w:t>
                        </w:r>
                        <w:r>
                          <w:rPr>
                            <w:rFonts w:ascii="仿宋_GB2312" w:hAnsi="仿宋_GB2312" w:cs="仿宋_GB2312" w:eastAsia="仿宋_GB2312"/>
                            <w:sz w:val="24"/>
                          </w:rPr>
                          <w:t>荷载和边界条件丰富，包括集中力、温度荷载、收缩荷载、固定应变荷载、初始平衡力、粘弹性边界等，自动生成静力、动力边界。</w:t>
                        </w:r>
                      </w:p>
                      <w:p>
                        <w:pPr>
                          <w:pStyle w:val="null3"/>
                          <w:ind w:firstLine="240"/>
                          <w:jc w:val="both"/>
                        </w:pPr>
                        <w:r>
                          <w:rPr>
                            <w:rFonts w:ascii="仿宋_GB2312" w:hAnsi="仿宋_GB2312" w:cs="仿宋_GB2312" w:eastAsia="仿宋_GB2312"/>
                            <w:sz w:val="24"/>
                          </w:rPr>
                          <w:t>13)</w:t>
                        </w:r>
                        <w:r>
                          <w:rPr>
                            <w:rFonts w:ascii="仿宋_GB2312" w:hAnsi="仿宋_GB2312" w:cs="仿宋_GB2312" w:eastAsia="仿宋_GB2312"/>
                            <w:sz w:val="24"/>
                          </w:rPr>
                          <w:t>衬砌设计功能内嵌《公路隧道设计规范第一册土建工程》（JTG3370.1-2018）及《铁路隧道设计规范》（TB 10003-2016）规范；可对素混凝土结构、砌体结构进行强度安全验算；可对钢筋混凝土结构进行抗弯强度、抗压强度、裂缝验算以及钢筋面积估算，并生成详细的计算书。</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14)</w:t>
                        </w:r>
                        <w:r>
                          <w:rPr>
                            <w:rFonts w:ascii="仿宋_GB2312" w:hAnsi="仿宋_GB2312" w:cs="仿宋_GB2312" w:eastAsia="仿宋_GB2312"/>
                            <w:sz w:val="24"/>
                          </w:rPr>
                          <w:t>包含锚建模助手、隧道建模助手、土工试验助手等工具；具有土体材料数据库，非饱和土土水特征曲线、动力非线性特性数据库，常用爆破荷载、地震波数据、人工地震波生成器等数据功能，可根据经验公式，自动生成人工地震波荷载、爆破荷载、列车移动荷载。</w:t>
                        </w:r>
                        <w:r>
                          <w:rPr>
                            <w:rFonts w:ascii="仿宋_GB2312" w:hAnsi="仿宋_GB2312" w:cs="仿宋_GB2312" w:eastAsia="仿宋_GB2312"/>
                            <w:sz w:val="24"/>
                            <w:b/>
                          </w:rPr>
                          <w:t>（提供佐证材料）</w:t>
                        </w:r>
                      </w:p>
                      <w:p>
                        <w:pPr>
                          <w:pStyle w:val="null3"/>
                          <w:ind w:firstLine="240"/>
                          <w:jc w:val="both"/>
                        </w:pPr>
                        <w:r>
                          <w:rPr>
                            <w:rFonts w:ascii="仿宋_GB2312" w:hAnsi="仿宋_GB2312" w:cs="仿宋_GB2312" w:eastAsia="仿宋_GB2312"/>
                            <w:sz w:val="24"/>
                          </w:rPr>
                          <w:t>15)</w:t>
                        </w:r>
                        <w:r>
                          <w:rPr>
                            <w:rFonts w:ascii="仿宋_GB2312" w:hAnsi="仿宋_GB2312" w:cs="仿宋_GB2312" w:eastAsia="仿宋_GB2312"/>
                            <w:sz w:val="24"/>
                          </w:rPr>
                          <w:t>软件后处理功能强大，结果可以用云图、表格、图片、动画、标注、3D PDF等多种形式呈现，可以生成包含材料数据、模型图、表格结果、图形结果的计算报告书功能。</w:t>
                        </w:r>
                      </w:p>
                      <w:p>
                        <w:pPr>
                          <w:pStyle w:val="null3"/>
                          <w:jc w:val="both"/>
                        </w:pPr>
                      </w:p>
                    </w:tc>
                    <w:tc>
                      <w:tcPr>
                        <w:tcW w:type="dxa" w:w="3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、数字化扫描系统及三维建模系统：不低于4,400,000点/秒。</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、3D打印系统：水泥基复合材料，具有两种材料切换打印功能。</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、动态信号采集及分析系统：单套系统不低于128通道；输入方式DIF_DC，GND。</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、岩土工程仿真实验平台：颗粒流岩土力学计算分析软件包，可用于模拟任意性状、大小的二维圆盘或三维球体集合体的运行及其相互作用。</w:t>
                        </w:r>
                      </w:p>
                    </w:tc>
                    <w:tc>
                      <w:tcPr>
                        <w:tcW w:type="dxa" w:w="14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pPr>
                  <w:r>
                    <w:rPr>
                      <w:rFonts w:ascii="仿宋_GB2312" w:hAnsi="仿宋_GB2312" w:cs="仿宋_GB2312" w:eastAsia="仿宋_GB2312"/>
                      <w:sz w:val="24"/>
                      <w:b/>
                    </w:rPr>
                    <w:t>备注：</w:t>
                  </w:r>
                </w:p>
                <w:p>
                  <w:pPr>
                    <w:pStyle w:val="null3"/>
                  </w:pPr>
                  <w:r>
                    <w:rPr>
                      <w:rFonts w:ascii="仿宋_GB2312" w:hAnsi="仿宋_GB2312" w:cs="仿宋_GB2312" w:eastAsia="仿宋_GB2312"/>
                      <w:sz w:val="24"/>
                      <w:b/>
                    </w:rPr>
                    <w:t>1</w:t>
                  </w:r>
                  <w:r>
                    <w:rPr>
                      <w:rFonts w:ascii="仿宋_GB2312" w:hAnsi="仿宋_GB2312" w:cs="仿宋_GB2312" w:eastAsia="仿宋_GB2312"/>
                      <w:sz w:val="24"/>
                      <w:b/>
                    </w:rPr>
                    <w:t>、</w:t>
                  </w:r>
                  <w:r>
                    <w:rPr>
                      <w:rFonts w:ascii="仿宋_GB2312" w:hAnsi="仿宋_GB2312" w:cs="仿宋_GB2312" w:eastAsia="仿宋_GB2312"/>
                      <w:sz w:val="24"/>
                      <w:b/>
                      <w:color w:val="000000"/>
                    </w:rPr>
                    <w:t>所有</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不允许负偏离，任意一项负偏离按无效文件处理。需提供佐证材料的</w:t>
                  </w:r>
                  <w:r>
                    <w:rPr>
                      <w:rFonts w:ascii="仿宋_GB2312" w:hAnsi="仿宋_GB2312" w:cs="仿宋_GB2312" w:eastAsia="仿宋_GB2312"/>
                      <w:sz w:val="24"/>
                      <w:b/>
                      <w:color w:val="000000"/>
                    </w:rPr>
                    <w:t>技术参数与性能指标，</w:t>
                  </w:r>
                  <w:r>
                    <w:rPr>
                      <w:rFonts w:ascii="仿宋_GB2312" w:hAnsi="仿宋_GB2312" w:cs="仿宋_GB2312" w:eastAsia="仿宋_GB2312"/>
                      <w:sz w:val="24"/>
                      <w:b/>
                      <w:color w:val="000000"/>
                    </w:rPr>
                    <w:t>佐证材料包括但不限于产品彩页、厂家盖章出具的技术白皮书、官网截图等（技术要求中有佐证要求的以技术要求为准）。未提供或提供的佐证材料低于文件规定的相应技术参数时视为负偏离。</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交货期：合同签订之日起 90 日历日内完成交付、安装及调试、验收等工作。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西安建筑科技大学雁塔校区土木楼负一楼大实验室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其他，签订合同后15日内，乙方提供经甲方认可的合同金额100%的预付款保函或双方认可的其他担保措施，达到付款条件起10个工作日内，支付合同总金额的100.0%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1.2技术验收是指由使用单位依据合同技术附件、招投标文件及产品出厂的主要技术指标，对仪器设备的各项功能进行验收。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1、项目质保期：自验收合格之日起计算，质保期1 年。 2、售后服务响应时间（质保期内）：（1）在质保期内，产品一旦发生质量问题，成交供应商需要在4小时内对故障做出响应，8小时内明确故障原因，如有必要厂家维修工程师在48小时内到用户现场进行维修，3天内修好。（2）质保期外，成交供应商在接到采购人故障通知后优先安排维修人员到达现场进行维修服务。质保期外只收取零备件成本费用。 3、培训服务要求：成交供应商须安排厂家工程师对所供产品进行安装、调试和操作培训，并免费对采购人操作人员进行常规设备操作、故障排除、设备维护保养培训。</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成交）结果发布后，中标（成交）供应商在2个工作日内向采购代理机构提供一正一副（和上传文件保持一致的）、电子版壹份（U盘壹份注明单位名称）,纸质投标（响应）文件用于备案及档案保存。纸质谈判响应文件正副本分别胶装（纸质谈判响应文件建议采用双面打印）。 2、保证金的退还：自成交通知书发出之日起5个工作日内退还未成交供应商的谈判保证金,自采购合同签订之日起5个工作日内退还成交供应商的谈判保证金。 3、采购人应按照采购文件和成交供应商响应文件，在成交通知书发出之日起25日内签订合同。 4、本项目谈判报价包括设备配套固定件、安装与调试。 5、供应商所投产品为成熟商业化产品，不接受处于科研阶段或需定制的产品。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①有效的主体资格证明：具有独立承担民事责任能力的法人、其他组织或自然人，并出具合法有效的营业执照或事业单位法人证书等国家规定的相关证明，自然人参与的提供其身份证明。 ②税收缴纳证明：提供2025年7月至今已缴纳至少一个月的依法缴纳税款的相关凭据（时间以税款所属日期为准），凭据应有税务机关或代收机关的公章或业务专用章。依法免税或无须缴纳税款的投标人，应提供相关证明文件。 ③社会保障资金缴存证明：提供2025年7月至今已缴存的至少一个月的社会保障资金缴存单据或社保机构开具的社会保险参保缴费情况证明，依法不需要缴纳社会保障资金的单位应提供相关证明材料。 ④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 ⑤承诺函：提供具有履行合同所必需的设备和专业技术能力的承诺函。 注：供应商需在项目电子化交易系统中上传①-⑤项相关证明文件并进行电子签章。</w:t>
            </w:r>
          </w:p>
        </w:tc>
        <w:tc>
          <w:tcPr>
            <w:tcW w:type="dxa" w:w="1661"/>
          </w:tcPr>
          <w:p>
            <w:pPr>
              <w:pStyle w:val="null3"/>
            </w:pPr>
            <w:r>
              <w:rPr>
                <w:rFonts w:ascii="仿宋_GB2312" w:hAnsi="仿宋_GB2312" w:cs="仿宋_GB2312" w:eastAsia="仿宋_GB2312"/>
              </w:rPr>
              <w:t>5.供应商资格条件证明文件.docx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法人提供会计师事务所出具的有效的2025年度审计报告（成立时间至提交投标文件截止时间不足一年的可提供成立后任意时段的资产负债表），或提交自2026年1月1日以来银行出具的资信证明，或信用担保机构出具的投标担保函（以上三种形式的资料提供任何一种即可）；其他组织和自然人提供银行出具的资信证明或财务报表。 （注：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中小企业声明函.docx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法定代表人授权书及被授权人身份证明。（法定代表人直接谈判只须提供其身份证明）</w:t>
            </w:r>
          </w:p>
        </w:tc>
        <w:tc>
          <w:tcPr>
            <w:tcW w:type="dxa" w:w="1661"/>
          </w:tcPr>
          <w:p>
            <w:pPr>
              <w:pStyle w:val="null3"/>
            </w:pPr>
            <w:r>
              <w:rPr>
                <w:rFonts w:ascii="仿宋_GB2312" w:hAnsi="仿宋_GB2312" w:cs="仿宋_GB2312" w:eastAsia="仿宋_GB2312"/>
              </w:rPr>
              <w:t>5.供应商资格条件证明文件.docx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本项目专门面向中小企业采购，响应产品的制造商应为中型企业或小型、微型企业或监狱企业或残疾人福利性单位，供应商须提供声明函。</w:t>
            </w:r>
          </w:p>
        </w:tc>
        <w:tc>
          <w:tcPr>
            <w:tcW w:type="dxa" w:w="1661"/>
          </w:tcPr>
          <w:p>
            <w:pPr>
              <w:pStyle w:val="null3"/>
            </w:pPr>
            <w:r>
              <w:rPr>
                <w:rFonts w:ascii="仿宋_GB2312" w:hAnsi="仿宋_GB2312" w:cs="仿宋_GB2312" w:eastAsia="仿宋_GB2312"/>
              </w:rPr>
              <w:t>5.供应商资格条件证明文件.docx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1.响应报价表.docx 2.分项报价表.docx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有下列情形之一的，应在符合性审查时按照无效响应处理： (1)响应文件未按照采购文件规定要求签署、盖章； (2)不满足本谈判文件中“交货时间、交货地点、采购资金的支付方式及约定、质量保修范围和保修期”的实质性条款要求； (3)谈判有效期不足或无有效期； (4)报价超过谈判文件中规定的最高限价； (5)保证金交纳不符合谈判文件要求； (6)未提供或未填写产品使用寿命承诺函； (7)法律、法规和谈判文件规定的其他无效情形。</w:t>
            </w:r>
          </w:p>
        </w:tc>
        <w:tc>
          <w:tcPr>
            <w:tcW w:type="dxa" w:w="1661"/>
          </w:tcPr>
          <w:p>
            <w:pPr>
              <w:pStyle w:val="null3"/>
            </w:pPr>
            <w:r>
              <w:rPr>
                <w:rFonts w:ascii="仿宋_GB2312" w:hAnsi="仿宋_GB2312" w:cs="仿宋_GB2312" w:eastAsia="仿宋_GB2312"/>
              </w:rPr>
              <w:t>1.响应报价表.docx 2.分项报价表.docx 8.保证金交纳凭证.docx 中小企业声明函.docx 5.供应商资格条件证明文件.docx 响应文件封面 残疾人福利性单位声明函 6.谈判响应方案说明.docx 7.供应商承诺书.docx 标的清单 关于符合本国产品标准的声明函 3.技术指标偏差表.docx 响应函 4.商务条款响应说明.docx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详见附件：1.响应报价表.docx</w:t>
      </w:r>
    </w:p>
    <w:p>
      <w:pPr>
        <w:pStyle w:val="null3"/>
        <w:ind w:firstLine="960"/>
      </w:pPr>
      <w:r>
        <w:rPr>
          <w:rFonts w:ascii="仿宋_GB2312" w:hAnsi="仿宋_GB2312" w:cs="仿宋_GB2312" w:eastAsia="仿宋_GB2312"/>
        </w:rPr>
        <w:t>详见附件：2.分项报价表.docx</w:t>
      </w:r>
    </w:p>
    <w:p>
      <w:pPr>
        <w:pStyle w:val="null3"/>
        <w:ind w:firstLine="960"/>
      </w:pPr>
      <w:r>
        <w:rPr>
          <w:rFonts w:ascii="仿宋_GB2312" w:hAnsi="仿宋_GB2312" w:cs="仿宋_GB2312" w:eastAsia="仿宋_GB2312"/>
        </w:rPr>
        <w:t>详见附件：3.技术指标偏差表.docx</w:t>
      </w:r>
    </w:p>
    <w:p>
      <w:pPr>
        <w:pStyle w:val="null3"/>
        <w:ind w:firstLine="960"/>
      </w:pPr>
      <w:r>
        <w:rPr>
          <w:rFonts w:ascii="仿宋_GB2312" w:hAnsi="仿宋_GB2312" w:cs="仿宋_GB2312" w:eastAsia="仿宋_GB2312"/>
        </w:rPr>
        <w:t>详见附件：4.商务条款响应说明.docx</w:t>
      </w:r>
    </w:p>
    <w:p>
      <w:pPr>
        <w:pStyle w:val="null3"/>
        <w:ind w:firstLine="960"/>
      </w:pPr>
      <w:r>
        <w:rPr>
          <w:rFonts w:ascii="仿宋_GB2312" w:hAnsi="仿宋_GB2312" w:cs="仿宋_GB2312" w:eastAsia="仿宋_GB2312"/>
        </w:rPr>
        <w:t>详见附件：5.供应商资格条件证明文件.docx</w:t>
      </w:r>
    </w:p>
    <w:p>
      <w:pPr>
        <w:pStyle w:val="null3"/>
        <w:ind w:firstLine="960"/>
      </w:pPr>
      <w:r>
        <w:rPr>
          <w:rFonts w:ascii="仿宋_GB2312" w:hAnsi="仿宋_GB2312" w:cs="仿宋_GB2312" w:eastAsia="仿宋_GB2312"/>
        </w:rPr>
        <w:t>详见附件：6.谈判响应方案说明.docx</w:t>
      </w:r>
    </w:p>
    <w:p>
      <w:pPr>
        <w:pStyle w:val="null3"/>
        <w:ind w:firstLine="960"/>
      </w:pPr>
      <w:r>
        <w:rPr>
          <w:rFonts w:ascii="仿宋_GB2312" w:hAnsi="仿宋_GB2312" w:cs="仿宋_GB2312" w:eastAsia="仿宋_GB2312"/>
        </w:rPr>
        <w:t>详见附件：7.供应商承诺书.docx</w:t>
      </w:r>
    </w:p>
    <w:p>
      <w:pPr>
        <w:pStyle w:val="null3"/>
        <w:ind w:firstLine="960"/>
      </w:pPr>
      <w:r>
        <w:rPr>
          <w:rFonts w:ascii="仿宋_GB2312" w:hAnsi="仿宋_GB2312" w:cs="仿宋_GB2312" w:eastAsia="仿宋_GB2312"/>
        </w:rPr>
        <w:t>详见附件：8.保证金交纳凭证.docx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