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3581E">
      <w:pPr>
        <w:pStyle w:val="11"/>
        <w:jc w:val="center"/>
        <w:outlineLvl w:val="1"/>
        <w:rPr>
          <w:rFonts w:ascii="宋体" w:hAnsi="宋体" w:eastAsia="宋体" w:cs="宋体"/>
        </w:rPr>
      </w:pPr>
      <w:bookmarkStart w:id="0" w:name="_Toc31265"/>
      <w:r>
        <w:rPr>
          <w:rFonts w:ascii="宋体" w:hAnsi="宋体" w:eastAsia="宋体" w:cs="宋体"/>
          <w:b/>
          <w:sz w:val="36"/>
        </w:rPr>
        <w:t>拟签订采购合同文本</w:t>
      </w:r>
      <w:bookmarkEnd w:id="0"/>
    </w:p>
    <w:p w14:paraId="55E85AEE">
      <w:pPr>
        <w:adjustRightInd w:val="0"/>
        <w:snapToGrid w:val="0"/>
        <w:rPr>
          <w:rFonts w:hint="eastAsia" w:ascii="宋体" w:hAnsi="宋体" w:eastAsia="宋体" w:cs="宋体"/>
          <w:sz w:val="36"/>
          <w:szCs w:val="36"/>
        </w:rPr>
      </w:pPr>
    </w:p>
    <w:p w14:paraId="516F3009">
      <w:pPr>
        <w:adjustRightInd w:val="0"/>
        <w:snapToGrid w:val="0"/>
        <w:jc w:val="center"/>
        <w:rPr>
          <w:rFonts w:hint="eastAsia" w:eastAsia="黑体"/>
          <w:sz w:val="36"/>
          <w:szCs w:val="36"/>
        </w:rPr>
      </w:pPr>
      <w:r>
        <w:rPr>
          <w:rFonts w:hint="eastAsia" w:eastAsia="黑体"/>
          <w:sz w:val="36"/>
          <w:szCs w:val="36"/>
        </w:rPr>
        <w:t>仪器设备购置合同</w:t>
      </w:r>
    </w:p>
    <w:p w14:paraId="1C9CA701">
      <w:pPr>
        <w:adjustRightInd w:val="0"/>
        <w:snapToGrid w:val="0"/>
        <w:jc w:val="center"/>
        <w:rPr>
          <w:rFonts w:hint="eastAsia" w:ascii="宋体" w:hAnsi="宋体" w:eastAsia="宋体" w:cs="宋体"/>
          <w:color w:val="000000"/>
          <w:sz w:val="36"/>
          <w:szCs w:val="36"/>
        </w:rPr>
      </w:pPr>
    </w:p>
    <w:p w14:paraId="0475B88C">
      <w:pPr>
        <w:adjustRightInd w:val="0"/>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西安建筑科技大学（甲方）与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（乙方）就甲方购置的</w:t>
      </w:r>
      <w:r>
        <w:rPr>
          <w:rFonts w:hint="eastAsia" w:ascii="宋体" w:hAnsi="宋体" w:eastAsia="宋体" w:cs="宋体"/>
          <w:bCs/>
          <w:color w:val="000000"/>
          <w:sz w:val="24"/>
          <w:u w:val="single"/>
        </w:rPr>
        <w:t xml:space="preserve">                 </w:t>
      </w:r>
      <w:r>
        <w:rPr>
          <w:rFonts w:hint="eastAsia" w:ascii="宋体" w:hAnsi="宋体" w:eastAsia="宋体" w:cs="宋体"/>
          <w:color w:val="000000"/>
          <w:sz w:val="24"/>
        </w:rPr>
        <w:t>设备经双方协商达成如下合同条款：</w:t>
      </w:r>
    </w:p>
    <w:p w14:paraId="333575A1">
      <w:pPr>
        <w:spacing w:line="360" w:lineRule="auto"/>
        <w:ind w:left="555"/>
        <w:outlineLvl w:val="0"/>
        <w:rPr>
          <w:rFonts w:hint="eastAsia" w:ascii="宋体" w:hAnsi="宋体" w:eastAsia="宋体" w:cs="宋体"/>
          <w:b/>
          <w:color w:val="000000"/>
          <w:sz w:val="24"/>
        </w:rPr>
      </w:pPr>
      <w:bookmarkStart w:id="1" w:name="_Toc15535"/>
      <w:r>
        <w:rPr>
          <w:rFonts w:hint="eastAsia" w:ascii="宋体" w:hAnsi="宋体" w:eastAsia="宋体" w:cs="宋体"/>
          <w:b/>
          <w:color w:val="000000"/>
          <w:sz w:val="24"/>
        </w:rPr>
        <w:t>1</w:t>
      </w:r>
      <w:r>
        <w:rPr>
          <w:rFonts w:hint="eastAsia" w:ascii="宋体" w:hAnsi="宋体" w:eastAsia="宋体" w:cs="宋体"/>
          <w:color w:val="000000"/>
          <w:sz w:val="24"/>
        </w:rPr>
        <w:t>.</w:t>
      </w:r>
      <w:r>
        <w:rPr>
          <w:rFonts w:hint="eastAsia" w:ascii="宋体" w:hAnsi="宋体" w:eastAsia="宋体" w:cs="宋体"/>
          <w:b/>
          <w:color w:val="000000"/>
          <w:sz w:val="24"/>
        </w:rPr>
        <w:t xml:space="preserve"> 合同内容</w:t>
      </w:r>
      <w:bookmarkEnd w:id="1"/>
    </w:p>
    <w:p w14:paraId="24EE5FC1">
      <w:pPr>
        <w:spacing w:line="360" w:lineRule="auto"/>
        <w:ind w:firstLine="560"/>
        <w:rPr>
          <w:rFonts w:hint="eastAsia" w:ascii="宋体" w:hAnsi="宋体" w:eastAsia="宋体" w:cs="宋体"/>
          <w:color w:val="000000"/>
          <w:sz w:val="24"/>
        </w:rPr>
      </w:pPr>
      <w:r>
        <w:rPr>
          <w:rFonts w:hint="eastAsia" w:ascii="宋体" w:hAnsi="宋体" w:eastAsia="宋体" w:cs="宋体"/>
          <w:color w:val="000000"/>
          <w:sz w:val="24"/>
        </w:rPr>
        <w:t>在甲方组织的关于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67DC46C7">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 仪器设备购置清单（币种：人民币）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F0D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08942E11">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序号</w:t>
            </w:r>
          </w:p>
        </w:tc>
        <w:tc>
          <w:tcPr>
            <w:tcW w:w="1805" w:type="dxa"/>
            <w:tcMar>
              <w:top w:w="20" w:type="dxa"/>
              <w:left w:w="20" w:type="dxa"/>
              <w:bottom w:w="0" w:type="dxa"/>
              <w:right w:w="20" w:type="dxa"/>
            </w:tcMar>
            <w:vAlign w:val="center"/>
          </w:tcPr>
          <w:p w14:paraId="37B7F9A0">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设备名称</w:t>
            </w:r>
          </w:p>
        </w:tc>
        <w:tc>
          <w:tcPr>
            <w:tcW w:w="1980" w:type="dxa"/>
            <w:tcMar>
              <w:top w:w="20" w:type="dxa"/>
              <w:left w:w="20" w:type="dxa"/>
              <w:bottom w:w="0" w:type="dxa"/>
              <w:right w:w="20" w:type="dxa"/>
            </w:tcMar>
            <w:vAlign w:val="center"/>
          </w:tcPr>
          <w:p w14:paraId="27F0327D">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品牌、规格、型号</w:t>
            </w:r>
          </w:p>
        </w:tc>
        <w:tc>
          <w:tcPr>
            <w:tcW w:w="886" w:type="dxa"/>
            <w:tcMar>
              <w:top w:w="20" w:type="dxa"/>
              <w:left w:w="20" w:type="dxa"/>
              <w:bottom w:w="0" w:type="dxa"/>
              <w:right w:w="20" w:type="dxa"/>
            </w:tcMar>
            <w:vAlign w:val="center"/>
          </w:tcPr>
          <w:p w14:paraId="44CDA433">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数量</w:t>
            </w:r>
          </w:p>
          <w:p w14:paraId="20211A9C">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（台、套）</w:t>
            </w:r>
          </w:p>
        </w:tc>
        <w:tc>
          <w:tcPr>
            <w:tcW w:w="985" w:type="dxa"/>
            <w:tcMar>
              <w:top w:w="20" w:type="dxa"/>
              <w:left w:w="20" w:type="dxa"/>
              <w:bottom w:w="0" w:type="dxa"/>
              <w:right w:w="20" w:type="dxa"/>
            </w:tcMar>
            <w:vAlign w:val="center"/>
          </w:tcPr>
          <w:p w14:paraId="3106A398">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单价</w:t>
            </w:r>
          </w:p>
          <w:p w14:paraId="66BEDEA6">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(万元)</w:t>
            </w:r>
          </w:p>
        </w:tc>
        <w:tc>
          <w:tcPr>
            <w:tcW w:w="984" w:type="dxa"/>
            <w:tcMar>
              <w:top w:w="20" w:type="dxa"/>
              <w:left w:w="20" w:type="dxa"/>
              <w:bottom w:w="0" w:type="dxa"/>
              <w:right w:w="20" w:type="dxa"/>
            </w:tcMar>
            <w:vAlign w:val="center"/>
          </w:tcPr>
          <w:p w14:paraId="43707DBE">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合计</w:t>
            </w:r>
          </w:p>
          <w:p w14:paraId="4D94AA07">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（万元）</w:t>
            </w:r>
          </w:p>
        </w:tc>
        <w:tc>
          <w:tcPr>
            <w:tcW w:w="978" w:type="dxa"/>
            <w:vAlign w:val="center"/>
          </w:tcPr>
          <w:p w14:paraId="5B4BBDBC">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生产商</w:t>
            </w:r>
          </w:p>
        </w:tc>
        <w:tc>
          <w:tcPr>
            <w:tcW w:w="580" w:type="dxa"/>
            <w:tcMar>
              <w:top w:w="20" w:type="dxa"/>
              <w:left w:w="20" w:type="dxa"/>
              <w:bottom w:w="0" w:type="dxa"/>
              <w:right w:w="20" w:type="dxa"/>
            </w:tcMar>
            <w:vAlign w:val="center"/>
          </w:tcPr>
          <w:p w14:paraId="03BAC46B">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备注</w:t>
            </w:r>
          </w:p>
        </w:tc>
      </w:tr>
      <w:tr w14:paraId="1732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46EF5F4D">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1</w:t>
            </w:r>
          </w:p>
        </w:tc>
        <w:tc>
          <w:tcPr>
            <w:tcW w:w="1805" w:type="dxa"/>
            <w:tcMar>
              <w:top w:w="20" w:type="dxa"/>
              <w:left w:w="20" w:type="dxa"/>
              <w:bottom w:w="0" w:type="dxa"/>
              <w:right w:w="20" w:type="dxa"/>
            </w:tcMar>
            <w:vAlign w:val="center"/>
          </w:tcPr>
          <w:p w14:paraId="6827F8DE">
            <w:pPr>
              <w:spacing w:line="360" w:lineRule="auto"/>
              <w:jc w:val="center"/>
              <w:rPr>
                <w:rFonts w:hint="eastAsia" w:ascii="宋体" w:hAnsi="宋体" w:eastAsia="宋体" w:cs="宋体"/>
                <w:color w:val="000000"/>
                <w:sz w:val="24"/>
              </w:rPr>
            </w:pPr>
          </w:p>
        </w:tc>
        <w:tc>
          <w:tcPr>
            <w:tcW w:w="1980" w:type="dxa"/>
            <w:tcMar>
              <w:top w:w="20" w:type="dxa"/>
              <w:left w:w="20" w:type="dxa"/>
              <w:bottom w:w="0" w:type="dxa"/>
              <w:right w:w="20" w:type="dxa"/>
            </w:tcMar>
            <w:vAlign w:val="center"/>
          </w:tcPr>
          <w:p w14:paraId="60834C11">
            <w:pPr>
              <w:spacing w:line="360" w:lineRule="auto"/>
              <w:jc w:val="center"/>
              <w:rPr>
                <w:rFonts w:hint="eastAsia" w:ascii="宋体" w:hAnsi="宋体" w:eastAsia="宋体" w:cs="宋体"/>
                <w:color w:val="000000"/>
                <w:sz w:val="24"/>
              </w:rPr>
            </w:pPr>
          </w:p>
        </w:tc>
        <w:tc>
          <w:tcPr>
            <w:tcW w:w="886" w:type="dxa"/>
            <w:tcMar>
              <w:top w:w="20" w:type="dxa"/>
              <w:left w:w="20" w:type="dxa"/>
              <w:bottom w:w="0" w:type="dxa"/>
              <w:right w:w="20" w:type="dxa"/>
            </w:tcMar>
            <w:vAlign w:val="center"/>
          </w:tcPr>
          <w:p w14:paraId="280A05D7">
            <w:pPr>
              <w:spacing w:line="360" w:lineRule="auto"/>
              <w:jc w:val="center"/>
              <w:rPr>
                <w:rFonts w:hint="eastAsia" w:ascii="宋体" w:hAnsi="宋体" w:eastAsia="宋体" w:cs="宋体"/>
                <w:color w:val="000000"/>
                <w:sz w:val="24"/>
              </w:rPr>
            </w:pPr>
          </w:p>
        </w:tc>
        <w:tc>
          <w:tcPr>
            <w:tcW w:w="985" w:type="dxa"/>
            <w:tcMar>
              <w:top w:w="20" w:type="dxa"/>
              <w:left w:w="20" w:type="dxa"/>
              <w:bottom w:w="0" w:type="dxa"/>
              <w:right w:w="20" w:type="dxa"/>
            </w:tcMar>
            <w:vAlign w:val="center"/>
          </w:tcPr>
          <w:p w14:paraId="238EBE88">
            <w:pPr>
              <w:spacing w:line="360" w:lineRule="auto"/>
              <w:jc w:val="center"/>
              <w:rPr>
                <w:rFonts w:hint="eastAsia" w:ascii="宋体" w:hAnsi="宋体" w:eastAsia="宋体" w:cs="宋体"/>
                <w:color w:val="000000"/>
                <w:sz w:val="24"/>
              </w:rPr>
            </w:pPr>
          </w:p>
        </w:tc>
        <w:tc>
          <w:tcPr>
            <w:tcW w:w="984" w:type="dxa"/>
            <w:tcMar>
              <w:top w:w="20" w:type="dxa"/>
              <w:left w:w="20" w:type="dxa"/>
              <w:bottom w:w="0" w:type="dxa"/>
              <w:right w:w="20" w:type="dxa"/>
            </w:tcMar>
            <w:vAlign w:val="center"/>
          </w:tcPr>
          <w:p w14:paraId="36302E70">
            <w:pPr>
              <w:spacing w:line="360" w:lineRule="auto"/>
              <w:jc w:val="center"/>
              <w:rPr>
                <w:rFonts w:hint="eastAsia" w:ascii="宋体" w:hAnsi="宋体" w:eastAsia="宋体" w:cs="宋体"/>
                <w:color w:val="000000"/>
                <w:sz w:val="24"/>
              </w:rPr>
            </w:pPr>
          </w:p>
        </w:tc>
        <w:tc>
          <w:tcPr>
            <w:tcW w:w="978" w:type="dxa"/>
            <w:vAlign w:val="center"/>
          </w:tcPr>
          <w:p w14:paraId="71726004">
            <w:pPr>
              <w:spacing w:line="360" w:lineRule="auto"/>
              <w:jc w:val="center"/>
              <w:rPr>
                <w:rFonts w:hint="eastAsia" w:ascii="宋体" w:hAnsi="宋体" w:eastAsia="宋体" w:cs="宋体"/>
                <w:color w:val="000000"/>
                <w:sz w:val="24"/>
              </w:rPr>
            </w:pPr>
          </w:p>
        </w:tc>
        <w:tc>
          <w:tcPr>
            <w:tcW w:w="580" w:type="dxa"/>
            <w:tcMar>
              <w:top w:w="20" w:type="dxa"/>
              <w:left w:w="20" w:type="dxa"/>
              <w:bottom w:w="0" w:type="dxa"/>
              <w:right w:w="20" w:type="dxa"/>
            </w:tcMar>
            <w:vAlign w:val="center"/>
          </w:tcPr>
          <w:p w14:paraId="4BDA77C8">
            <w:pPr>
              <w:spacing w:line="360" w:lineRule="auto"/>
              <w:jc w:val="center"/>
              <w:rPr>
                <w:rFonts w:hint="eastAsia" w:ascii="宋体" w:hAnsi="宋体" w:eastAsia="宋体" w:cs="宋体"/>
                <w:color w:val="000000"/>
                <w:sz w:val="24"/>
              </w:rPr>
            </w:pPr>
          </w:p>
        </w:tc>
      </w:tr>
      <w:tr w14:paraId="1D42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77AC8240">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2</w:t>
            </w:r>
          </w:p>
        </w:tc>
        <w:tc>
          <w:tcPr>
            <w:tcW w:w="1805" w:type="dxa"/>
            <w:tcMar>
              <w:top w:w="20" w:type="dxa"/>
              <w:left w:w="20" w:type="dxa"/>
              <w:bottom w:w="0" w:type="dxa"/>
              <w:right w:w="20" w:type="dxa"/>
            </w:tcMar>
            <w:vAlign w:val="center"/>
          </w:tcPr>
          <w:p w14:paraId="300DDA98">
            <w:pPr>
              <w:spacing w:line="360" w:lineRule="auto"/>
              <w:jc w:val="center"/>
              <w:rPr>
                <w:rFonts w:hint="eastAsia" w:ascii="宋体" w:hAnsi="宋体" w:eastAsia="宋体" w:cs="宋体"/>
                <w:color w:val="000000"/>
                <w:sz w:val="24"/>
              </w:rPr>
            </w:pPr>
          </w:p>
        </w:tc>
        <w:tc>
          <w:tcPr>
            <w:tcW w:w="1980" w:type="dxa"/>
            <w:tcMar>
              <w:top w:w="20" w:type="dxa"/>
              <w:left w:w="20" w:type="dxa"/>
              <w:bottom w:w="0" w:type="dxa"/>
              <w:right w:w="20" w:type="dxa"/>
            </w:tcMar>
            <w:vAlign w:val="center"/>
          </w:tcPr>
          <w:p w14:paraId="1E87D11D">
            <w:pPr>
              <w:spacing w:line="360" w:lineRule="auto"/>
              <w:jc w:val="center"/>
              <w:rPr>
                <w:rFonts w:hint="eastAsia" w:ascii="宋体" w:hAnsi="宋体" w:eastAsia="宋体" w:cs="宋体"/>
                <w:color w:val="000000"/>
                <w:sz w:val="24"/>
              </w:rPr>
            </w:pPr>
          </w:p>
        </w:tc>
        <w:tc>
          <w:tcPr>
            <w:tcW w:w="886" w:type="dxa"/>
            <w:tcMar>
              <w:top w:w="20" w:type="dxa"/>
              <w:left w:w="20" w:type="dxa"/>
              <w:bottom w:w="0" w:type="dxa"/>
              <w:right w:w="20" w:type="dxa"/>
            </w:tcMar>
            <w:vAlign w:val="center"/>
          </w:tcPr>
          <w:p w14:paraId="5B6DFB7B">
            <w:pPr>
              <w:spacing w:line="360" w:lineRule="auto"/>
              <w:jc w:val="center"/>
              <w:rPr>
                <w:rFonts w:hint="eastAsia" w:ascii="宋体" w:hAnsi="宋体" w:eastAsia="宋体" w:cs="宋体"/>
                <w:color w:val="000000"/>
                <w:sz w:val="24"/>
              </w:rPr>
            </w:pPr>
          </w:p>
        </w:tc>
        <w:tc>
          <w:tcPr>
            <w:tcW w:w="985" w:type="dxa"/>
            <w:tcMar>
              <w:top w:w="20" w:type="dxa"/>
              <w:left w:w="20" w:type="dxa"/>
              <w:bottom w:w="0" w:type="dxa"/>
              <w:right w:w="20" w:type="dxa"/>
            </w:tcMar>
            <w:vAlign w:val="center"/>
          </w:tcPr>
          <w:p w14:paraId="2555957F">
            <w:pPr>
              <w:spacing w:line="360" w:lineRule="auto"/>
              <w:jc w:val="center"/>
              <w:rPr>
                <w:rFonts w:hint="eastAsia" w:ascii="宋体" w:hAnsi="宋体" w:eastAsia="宋体" w:cs="宋体"/>
                <w:color w:val="000000"/>
                <w:sz w:val="24"/>
              </w:rPr>
            </w:pPr>
          </w:p>
        </w:tc>
        <w:tc>
          <w:tcPr>
            <w:tcW w:w="984" w:type="dxa"/>
            <w:tcMar>
              <w:top w:w="20" w:type="dxa"/>
              <w:left w:w="20" w:type="dxa"/>
              <w:bottom w:w="0" w:type="dxa"/>
              <w:right w:w="20" w:type="dxa"/>
            </w:tcMar>
            <w:vAlign w:val="center"/>
          </w:tcPr>
          <w:p w14:paraId="5F54ED9F">
            <w:pPr>
              <w:spacing w:line="360" w:lineRule="auto"/>
              <w:jc w:val="center"/>
              <w:rPr>
                <w:rFonts w:hint="eastAsia" w:ascii="宋体" w:hAnsi="宋体" w:eastAsia="宋体" w:cs="宋体"/>
                <w:color w:val="000000"/>
                <w:sz w:val="24"/>
              </w:rPr>
            </w:pPr>
          </w:p>
        </w:tc>
        <w:tc>
          <w:tcPr>
            <w:tcW w:w="978" w:type="dxa"/>
            <w:vAlign w:val="center"/>
          </w:tcPr>
          <w:p w14:paraId="582CC759">
            <w:pPr>
              <w:spacing w:line="360" w:lineRule="auto"/>
              <w:jc w:val="center"/>
              <w:rPr>
                <w:rFonts w:hint="eastAsia" w:ascii="宋体" w:hAnsi="宋体" w:eastAsia="宋体" w:cs="宋体"/>
                <w:color w:val="000000"/>
                <w:kern w:val="0"/>
                <w:sz w:val="24"/>
              </w:rPr>
            </w:pPr>
          </w:p>
        </w:tc>
        <w:tc>
          <w:tcPr>
            <w:tcW w:w="580" w:type="dxa"/>
            <w:tcMar>
              <w:top w:w="20" w:type="dxa"/>
              <w:left w:w="20" w:type="dxa"/>
              <w:bottom w:w="0" w:type="dxa"/>
              <w:right w:w="20" w:type="dxa"/>
            </w:tcMar>
            <w:vAlign w:val="center"/>
          </w:tcPr>
          <w:p w14:paraId="48E89253">
            <w:pPr>
              <w:spacing w:line="360" w:lineRule="auto"/>
              <w:jc w:val="center"/>
              <w:rPr>
                <w:rFonts w:hint="eastAsia" w:ascii="宋体" w:hAnsi="宋体" w:eastAsia="宋体" w:cs="宋体"/>
                <w:color w:val="000000"/>
                <w:sz w:val="24"/>
              </w:rPr>
            </w:pPr>
          </w:p>
        </w:tc>
      </w:tr>
      <w:tr w14:paraId="5803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141E8EA3">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3</w:t>
            </w:r>
          </w:p>
        </w:tc>
        <w:tc>
          <w:tcPr>
            <w:tcW w:w="1805" w:type="dxa"/>
            <w:tcMar>
              <w:top w:w="20" w:type="dxa"/>
              <w:left w:w="20" w:type="dxa"/>
              <w:bottom w:w="0" w:type="dxa"/>
              <w:right w:w="20" w:type="dxa"/>
            </w:tcMar>
            <w:vAlign w:val="center"/>
          </w:tcPr>
          <w:p w14:paraId="7352D21D">
            <w:pPr>
              <w:spacing w:line="360" w:lineRule="auto"/>
              <w:jc w:val="center"/>
              <w:rPr>
                <w:rFonts w:hint="eastAsia" w:ascii="宋体" w:hAnsi="宋体" w:eastAsia="宋体" w:cs="宋体"/>
                <w:color w:val="000000"/>
                <w:sz w:val="24"/>
              </w:rPr>
            </w:pPr>
          </w:p>
        </w:tc>
        <w:tc>
          <w:tcPr>
            <w:tcW w:w="1980" w:type="dxa"/>
            <w:tcMar>
              <w:top w:w="20" w:type="dxa"/>
              <w:left w:w="20" w:type="dxa"/>
              <w:bottom w:w="0" w:type="dxa"/>
              <w:right w:w="20" w:type="dxa"/>
            </w:tcMar>
            <w:vAlign w:val="center"/>
          </w:tcPr>
          <w:p w14:paraId="4B5386A4">
            <w:pPr>
              <w:spacing w:line="360" w:lineRule="auto"/>
              <w:jc w:val="center"/>
              <w:rPr>
                <w:rFonts w:hint="eastAsia" w:ascii="宋体" w:hAnsi="宋体" w:eastAsia="宋体" w:cs="宋体"/>
                <w:color w:val="000000"/>
                <w:sz w:val="24"/>
              </w:rPr>
            </w:pPr>
          </w:p>
        </w:tc>
        <w:tc>
          <w:tcPr>
            <w:tcW w:w="886" w:type="dxa"/>
            <w:tcMar>
              <w:top w:w="20" w:type="dxa"/>
              <w:left w:w="20" w:type="dxa"/>
              <w:bottom w:w="0" w:type="dxa"/>
              <w:right w:w="20" w:type="dxa"/>
            </w:tcMar>
            <w:vAlign w:val="center"/>
          </w:tcPr>
          <w:p w14:paraId="5E610ED4">
            <w:pPr>
              <w:spacing w:line="360" w:lineRule="auto"/>
              <w:jc w:val="center"/>
              <w:rPr>
                <w:rFonts w:hint="eastAsia" w:ascii="宋体" w:hAnsi="宋体" w:eastAsia="宋体" w:cs="宋体"/>
                <w:color w:val="000000"/>
                <w:sz w:val="24"/>
              </w:rPr>
            </w:pPr>
          </w:p>
        </w:tc>
        <w:tc>
          <w:tcPr>
            <w:tcW w:w="985" w:type="dxa"/>
            <w:tcMar>
              <w:top w:w="20" w:type="dxa"/>
              <w:left w:w="20" w:type="dxa"/>
              <w:bottom w:w="0" w:type="dxa"/>
              <w:right w:w="20" w:type="dxa"/>
            </w:tcMar>
            <w:vAlign w:val="center"/>
          </w:tcPr>
          <w:p w14:paraId="4C82BF45">
            <w:pPr>
              <w:spacing w:line="360" w:lineRule="auto"/>
              <w:jc w:val="center"/>
              <w:rPr>
                <w:rFonts w:hint="eastAsia" w:ascii="宋体" w:hAnsi="宋体" w:eastAsia="宋体" w:cs="宋体"/>
                <w:color w:val="000000"/>
                <w:sz w:val="24"/>
              </w:rPr>
            </w:pPr>
          </w:p>
        </w:tc>
        <w:tc>
          <w:tcPr>
            <w:tcW w:w="984" w:type="dxa"/>
            <w:tcMar>
              <w:top w:w="20" w:type="dxa"/>
              <w:left w:w="20" w:type="dxa"/>
              <w:bottom w:w="0" w:type="dxa"/>
              <w:right w:w="20" w:type="dxa"/>
            </w:tcMar>
            <w:vAlign w:val="center"/>
          </w:tcPr>
          <w:p w14:paraId="4EF09541">
            <w:pPr>
              <w:spacing w:line="360" w:lineRule="auto"/>
              <w:jc w:val="center"/>
              <w:rPr>
                <w:rFonts w:hint="eastAsia" w:ascii="宋体" w:hAnsi="宋体" w:eastAsia="宋体" w:cs="宋体"/>
                <w:color w:val="000000"/>
                <w:sz w:val="24"/>
              </w:rPr>
            </w:pPr>
          </w:p>
        </w:tc>
        <w:tc>
          <w:tcPr>
            <w:tcW w:w="978" w:type="dxa"/>
            <w:vAlign w:val="center"/>
          </w:tcPr>
          <w:p w14:paraId="7E9ABA9F">
            <w:pPr>
              <w:spacing w:line="360" w:lineRule="auto"/>
              <w:jc w:val="center"/>
              <w:rPr>
                <w:rFonts w:hint="eastAsia" w:ascii="宋体" w:hAnsi="宋体" w:eastAsia="宋体" w:cs="宋体"/>
                <w:color w:val="000000"/>
                <w:sz w:val="24"/>
              </w:rPr>
            </w:pPr>
          </w:p>
        </w:tc>
        <w:tc>
          <w:tcPr>
            <w:tcW w:w="580" w:type="dxa"/>
            <w:tcMar>
              <w:top w:w="20" w:type="dxa"/>
              <w:left w:w="20" w:type="dxa"/>
              <w:bottom w:w="0" w:type="dxa"/>
              <w:right w:w="20" w:type="dxa"/>
            </w:tcMar>
            <w:vAlign w:val="center"/>
          </w:tcPr>
          <w:p w14:paraId="10F66811">
            <w:pPr>
              <w:spacing w:line="360" w:lineRule="auto"/>
              <w:jc w:val="center"/>
              <w:rPr>
                <w:rFonts w:hint="eastAsia" w:ascii="宋体" w:hAnsi="宋体" w:eastAsia="宋体" w:cs="宋体"/>
                <w:color w:val="000000"/>
                <w:sz w:val="24"/>
              </w:rPr>
            </w:pPr>
          </w:p>
        </w:tc>
      </w:tr>
      <w:tr w14:paraId="3BC7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06916B9F">
            <w:pPr>
              <w:spacing w:line="360" w:lineRule="auto"/>
              <w:jc w:val="center"/>
              <w:rPr>
                <w:rFonts w:hint="eastAsia" w:ascii="宋体" w:hAnsi="宋体" w:eastAsia="宋体" w:cs="宋体"/>
                <w:color w:val="000000"/>
                <w:sz w:val="24"/>
              </w:rPr>
            </w:pPr>
            <w:r>
              <w:rPr>
                <w:rFonts w:hint="eastAsia" w:ascii="宋体" w:hAnsi="宋体" w:eastAsia="宋体" w:cs="宋体"/>
                <w:color w:val="000000"/>
                <w:sz w:val="24"/>
              </w:rPr>
              <w:t>合计(元)</w:t>
            </w:r>
          </w:p>
        </w:tc>
        <w:tc>
          <w:tcPr>
            <w:tcW w:w="4413" w:type="dxa"/>
            <w:gridSpan w:val="5"/>
            <w:tcMar>
              <w:top w:w="20" w:type="dxa"/>
              <w:left w:w="20" w:type="dxa"/>
              <w:bottom w:w="0" w:type="dxa"/>
              <w:right w:w="20" w:type="dxa"/>
            </w:tcMar>
            <w:vAlign w:val="center"/>
          </w:tcPr>
          <w:p w14:paraId="13DA60FF">
            <w:pPr>
              <w:spacing w:line="360" w:lineRule="auto"/>
              <w:jc w:val="left"/>
              <w:rPr>
                <w:rFonts w:hint="eastAsia" w:ascii="宋体" w:hAnsi="宋体" w:eastAsia="宋体" w:cs="宋体"/>
                <w:color w:val="000000"/>
                <w:sz w:val="24"/>
              </w:rPr>
            </w:pPr>
            <w:r>
              <w:rPr>
                <w:rFonts w:hint="eastAsia" w:ascii="宋体" w:hAnsi="宋体" w:eastAsia="宋体" w:cs="宋体"/>
                <w:color w:val="000000"/>
                <w:sz w:val="24"/>
              </w:rPr>
              <w:t xml:space="preserve">大写： </w:t>
            </w:r>
          </w:p>
        </w:tc>
      </w:tr>
      <w:tr w14:paraId="02E9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7B0BE76B">
            <w:pPr>
              <w:spacing w:line="360" w:lineRule="auto"/>
              <w:jc w:val="center"/>
              <w:rPr>
                <w:rFonts w:hint="eastAsia" w:ascii="宋体" w:hAnsi="宋体" w:eastAsia="宋体" w:cs="宋体"/>
                <w:color w:val="000000"/>
                <w:sz w:val="24"/>
              </w:rPr>
            </w:pPr>
          </w:p>
        </w:tc>
        <w:tc>
          <w:tcPr>
            <w:tcW w:w="4413" w:type="dxa"/>
            <w:gridSpan w:val="5"/>
            <w:tcMar>
              <w:top w:w="20" w:type="dxa"/>
              <w:left w:w="20" w:type="dxa"/>
              <w:bottom w:w="0" w:type="dxa"/>
              <w:right w:w="20" w:type="dxa"/>
            </w:tcMar>
            <w:vAlign w:val="center"/>
          </w:tcPr>
          <w:p w14:paraId="12B9F49A">
            <w:pPr>
              <w:spacing w:line="360" w:lineRule="auto"/>
              <w:jc w:val="left"/>
              <w:rPr>
                <w:rFonts w:hint="eastAsia" w:ascii="宋体" w:hAnsi="宋体" w:eastAsia="宋体" w:cs="宋体"/>
                <w:color w:val="000000"/>
                <w:sz w:val="24"/>
              </w:rPr>
            </w:pPr>
            <w:r>
              <w:rPr>
                <w:rFonts w:hint="eastAsia" w:ascii="宋体" w:hAnsi="宋体" w:eastAsia="宋体" w:cs="宋体"/>
                <w:color w:val="000000"/>
                <w:sz w:val="24"/>
              </w:rPr>
              <w:t>小写：   元</w:t>
            </w:r>
          </w:p>
        </w:tc>
      </w:tr>
    </w:tbl>
    <w:p w14:paraId="5026DBC4">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 合同总额是指设备到达西安建筑科技大学指定地点、完成验收后的价格，其中已包含货物费（含备品备件费）、包装费、运杂费（含搬运、装卸、保险费等）、工程费、材料费、全部税费、安装调试费等相关费用。</w:t>
      </w:r>
    </w:p>
    <w:p w14:paraId="7DC9DD2C">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 合同总额为一次性包死价格，不受市场价格的变化和影响，在合同不发生变更时作为付款结算的依据。</w:t>
      </w:r>
    </w:p>
    <w:p w14:paraId="4436D233">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 设备的技术参数要求</w:t>
      </w:r>
    </w:p>
    <w:p w14:paraId="062ADA0E">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4FBF14D">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1.4.2乙方应向甲方提供有关标准的中文文本。</w:t>
      </w:r>
    </w:p>
    <w:p w14:paraId="4064E2E0">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1.4.3除非技术规范中另有规定，计量单位均采用中华人民共和国法定计量单位。</w:t>
      </w:r>
    </w:p>
    <w:p w14:paraId="79608549">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 xml:space="preserve">2. 包装运输要求 </w:t>
      </w:r>
    </w:p>
    <w:p w14:paraId="06E64087">
      <w:pPr>
        <w:spacing w:line="360" w:lineRule="auto"/>
        <w:ind w:left="105" w:firstLine="480" w:firstLineChars="200"/>
        <w:outlineLvl w:val="2"/>
        <w:rPr>
          <w:rFonts w:hint="eastAsia" w:ascii="宋体" w:hAnsi="宋体" w:eastAsia="宋体" w:cs="宋体"/>
          <w:color w:val="000000"/>
          <w:sz w:val="24"/>
        </w:rPr>
      </w:pPr>
      <w:bookmarkStart w:id="2" w:name="_Toc87"/>
      <w:r>
        <w:rPr>
          <w:rFonts w:hint="eastAsia" w:ascii="宋体" w:hAnsi="宋体" w:eastAsia="宋体" w:cs="宋体"/>
          <w:color w:val="000000"/>
          <w:sz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2"/>
    </w:p>
    <w:p w14:paraId="4A462A06">
      <w:pPr>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3.交货时间及交货地点</w:t>
      </w:r>
    </w:p>
    <w:p w14:paraId="00C6FDC1">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3.1本项目为交钥匙工程，乙方要提供整套合格产品，切实做好安全防护相关工作。产品交货、安装地点均为甲方指定地点。</w:t>
      </w:r>
    </w:p>
    <w:p w14:paraId="6D0172DB">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3.2 合同签订后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个工作日内，乙方负责将产品运输到指定地点，并按照验收标准和验收程序完成设备的安装、调试和验收工作。乙方保证运输过程产品包装完好、安装调试及验收时设备外观无划痕，设备质量完好。</w:t>
      </w:r>
    </w:p>
    <w:p w14:paraId="6BA04008">
      <w:pPr>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4.产品质量保证</w:t>
      </w:r>
    </w:p>
    <w:p w14:paraId="7DC55DAD">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7A7AFE9">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4.2 乙方提供的设备及配套产品必须等同于或优于合同技术指标要求，并能按国家标准供应、检测、调试，确保产品技术指标满足使用要求。</w:t>
      </w:r>
    </w:p>
    <w:p w14:paraId="17142D14">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7C120AEA">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B39AB1E">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4E667E55">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4.6产品质量保证期为甲方最终设备验收合格后</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年，设备正常使用寿命为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4D0953F3">
      <w:pPr>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5.技术服务承诺</w:t>
      </w:r>
    </w:p>
    <w:p w14:paraId="79E67FA5">
      <w:pPr>
        <w:spacing w:line="360" w:lineRule="auto"/>
        <w:ind w:left="105" w:firstLine="360" w:firstLineChars="150"/>
        <w:outlineLvl w:val="2"/>
        <w:rPr>
          <w:rFonts w:hint="eastAsia" w:ascii="宋体" w:hAnsi="宋体" w:eastAsia="宋体" w:cs="宋体"/>
          <w:color w:val="000000"/>
          <w:sz w:val="24"/>
        </w:rPr>
      </w:pPr>
      <w:bookmarkStart w:id="3" w:name="_Toc23387"/>
      <w:r>
        <w:rPr>
          <w:rFonts w:hint="eastAsia" w:ascii="宋体" w:hAnsi="宋体" w:eastAsia="宋体" w:cs="宋体"/>
          <w:color w:val="000000"/>
          <w:sz w:val="24"/>
        </w:rPr>
        <w:t>5.1乙方应严格按照供货时间，及时给甲方供货。</w:t>
      </w:r>
      <w:bookmarkEnd w:id="3"/>
    </w:p>
    <w:p w14:paraId="1ABBCC23">
      <w:pPr>
        <w:spacing w:line="360" w:lineRule="auto"/>
        <w:ind w:left="105" w:firstLine="360" w:firstLineChars="150"/>
        <w:outlineLvl w:val="2"/>
        <w:rPr>
          <w:rFonts w:hint="eastAsia" w:ascii="宋体" w:hAnsi="宋体" w:eastAsia="宋体" w:cs="宋体"/>
          <w:color w:val="000000"/>
          <w:sz w:val="24"/>
        </w:rPr>
      </w:pPr>
      <w:bookmarkStart w:id="4" w:name="_Toc16520"/>
      <w:r>
        <w:rPr>
          <w:rFonts w:hint="eastAsia" w:ascii="宋体" w:hAnsi="宋体" w:eastAsia="宋体" w:cs="宋体"/>
          <w:color w:val="000000"/>
          <w:sz w:val="24"/>
        </w:rPr>
        <w:t>5.2乙方负责提供仪器设备相应的技术资料，包括产品合格证、产品保修单、安装使用及维护说明书以及运输装箱清单等,并对所有技术材料的真实性、准确性、先进性、完整性负责。</w:t>
      </w:r>
      <w:bookmarkEnd w:id="4"/>
    </w:p>
    <w:p w14:paraId="31932379">
      <w:pPr>
        <w:spacing w:line="360" w:lineRule="auto"/>
        <w:ind w:left="105" w:firstLine="360" w:firstLineChars="150"/>
        <w:outlineLvl w:val="2"/>
        <w:rPr>
          <w:rFonts w:hint="eastAsia" w:ascii="宋体" w:hAnsi="宋体" w:eastAsia="宋体" w:cs="宋体"/>
          <w:b/>
          <w:color w:val="000000"/>
          <w:sz w:val="24"/>
        </w:rPr>
      </w:pPr>
      <w:bookmarkStart w:id="5" w:name="_Toc13760"/>
      <w:r>
        <w:rPr>
          <w:rFonts w:hint="eastAsia" w:ascii="宋体" w:hAnsi="宋体" w:eastAsia="宋体" w:cs="宋体"/>
          <w:color w:val="000000"/>
          <w:sz w:val="24"/>
        </w:rPr>
        <w:t>5.3人员培训：乙方终身免费为甲方培训设备使用人员，培训内容包括：设备操作、维护、简单维修等。</w:t>
      </w:r>
      <w:bookmarkEnd w:id="5"/>
    </w:p>
    <w:p w14:paraId="74C49ABE">
      <w:pPr>
        <w:spacing w:line="360" w:lineRule="auto"/>
        <w:ind w:firstLine="480" w:firstLineChars="200"/>
        <w:rPr>
          <w:rFonts w:hint="eastAsia" w:ascii="宋体" w:hAnsi="宋体" w:eastAsia="宋体" w:cs="宋体"/>
          <w:b/>
          <w:color w:val="000000"/>
          <w:sz w:val="24"/>
        </w:rPr>
      </w:pPr>
      <w:r>
        <w:rPr>
          <w:rFonts w:hint="eastAsia" w:ascii="宋体" w:hAnsi="宋体" w:eastAsia="宋体" w:cs="宋体"/>
          <w:bCs/>
          <w:color w:val="000000"/>
          <w:sz w:val="24"/>
        </w:rPr>
        <w:t>5.4</w:t>
      </w:r>
      <w:r>
        <w:rPr>
          <w:rFonts w:hint="eastAsia" w:ascii="宋体" w:hAnsi="宋体" w:eastAsia="宋体" w:cs="宋体"/>
          <w:color w:val="000000"/>
          <w:sz w:val="24"/>
        </w:rPr>
        <w:t>售后服务：质保期内乙方对甲方提出的服务响应不得超出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小时。</w:t>
      </w:r>
    </w:p>
    <w:p w14:paraId="3571574C">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5.5具体服务详见乙方投标文件中乙方的承诺书。</w:t>
      </w:r>
    </w:p>
    <w:p w14:paraId="582EC437">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6.验收方法及标准</w:t>
      </w:r>
    </w:p>
    <w:p w14:paraId="152A685F">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6.1开箱验收</w:t>
      </w:r>
    </w:p>
    <w:p w14:paraId="16F2B7B1">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6.1.1产品运抵现场后，双方应及时开箱验收，并制作验收记录，以确认与本合同约定的数量、型号等是否一致。</w:t>
      </w:r>
    </w:p>
    <w:p w14:paraId="787DB719">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6.1.2 乙方应在交货前对产品的质量、规格、数量等进行详细而全面的检验，并出具证明产品符合合同规定的文件。该文件将作为申请付款单据的一部分，但有关质量、规格、数量的检验不应视为最终检验。</w:t>
      </w:r>
    </w:p>
    <w:p w14:paraId="09E623F6">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5CFE3ACE">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6.1.4 开箱验收中如发现产品的数量、规格与合同约定不符，甲方有权拒收产品，乙方应及时按甲方要求免费对拒收产品采取更换或其他必要的补救措施，直至开箱验收合格，方视为乙方完成交货。</w:t>
      </w:r>
    </w:p>
    <w:p w14:paraId="2022D1A5">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6.2  检验验收</w:t>
      </w:r>
    </w:p>
    <w:p w14:paraId="72D1747D">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6.2.1 交货完成后，乙方应及时组装、调试、试运行，按照合同条款规定的试运行完成后，双方及时组织对产品检验验收。合同双方均须派人参加合同要求双方参加的试验、检验。</w:t>
      </w:r>
    </w:p>
    <w:p w14:paraId="686EDF89">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6.2.2 在具体实施合同规定的检验验收之前，乙方需提前提交相应的测试计划（包括测试程序、测试内容和检验标准、试验时间安排等）供甲方确认。</w:t>
      </w:r>
    </w:p>
    <w:p w14:paraId="00827BFE">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6.2.3  除需甲方确认的试验验收外，乙方还应对所有检验验收测试的结果、步骤、原始数据等作妥善记录。如甲方要求，乙方应提供这些记录给甲方。</w:t>
      </w:r>
    </w:p>
    <w:p w14:paraId="28DB5DFF">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6.2.4  检验测试出现全部或部分未达到本合同所约定的技术指标，甲方有权选择下列任一处理方式：</w:t>
      </w:r>
    </w:p>
    <w:p w14:paraId="02B1C540">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a.重新测试直至合格为止；</w:t>
      </w:r>
    </w:p>
    <w:p w14:paraId="78E8DD69">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b.要求乙方对货物进行免费更换，然后重新测试直至合格为止；</w:t>
      </w:r>
    </w:p>
    <w:p w14:paraId="1882ED56">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无论选择何种方式，甲方因此而发生的因乙方原因引起的所有费用均由乙方负担。</w:t>
      </w:r>
    </w:p>
    <w:p w14:paraId="71D7C97E">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6.3  使用过程检验</w:t>
      </w:r>
    </w:p>
    <w:p w14:paraId="7E59CB06">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55CEA6E1">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6.3.2如果合同双方对乙方提供的上述试验结果报告的解释有分歧，双方须于出现分歧后10天内给对方声明，以陈述己方的观点。声明须附有关证据。分歧应通过协商解决。</w:t>
      </w:r>
    </w:p>
    <w:p w14:paraId="73E4EFC2">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6.4  所有验收合格，但不能免除乙方应该承担的质保责任。</w:t>
      </w:r>
    </w:p>
    <w:p w14:paraId="30CEE681">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7.合同款项支付方式</w:t>
      </w:r>
    </w:p>
    <w:p w14:paraId="0C6DB49D">
      <w:pPr>
        <w:pStyle w:val="5"/>
        <w:spacing w:line="500" w:lineRule="exact"/>
        <w:ind w:firstLine="480" w:firstLineChars="200"/>
        <w:rPr>
          <w:rFonts w:hint="eastAsia" w:ascii="宋体" w:hAnsi="宋体" w:cs="宋体"/>
          <w:sz w:val="24"/>
        </w:rPr>
      </w:pPr>
      <w:r>
        <w:rPr>
          <w:rFonts w:hint="eastAsia" w:ascii="宋体" w:hAnsi="宋体" w:cs="宋体"/>
          <w:sz w:val="24"/>
        </w:rPr>
        <w:t>7.1履约保证金：</w:t>
      </w:r>
    </w:p>
    <w:p w14:paraId="67B6A507">
      <w:pPr>
        <w:pStyle w:val="5"/>
        <w:spacing w:line="500" w:lineRule="exact"/>
        <w:ind w:firstLine="480" w:firstLineChars="200"/>
        <w:rPr>
          <w:rFonts w:hint="eastAsia" w:ascii="宋体" w:hAnsi="宋体" w:cs="宋体"/>
          <w:sz w:val="24"/>
        </w:rPr>
      </w:pPr>
      <w:r>
        <w:rPr>
          <w:rFonts w:ascii="宋体" w:hAnsi="宋体" w:cs="宋体"/>
          <w:sz w:val="24"/>
        </w:rPr>
        <w:t>供应商成交后凭成交通知书向学校缴纳成交金额的</w:t>
      </w:r>
      <w:r>
        <w:rPr>
          <w:rFonts w:hint="eastAsia" w:ascii="宋体" w:hAnsi="宋体" w:cs="宋体"/>
          <w:sz w:val="24"/>
          <w:u w:val="single"/>
        </w:rPr>
        <w:t xml:space="preserve"> 5 </w:t>
      </w:r>
      <w:r>
        <w:rPr>
          <w:rFonts w:ascii="宋体" w:hAnsi="宋体" w:cs="宋体"/>
          <w:sz w:val="24"/>
        </w:rPr>
        <w:t>%作为履约保证金，待合同履约完毕后无息退还。</w:t>
      </w:r>
    </w:p>
    <w:p w14:paraId="64E5EE02">
      <w:pPr>
        <w:pStyle w:val="5"/>
        <w:spacing w:line="500" w:lineRule="exact"/>
        <w:ind w:firstLine="482" w:firstLineChars="200"/>
        <w:rPr>
          <w:rFonts w:hint="eastAsia" w:ascii="宋体" w:hAnsi="宋体" w:cs="宋体"/>
          <w:b/>
          <w:bCs/>
          <w:sz w:val="24"/>
        </w:rPr>
      </w:pPr>
      <w:r>
        <w:rPr>
          <w:rFonts w:hint="eastAsia" w:ascii="宋体" w:hAnsi="宋体" w:cs="宋体"/>
          <w:b/>
          <w:bCs/>
          <w:sz w:val="24"/>
        </w:rPr>
        <w:t>7.2合同款支付</w:t>
      </w:r>
    </w:p>
    <w:p w14:paraId="63E8B537">
      <w:pPr>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国产设备：</w:t>
      </w:r>
    </w:p>
    <w:p w14:paraId="717CEDCC">
      <w:pPr>
        <w:pStyle w:val="11"/>
        <w:spacing w:line="360" w:lineRule="auto"/>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签订合同后15日内，乙方提供经甲方认可的合同金额100%的预付款保函或双方认可的其他担保措施，支付合同金额的100%。</w:t>
      </w:r>
    </w:p>
    <w:p w14:paraId="60BB9DBF">
      <w:pPr>
        <w:snapToGrid w:val="0"/>
        <w:spacing w:line="360" w:lineRule="auto"/>
        <w:rPr>
          <w:rFonts w:hint="eastAsia" w:ascii="宋体" w:hAnsi="宋体" w:eastAsia="宋体" w:cs="宋体"/>
          <w:b/>
          <w:bCs/>
          <w:color w:val="000000"/>
          <w:sz w:val="24"/>
        </w:rPr>
      </w:pPr>
    </w:p>
    <w:p w14:paraId="189FA54B">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7.3最终结算时，乙方须向甲方出具合同总价款的增值税专用发票。</w:t>
      </w:r>
    </w:p>
    <w:p w14:paraId="3F950038">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8.安全生产和文明施工</w:t>
      </w:r>
    </w:p>
    <w:p w14:paraId="5236333E">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8.1 现场安全文明施工由乙方编制专项详细方案并严格执行。</w:t>
      </w:r>
    </w:p>
    <w:p w14:paraId="0458B5A2">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5A3CAEBD">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8.3 在设备安装施工全过程中，乙方应服从甲方的各项管理，并对乙方施工人员进行安全管理。</w:t>
      </w:r>
    </w:p>
    <w:p w14:paraId="65086CEA">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8.4 确保现场建筑物及相关设施设备完好无损，如施工过程中出现损坏，乙方负责修复赔偿。</w:t>
      </w:r>
    </w:p>
    <w:p w14:paraId="0F472833">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8.5 乙方应对安装施工人员相关岗位上岗资格进行审查，并对相关后果负责。</w:t>
      </w:r>
    </w:p>
    <w:p w14:paraId="37DDE22D">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9.索赔</w:t>
      </w:r>
    </w:p>
    <w:p w14:paraId="563AB449">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2523297D">
      <w:pPr>
        <w:snapToGrid w:val="0"/>
        <w:spacing w:line="360" w:lineRule="auto"/>
        <w:ind w:firstLine="480" w:firstLineChars="200"/>
        <w:rPr>
          <w:rFonts w:hint="eastAsia" w:ascii="宋体" w:hAnsi="宋体" w:eastAsia="宋体" w:cs="宋体"/>
          <w:color w:val="000000"/>
          <w:sz w:val="24"/>
        </w:rPr>
      </w:pPr>
      <w:bookmarkStart w:id="6" w:name="_Ref467378076"/>
      <w:r>
        <w:rPr>
          <w:rFonts w:hint="eastAsia" w:ascii="宋体" w:hAnsi="宋体" w:eastAsia="宋体" w:cs="宋体"/>
          <w:color w:val="000000"/>
          <w:sz w:val="24"/>
        </w:rPr>
        <w:t>9.2在验收合格前，乙方对甲方提出的索赔负有责任，乙方应按照甲方同意的下列一种或多种方式解决索赔事宜：</w:t>
      </w:r>
      <w:bookmarkEnd w:id="6"/>
    </w:p>
    <w:p w14:paraId="50FB7980">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5A70FC37">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9.2.2根据货物低劣程度、损坏程度以及甲方所遭受损失的数额，经甲乙双方商定降低货物的价格，或由有资质的中介机构评估，以降低后的价格或评估价格为准。</w:t>
      </w:r>
    </w:p>
    <w:p w14:paraId="3B88A638">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45D7CD4">
      <w:pPr>
        <w:snapToGrid w:val="0"/>
        <w:spacing w:line="360" w:lineRule="auto"/>
        <w:ind w:firstLine="480" w:firstLineChars="200"/>
        <w:rPr>
          <w:rFonts w:hint="eastAsia" w:ascii="宋体" w:hAnsi="宋体" w:eastAsia="宋体" w:cs="宋体"/>
          <w:color w:val="000000"/>
          <w:sz w:val="24"/>
        </w:rPr>
      </w:pPr>
      <w:bookmarkStart w:id="7" w:name="_Ref127159050"/>
      <w:r>
        <w:rPr>
          <w:rFonts w:hint="eastAsia" w:ascii="宋体" w:hAnsi="宋体" w:eastAsia="宋体" w:cs="宋体"/>
          <w:color w:val="000000"/>
          <w:sz w:val="24"/>
        </w:rPr>
        <w:t>9.3乙方收到甲方发出的索赔通知之日起5个工作日内未作答复的，甲方可从合同款或履约保证金中扣回索赔金额，如金额不足以补偿索赔金额，乙方应补足差额部分。</w:t>
      </w:r>
      <w:bookmarkEnd w:id="7"/>
    </w:p>
    <w:p w14:paraId="118A7343">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10.违约责任</w:t>
      </w:r>
    </w:p>
    <w:p w14:paraId="07748532">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10.1 合同生效后，甲乙双方应按合同规定认真履约。合同履约责任只涉及合同甲乙双方，不考虑第三方因素。</w:t>
      </w:r>
    </w:p>
    <w:p w14:paraId="1C2676F4">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AAE336E">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10.3如乙方产品质量不符合国家标准、行业内控标准或本合同技术附件要求的，甲方有权退货，乙方应退还全部货款，并承担甲方合同总价款10％的违约金及其他损失。</w:t>
      </w:r>
    </w:p>
    <w:p w14:paraId="57F7ACB2">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10.4 在合同规定的供货期内乙方未全部交货，除应如数补齐外，还应承担合同总款的10％违约金。</w:t>
      </w:r>
    </w:p>
    <w:p w14:paraId="53A9092C">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10.5 乙方对货物不按招标文件要求，擅自更换，除恢复原招标产品外，应承担更换部分价款10%的违约金；乙方如对产品材质、随机配品以次充好，除全部按要求恢复外，应承担此部分价款10%的违约金。</w:t>
      </w:r>
    </w:p>
    <w:p w14:paraId="16D1B507">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61A916F">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4449F22A">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11.合同争议的解决</w:t>
      </w:r>
    </w:p>
    <w:p w14:paraId="63DC20DA">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11.1甲乙双方由于本合同的履行而发生任何争议时，双方可先通过协商解决。</w:t>
      </w:r>
    </w:p>
    <w:p w14:paraId="0EE5451B">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11.2任何一方不愿通过协商或通过协商仍不能解决争议，则双方中任何一方均应向甲方所在地人民法院起诉。</w:t>
      </w:r>
    </w:p>
    <w:p w14:paraId="0C98E498">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12.违约解除合同</w:t>
      </w:r>
    </w:p>
    <w:p w14:paraId="60864F24">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12.1出现下列情形之一的，视为乙方违约。甲方可向乙方发出书面通知，部分或全部终止合同，同时保留向乙方索赔的权利。</w:t>
      </w:r>
    </w:p>
    <w:p w14:paraId="1B971390">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12.1.1乙方未能在合同规定的限期或甲方同意延长的限期内，提供全部或部分货物的； </w:t>
      </w:r>
    </w:p>
    <w:p w14:paraId="0DD63BFB">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12.1.2乙方未能履行合同规定的其它主要义务的；</w:t>
      </w:r>
    </w:p>
    <w:p w14:paraId="6EC7B64A">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12.1.3乙方在本合同履行过程中有欺诈行为的。</w:t>
      </w:r>
    </w:p>
    <w:p w14:paraId="7EA9383B">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CDF194F">
      <w:pPr>
        <w:snapToGrid w:val="0"/>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13.其它事项</w:t>
      </w:r>
    </w:p>
    <w:p w14:paraId="55DAB880">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13.1 合同经双方签字盖章后生效。本合同一式五份，甲方执四份，乙方执一份，执行完毕后自行失效。</w:t>
      </w:r>
    </w:p>
    <w:p w14:paraId="42E4E74F">
      <w:pPr>
        <w:spacing w:line="360" w:lineRule="auto"/>
        <w:ind w:firstLine="470" w:firstLineChars="196"/>
        <w:rPr>
          <w:rFonts w:hint="eastAsia" w:ascii="宋体" w:hAnsi="宋体" w:eastAsia="宋体" w:cs="宋体"/>
          <w:color w:val="000000"/>
          <w:sz w:val="24"/>
        </w:rPr>
      </w:pPr>
      <w:r>
        <w:rPr>
          <w:rFonts w:hint="eastAsia" w:ascii="宋体" w:hAnsi="宋体" w:eastAsia="宋体" w:cs="宋体"/>
          <w:color w:val="000000"/>
          <w:sz w:val="24"/>
        </w:rPr>
        <w:t>13.2 合同的附件、投标文件均作为本合同不可分割的内容，且具有同等法律效力。合同的附件由甲方使用单位负责审核并签章。</w:t>
      </w:r>
    </w:p>
    <w:p w14:paraId="628A8F40">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13.3 在本合同执行过程中，甲、乙双方协商签订的补充合同与原合同具有同等法律效力。</w:t>
      </w:r>
    </w:p>
    <w:p w14:paraId="78A66403">
      <w:pPr>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13.4 未尽事宜，双方协商解决。</w:t>
      </w:r>
    </w:p>
    <w:p w14:paraId="2257B829">
      <w:pPr>
        <w:snapToGrid w:val="0"/>
        <w:spacing w:line="440" w:lineRule="exact"/>
        <w:ind w:firstLine="480" w:firstLineChars="200"/>
        <w:rPr>
          <w:rFonts w:hint="eastAsia" w:ascii="宋体" w:hAnsi="宋体" w:eastAsia="宋体" w:cs="宋体"/>
          <w:color w:val="000000"/>
          <w:sz w:val="24"/>
        </w:rPr>
      </w:pPr>
    </w:p>
    <w:p w14:paraId="1A40B41F">
      <w:pPr>
        <w:snapToGrid w:val="0"/>
        <w:spacing w:line="480" w:lineRule="exact"/>
        <w:rPr>
          <w:rFonts w:hint="eastAsia" w:ascii="宋体" w:hAnsi="宋体" w:eastAsia="宋体" w:cs="宋体"/>
          <w:b/>
          <w:color w:val="000000"/>
          <w:sz w:val="24"/>
        </w:rPr>
      </w:pPr>
      <w:r>
        <w:rPr>
          <w:rFonts w:hint="eastAsia" w:ascii="宋体" w:hAnsi="宋体" w:eastAsia="宋体" w:cs="宋体"/>
          <w:b/>
          <w:color w:val="000000"/>
          <w:sz w:val="24"/>
        </w:rPr>
        <w:t>合同签订地点：西安建筑科技大学</w:t>
      </w:r>
    </w:p>
    <w:p w14:paraId="3F4AB7B8">
      <w:pPr>
        <w:snapToGrid w:val="0"/>
        <w:spacing w:line="480" w:lineRule="exact"/>
        <w:rPr>
          <w:rFonts w:hint="eastAsia" w:ascii="宋体" w:hAnsi="宋体" w:eastAsia="宋体" w:cs="宋体"/>
          <w:b/>
          <w:color w:val="000000"/>
          <w:sz w:val="24"/>
        </w:rPr>
      </w:pPr>
      <w:r>
        <w:rPr>
          <w:rFonts w:hint="eastAsia" w:ascii="宋体" w:hAnsi="宋体" w:eastAsia="宋体" w:cs="宋体"/>
          <w:b/>
          <w:color w:val="000000"/>
          <w:sz w:val="24"/>
        </w:rPr>
        <w:t>合同签订时间：      年    月    日</w:t>
      </w:r>
    </w:p>
    <w:p w14:paraId="3076D900">
      <w:pPr>
        <w:snapToGrid w:val="0"/>
        <w:spacing w:line="480" w:lineRule="exact"/>
        <w:rPr>
          <w:rFonts w:hint="eastAsia" w:ascii="宋体" w:hAnsi="宋体" w:eastAsia="宋体" w:cs="宋体"/>
          <w:b/>
          <w:color w:val="000000"/>
          <w:sz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5050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A6F8F98">
            <w:pPr>
              <w:rPr>
                <w:rFonts w:hint="eastAsia" w:ascii="宋体" w:hAnsi="宋体" w:eastAsia="宋体" w:cs="宋体"/>
                <w:b/>
                <w:color w:val="000000"/>
                <w:sz w:val="24"/>
              </w:rPr>
            </w:pPr>
            <w:r>
              <w:rPr>
                <w:rFonts w:hint="eastAsia" w:ascii="宋体" w:hAnsi="宋体" w:eastAsia="宋体" w:cs="宋体"/>
                <w:b/>
                <w:color w:val="000000"/>
                <w:sz w:val="24"/>
              </w:rPr>
              <w:t>甲  方（盖章）：西安建筑科技大学</w:t>
            </w:r>
          </w:p>
        </w:tc>
        <w:tc>
          <w:tcPr>
            <w:tcW w:w="4503" w:type="dxa"/>
            <w:vAlign w:val="center"/>
          </w:tcPr>
          <w:p w14:paraId="04E495B6">
            <w:pPr>
              <w:rPr>
                <w:rFonts w:hint="eastAsia" w:ascii="宋体" w:hAnsi="宋体" w:eastAsia="宋体" w:cs="宋体"/>
                <w:color w:val="000000"/>
                <w:sz w:val="24"/>
              </w:rPr>
            </w:pPr>
            <w:r>
              <w:rPr>
                <w:rFonts w:hint="eastAsia" w:ascii="宋体" w:hAnsi="宋体" w:eastAsia="宋体" w:cs="宋体"/>
                <w:b/>
                <w:color w:val="000000"/>
                <w:sz w:val="24"/>
              </w:rPr>
              <w:t>乙  方（盖章）：</w:t>
            </w:r>
          </w:p>
        </w:tc>
      </w:tr>
      <w:tr w14:paraId="19B5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AD9F93F">
            <w:pPr>
              <w:rPr>
                <w:rFonts w:hint="eastAsia" w:ascii="宋体" w:hAnsi="宋体" w:eastAsia="宋体" w:cs="宋体"/>
                <w:color w:val="000000"/>
                <w:sz w:val="24"/>
              </w:rPr>
            </w:pPr>
            <w:r>
              <w:rPr>
                <w:rFonts w:hint="eastAsia" w:ascii="宋体" w:hAnsi="宋体" w:eastAsia="宋体" w:cs="宋体"/>
                <w:b/>
                <w:color w:val="000000"/>
                <w:sz w:val="24"/>
              </w:rPr>
              <w:t>地  址：西安市雁塔路13号</w:t>
            </w:r>
          </w:p>
        </w:tc>
        <w:tc>
          <w:tcPr>
            <w:tcW w:w="4503" w:type="dxa"/>
            <w:vAlign w:val="center"/>
          </w:tcPr>
          <w:p w14:paraId="073BBC5C">
            <w:pPr>
              <w:rPr>
                <w:rFonts w:hint="eastAsia" w:ascii="宋体" w:hAnsi="宋体" w:eastAsia="宋体" w:cs="宋体"/>
                <w:color w:val="000000"/>
                <w:sz w:val="24"/>
              </w:rPr>
            </w:pPr>
            <w:r>
              <w:rPr>
                <w:rFonts w:hint="eastAsia" w:ascii="宋体" w:hAnsi="宋体" w:eastAsia="宋体" w:cs="宋体"/>
                <w:b/>
                <w:color w:val="000000"/>
                <w:sz w:val="24"/>
              </w:rPr>
              <w:t>地  址：</w:t>
            </w:r>
          </w:p>
        </w:tc>
      </w:tr>
      <w:tr w14:paraId="2C39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BAFCAD5">
            <w:pPr>
              <w:rPr>
                <w:rFonts w:hint="eastAsia" w:ascii="宋体" w:hAnsi="宋体" w:eastAsia="宋体" w:cs="宋体"/>
                <w:color w:val="000000"/>
                <w:sz w:val="24"/>
              </w:rPr>
            </w:pPr>
            <w:r>
              <w:rPr>
                <w:rFonts w:hint="eastAsia" w:ascii="宋体" w:hAnsi="宋体" w:eastAsia="宋体" w:cs="宋体"/>
                <w:b/>
                <w:color w:val="000000"/>
                <w:sz w:val="24"/>
              </w:rPr>
              <w:t>法定代表人（签字）：</w:t>
            </w:r>
          </w:p>
        </w:tc>
        <w:tc>
          <w:tcPr>
            <w:tcW w:w="4503" w:type="dxa"/>
            <w:vAlign w:val="center"/>
          </w:tcPr>
          <w:p w14:paraId="5205311C">
            <w:pPr>
              <w:rPr>
                <w:rFonts w:hint="eastAsia" w:ascii="宋体" w:hAnsi="宋体" w:eastAsia="宋体" w:cs="宋体"/>
                <w:color w:val="000000"/>
                <w:sz w:val="24"/>
              </w:rPr>
            </w:pPr>
            <w:r>
              <w:rPr>
                <w:rFonts w:hint="eastAsia" w:ascii="宋体" w:hAnsi="宋体" w:eastAsia="宋体" w:cs="宋体"/>
                <w:b/>
                <w:color w:val="000000"/>
                <w:sz w:val="24"/>
              </w:rPr>
              <w:t>法定代表人（签字）：</w:t>
            </w:r>
          </w:p>
        </w:tc>
      </w:tr>
      <w:tr w14:paraId="5A8C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0EE2948">
            <w:pPr>
              <w:rPr>
                <w:rFonts w:hint="eastAsia" w:ascii="宋体" w:hAnsi="宋体" w:eastAsia="宋体" w:cs="宋体"/>
                <w:color w:val="000000"/>
                <w:sz w:val="24"/>
              </w:rPr>
            </w:pPr>
            <w:r>
              <w:rPr>
                <w:rFonts w:hint="eastAsia" w:ascii="宋体" w:hAnsi="宋体" w:eastAsia="宋体" w:cs="宋体"/>
                <w:b/>
                <w:color w:val="000000"/>
                <w:sz w:val="24"/>
              </w:rPr>
              <w:t>委托代理人（签字）：</w:t>
            </w:r>
          </w:p>
        </w:tc>
        <w:tc>
          <w:tcPr>
            <w:tcW w:w="4503" w:type="dxa"/>
            <w:vAlign w:val="center"/>
          </w:tcPr>
          <w:p w14:paraId="0BB2845A">
            <w:pPr>
              <w:rPr>
                <w:rFonts w:hint="eastAsia" w:ascii="宋体" w:hAnsi="宋体" w:eastAsia="宋体" w:cs="宋体"/>
                <w:color w:val="000000"/>
                <w:sz w:val="24"/>
              </w:rPr>
            </w:pPr>
            <w:r>
              <w:rPr>
                <w:rFonts w:hint="eastAsia" w:ascii="宋体" w:hAnsi="宋体" w:eastAsia="宋体" w:cs="宋体"/>
                <w:b/>
                <w:color w:val="000000"/>
                <w:sz w:val="24"/>
              </w:rPr>
              <w:t>委托代理人（签字）：</w:t>
            </w:r>
          </w:p>
        </w:tc>
      </w:tr>
      <w:tr w14:paraId="6EA0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059BADE">
            <w:pPr>
              <w:rPr>
                <w:rFonts w:hint="eastAsia" w:ascii="宋体" w:hAnsi="宋体" w:eastAsia="宋体" w:cs="宋体"/>
                <w:color w:val="000000"/>
                <w:sz w:val="24"/>
              </w:rPr>
            </w:pPr>
            <w:r>
              <w:rPr>
                <w:rFonts w:hint="eastAsia" w:ascii="宋体" w:hAnsi="宋体" w:eastAsia="宋体" w:cs="宋体"/>
                <w:b/>
                <w:color w:val="000000"/>
                <w:sz w:val="24"/>
              </w:rPr>
              <w:t>开户名：西安建筑科技大学</w:t>
            </w:r>
          </w:p>
        </w:tc>
        <w:tc>
          <w:tcPr>
            <w:tcW w:w="4503" w:type="dxa"/>
            <w:vAlign w:val="center"/>
          </w:tcPr>
          <w:p w14:paraId="1D62B403">
            <w:pPr>
              <w:rPr>
                <w:rFonts w:hint="eastAsia" w:ascii="宋体" w:hAnsi="宋体" w:eastAsia="宋体" w:cs="宋体"/>
                <w:color w:val="000000"/>
                <w:sz w:val="24"/>
              </w:rPr>
            </w:pPr>
            <w:r>
              <w:rPr>
                <w:rFonts w:hint="eastAsia" w:ascii="宋体" w:hAnsi="宋体" w:eastAsia="宋体" w:cs="宋体"/>
                <w:b/>
                <w:color w:val="000000"/>
                <w:sz w:val="24"/>
              </w:rPr>
              <w:t>开户名：</w:t>
            </w:r>
          </w:p>
        </w:tc>
      </w:tr>
      <w:tr w14:paraId="0811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1CDD8E2">
            <w:pPr>
              <w:rPr>
                <w:rFonts w:hint="eastAsia" w:ascii="宋体" w:hAnsi="宋体" w:eastAsia="宋体" w:cs="宋体"/>
                <w:b/>
                <w:color w:val="000000"/>
                <w:sz w:val="24"/>
              </w:rPr>
            </w:pPr>
            <w:r>
              <w:rPr>
                <w:rFonts w:hint="eastAsia" w:ascii="宋体" w:hAnsi="宋体" w:eastAsia="宋体" w:cs="宋体"/>
                <w:b/>
                <w:color w:val="000000"/>
                <w:sz w:val="24"/>
              </w:rPr>
              <w:t>开户行：工行雁塔路支行</w:t>
            </w:r>
          </w:p>
          <w:p w14:paraId="71060F92">
            <w:pPr>
              <w:rPr>
                <w:rFonts w:hint="eastAsia" w:ascii="宋体" w:hAnsi="宋体" w:eastAsia="宋体" w:cs="宋体"/>
                <w:color w:val="000000"/>
                <w:sz w:val="24"/>
              </w:rPr>
            </w:pPr>
            <w:r>
              <w:rPr>
                <w:rFonts w:hint="eastAsia" w:ascii="宋体" w:hAnsi="宋体" w:eastAsia="宋体" w:cs="宋体"/>
                <w:b/>
                <w:color w:val="000000"/>
                <w:sz w:val="24"/>
              </w:rPr>
              <w:t>税  号: 1261000043523106XB</w:t>
            </w:r>
          </w:p>
        </w:tc>
        <w:tc>
          <w:tcPr>
            <w:tcW w:w="4503" w:type="dxa"/>
            <w:vAlign w:val="center"/>
          </w:tcPr>
          <w:p w14:paraId="10903A18">
            <w:pPr>
              <w:rPr>
                <w:rFonts w:hint="eastAsia" w:ascii="宋体" w:hAnsi="宋体" w:eastAsia="宋体" w:cs="宋体"/>
                <w:color w:val="000000"/>
                <w:sz w:val="24"/>
              </w:rPr>
            </w:pPr>
            <w:r>
              <w:rPr>
                <w:rFonts w:hint="eastAsia" w:ascii="宋体" w:hAnsi="宋体" w:eastAsia="宋体" w:cs="宋体"/>
                <w:b/>
                <w:color w:val="000000"/>
                <w:sz w:val="24"/>
              </w:rPr>
              <w:t>开户行：</w:t>
            </w:r>
          </w:p>
        </w:tc>
      </w:tr>
      <w:tr w14:paraId="2C21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FA1DB75">
            <w:pPr>
              <w:rPr>
                <w:rFonts w:hint="eastAsia" w:ascii="宋体" w:hAnsi="宋体" w:eastAsia="宋体" w:cs="宋体"/>
                <w:color w:val="000000"/>
                <w:sz w:val="24"/>
              </w:rPr>
            </w:pPr>
            <w:r>
              <w:rPr>
                <w:rFonts w:hint="eastAsia" w:ascii="宋体" w:hAnsi="宋体" w:eastAsia="宋体" w:cs="宋体"/>
                <w:b/>
                <w:color w:val="000000"/>
                <w:sz w:val="24"/>
              </w:rPr>
              <w:t>帐  号：3700023009026400639</w:t>
            </w:r>
          </w:p>
        </w:tc>
        <w:tc>
          <w:tcPr>
            <w:tcW w:w="4503" w:type="dxa"/>
            <w:vAlign w:val="center"/>
          </w:tcPr>
          <w:p w14:paraId="1F6CCDD4">
            <w:pPr>
              <w:rPr>
                <w:rFonts w:hint="eastAsia" w:ascii="宋体" w:hAnsi="宋体" w:eastAsia="宋体" w:cs="宋体"/>
                <w:color w:val="000000"/>
                <w:sz w:val="24"/>
              </w:rPr>
            </w:pPr>
            <w:r>
              <w:rPr>
                <w:rFonts w:hint="eastAsia" w:ascii="宋体" w:hAnsi="宋体" w:eastAsia="宋体" w:cs="宋体"/>
                <w:b/>
                <w:color w:val="000000"/>
                <w:sz w:val="24"/>
              </w:rPr>
              <w:t>帐  号：</w:t>
            </w:r>
          </w:p>
        </w:tc>
      </w:tr>
      <w:tr w14:paraId="6E90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AD3F2CC">
            <w:pPr>
              <w:rPr>
                <w:rFonts w:hint="eastAsia" w:ascii="宋体" w:hAnsi="宋体" w:eastAsia="宋体" w:cs="宋体"/>
                <w:color w:val="000000"/>
                <w:sz w:val="24"/>
              </w:rPr>
            </w:pPr>
            <w:r>
              <w:rPr>
                <w:rFonts w:hint="eastAsia" w:ascii="宋体" w:hAnsi="宋体" w:eastAsia="宋体" w:cs="宋体"/>
                <w:b/>
                <w:color w:val="000000"/>
                <w:sz w:val="24"/>
              </w:rPr>
              <w:t>联系人：</w:t>
            </w:r>
            <w:r>
              <w:rPr>
                <w:rFonts w:hint="eastAsia" w:ascii="宋体" w:hAnsi="宋体" w:eastAsia="宋体" w:cs="宋体"/>
                <w:b/>
                <w:bCs/>
                <w:color w:val="000000"/>
                <w:sz w:val="24"/>
              </w:rPr>
              <w:t xml:space="preserve"> 刘世泽</w:t>
            </w:r>
          </w:p>
        </w:tc>
        <w:tc>
          <w:tcPr>
            <w:tcW w:w="4503" w:type="dxa"/>
            <w:vAlign w:val="center"/>
          </w:tcPr>
          <w:p w14:paraId="00163236">
            <w:pPr>
              <w:rPr>
                <w:rFonts w:hint="eastAsia" w:ascii="宋体" w:hAnsi="宋体" w:eastAsia="宋体" w:cs="宋体"/>
                <w:color w:val="000000"/>
                <w:sz w:val="24"/>
              </w:rPr>
            </w:pPr>
            <w:r>
              <w:rPr>
                <w:rFonts w:hint="eastAsia" w:ascii="宋体" w:hAnsi="宋体" w:eastAsia="宋体" w:cs="宋体"/>
                <w:b/>
                <w:color w:val="000000"/>
                <w:sz w:val="24"/>
              </w:rPr>
              <w:t>联系人：</w:t>
            </w:r>
          </w:p>
        </w:tc>
      </w:tr>
      <w:tr w14:paraId="5764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AEC21D2">
            <w:pPr>
              <w:rPr>
                <w:rFonts w:hint="eastAsia" w:ascii="宋体" w:hAnsi="宋体" w:eastAsia="宋体" w:cs="宋体"/>
                <w:color w:val="000000"/>
                <w:sz w:val="24"/>
              </w:rPr>
            </w:pPr>
            <w:r>
              <w:rPr>
                <w:rFonts w:hint="eastAsia" w:ascii="宋体" w:hAnsi="宋体" w:eastAsia="宋体" w:cs="宋体"/>
                <w:b/>
                <w:color w:val="000000"/>
                <w:sz w:val="24"/>
              </w:rPr>
              <w:t>联系电话：029-82202312</w:t>
            </w:r>
          </w:p>
        </w:tc>
        <w:tc>
          <w:tcPr>
            <w:tcW w:w="4503" w:type="dxa"/>
            <w:vAlign w:val="center"/>
          </w:tcPr>
          <w:p w14:paraId="5FDA5E69">
            <w:pPr>
              <w:rPr>
                <w:rFonts w:hint="eastAsia" w:ascii="宋体" w:hAnsi="宋体" w:eastAsia="宋体" w:cs="宋体"/>
                <w:color w:val="000000"/>
                <w:sz w:val="24"/>
              </w:rPr>
            </w:pPr>
            <w:r>
              <w:rPr>
                <w:rFonts w:hint="eastAsia" w:ascii="宋体" w:hAnsi="宋体" w:eastAsia="宋体" w:cs="宋体"/>
                <w:b/>
                <w:color w:val="000000"/>
                <w:sz w:val="24"/>
              </w:rPr>
              <w:t>联系电话：</w:t>
            </w:r>
          </w:p>
        </w:tc>
      </w:tr>
    </w:tbl>
    <w:p w14:paraId="53636C7A">
      <w:pPr>
        <w:rPr>
          <w:rFonts w:hint="eastAsia" w:ascii="宋体" w:hAnsi="宋体" w:eastAsia="宋体" w:cs="宋体"/>
          <w:b/>
          <w:color w:val="000000"/>
          <w:sz w:val="24"/>
        </w:rPr>
      </w:pPr>
    </w:p>
    <w:p w14:paraId="2845789C">
      <w:pPr>
        <w:pStyle w:val="11"/>
        <w:rPr>
          <w:rFonts w:ascii="宋体" w:hAnsi="宋体" w:eastAsia="宋体" w:cs="宋体"/>
        </w:rPr>
      </w:pPr>
    </w:p>
    <w:p w14:paraId="31359C18">
      <w:pPr>
        <w:ind w:firstLine="236" w:firstLineChars="98"/>
        <w:rPr>
          <w:rFonts w:hint="eastAsia" w:ascii="宋体" w:hAnsi="宋体" w:eastAsia="宋体" w:cs="宋体"/>
          <w:b/>
          <w:color w:val="000000"/>
          <w:sz w:val="24"/>
          <w:szCs w:val="24"/>
        </w:rPr>
      </w:pPr>
      <w:bookmarkStart w:id="25" w:name="_GoBack"/>
      <w:bookmarkEnd w:id="25"/>
      <w:r>
        <w:rPr>
          <w:rFonts w:hint="eastAsia" w:ascii="宋体" w:hAnsi="宋体" w:eastAsia="宋体" w:cs="宋体"/>
          <w:b/>
          <w:color w:val="000000"/>
          <w:sz w:val="24"/>
          <w:szCs w:val="24"/>
        </w:rPr>
        <w:br w:type="page"/>
      </w:r>
      <w:r>
        <w:rPr>
          <w:rFonts w:hint="eastAsia" w:ascii="宋体" w:hAnsi="宋体" w:eastAsia="宋体" w:cs="宋体"/>
          <w:b/>
          <w:color w:val="000000"/>
          <w:sz w:val="24"/>
          <w:szCs w:val="24"/>
        </w:rPr>
        <w:t>附件：技术协议</w:t>
      </w:r>
    </w:p>
    <w:p w14:paraId="1427B8A8">
      <w:pPr>
        <w:spacing w:line="360" w:lineRule="auto"/>
        <w:ind w:firstLine="482" w:firstLineChars="200"/>
        <w:rPr>
          <w:rFonts w:hint="eastAsia" w:ascii="宋体" w:hAnsi="宋体" w:eastAsia="宋体" w:cs="宋体"/>
          <w:b/>
          <w:color w:val="000000"/>
          <w:sz w:val="24"/>
          <w:szCs w:val="24"/>
        </w:rPr>
      </w:pPr>
      <w:bookmarkStart w:id="8" w:name="_Toc390373038"/>
      <w:bookmarkStart w:id="9" w:name="_Toc390360542"/>
      <w:r>
        <w:rPr>
          <w:rFonts w:hint="eastAsia" w:ascii="宋体" w:hAnsi="宋体" w:eastAsia="宋体" w:cs="宋体"/>
          <w:b/>
          <w:color w:val="000000"/>
          <w:sz w:val="24"/>
          <w:szCs w:val="24"/>
        </w:rPr>
        <w:t>1.中标产品技术参数明细</w:t>
      </w:r>
    </w:p>
    <w:p w14:paraId="458C3D8B">
      <w:pPr>
        <w:spacing w:line="360" w:lineRule="auto"/>
        <w:ind w:firstLine="480" w:firstLineChars="200"/>
        <w:rPr>
          <w:rFonts w:hint="eastAsia" w:ascii="宋体" w:hAnsi="宋体" w:eastAsia="宋体" w:cs="宋体"/>
          <w:b/>
          <w:color w:val="000000"/>
          <w:sz w:val="24"/>
          <w:szCs w:val="24"/>
        </w:rPr>
      </w:pPr>
      <w:r>
        <w:rPr>
          <w:rFonts w:hint="eastAsia" w:ascii="宋体" w:hAnsi="宋体" w:eastAsia="宋体" w:cs="宋体"/>
          <w:color w:val="000000"/>
          <w:kern w:val="0"/>
          <w:sz w:val="24"/>
          <w:szCs w:val="24"/>
        </w:rPr>
        <w:t>我公司承诺：合同中数列产品均满足标书及使用要求，无任何负偏离。并与所供产品完全一致。</w:t>
      </w:r>
    </w:p>
    <w:bookmarkEnd w:id="8"/>
    <w:bookmarkEnd w:id="9"/>
    <w:p w14:paraId="572C9CB4">
      <w:pPr>
        <w:spacing w:line="360" w:lineRule="auto"/>
        <w:ind w:firstLine="482" w:firstLineChars="200"/>
        <w:rPr>
          <w:rStyle w:val="10"/>
          <w:rFonts w:hint="eastAsia" w:ascii="宋体" w:hAnsi="宋体" w:eastAsia="宋体" w:cs="宋体"/>
          <w:color w:val="000000"/>
          <w:sz w:val="24"/>
          <w:szCs w:val="24"/>
        </w:rPr>
      </w:pPr>
      <w:r>
        <w:rPr>
          <w:rStyle w:val="10"/>
          <w:rFonts w:hint="eastAsia" w:ascii="宋体" w:hAnsi="宋体" w:eastAsia="宋体" w:cs="宋体"/>
          <w:color w:val="000000"/>
          <w:sz w:val="24"/>
          <w:szCs w:val="24"/>
        </w:rPr>
        <w:t>1.1设备特性</w:t>
      </w:r>
    </w:p>
    <w:p w14:paraId="7B6F83D2">
      <w:pPr>
        <w:spacing w:line="360" w:lineRule="auto"/>
        <w:ind w:firstLine="482" w:firstLineChars="200"/>
        <w:rPr>
          <w:rStyle w:val="10"/>
          <w:rFonts w:hint="eastAsia" w:ascii="宋体" w:hAnsi="宋体" w:eastAsia="宋体" w:cs="宋体"/>
          <w:color w:val="000000"/>
          <w:sz w:val="24"/>
          <w:szCs w:val="24"/>
        </w:rPr>
      </w:pPr>
      <w:r>
        <w:rPr>
          <w:rStyle w:val="10"/>
          <w:rFonts w:hint="eastAsia" w:ascii="宋体" w:hAnsi="宋体" w:eastAsia="宋体" w:cs="宋体"/>
          <w:color w:val="000000"/>
          <w:sz w:val="24"/>
          <w:szCs w:val="24"/>
        </w:rPr>
        <w:t>1.2</w:t>
      </w:r>
      <w:r>
        <w:rPr>
          <w:rFonts w:hint="eastAsia" w:ascii="宋体" w:hAnsi="宋体" w:eastAsia="宋体" w:cs="宋体"/>
          <w:b/>
          <w:color w:val="000000"/>
          <w:sz w:val="24"/>
          <w:szCs w:val="24"/>
        </w:rPr>
        <w:t>设备用途</w:t>
      </w:r>
    </w:p>
    <w:p w14:paraId="0A2A8187">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1.3设备主要参数指标</w:t>
      </w:r>
    </w:p>
    <w:p w14:paraId="494691AD">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1.4质量要求与安全要求</w:t>
      </w:r>
    </w:p>
    <w:p w14:paraId="63720FC4">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1.5设备运行一般流程图</w:t>
      </w:r>
    </w:p>
    <w:p w14:paraId="540996D1">
      <w:pPr>
        <w:spacing w:line="360" w:lineRule="auto"/>
        <w:ind w:firstLine="482" w:firstLineChars="200"/>
        <w:rPr>
          <w:rStyle w:val="10"/>
          <w:rFonts w:hint="eastAsia" w:ascii="宋体" w:hAnsi="宋体" w:eastAsia="宋体" w:cs="宋体"/>
          <w:color w:val="000000"/>
          <w:sz w:val="24"/>
          <w:szCs w:val="24"/>
        </w:rPr>
      </w:pPr>
    </w:p>
    <w:p w14:paraId="60CDD374">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2.售后服务内容</w:t>
      </w:r>
      <w:bookmarkStart w:id="10" w:name="_Toc390373053"/>
      <w:bookmarkStart w:id="11" w:name="_Toc373263358"/>
      <w:bookmarkStart w:id="12" w:name="_Toc390360557"/>
    </w:p>
    <w:bookmarkEnd w:id="10"/>
    <w:bookmarkEnd w:id="11"/>
    <w:bookmarkEnd w:id="12"/>
    <w:p w14:paraId="50BF643B">
      <w:pPr>
        <w:spacing w:line="360" w:lineRule="auto"/>
        <w:ind w:firstLine="482" w:firstLineChars="200"/>
        <w:rPr>
          <w:rFonts w:hint="eastAsia" w:ascii="宋体" w:hAnsi="宋体" w:eastAsia="宋体" w:cs="宋体"/>
          <w:b/>
          <w:color w:val="000000"/>
          <w:sz w:val="24"/>
          <w:szCs w:val="24"/>
        </w:rPr>
      </w:pPr>
      <w:bookmarkStart w:id="13" w:name="_Toc390373054"/>
      <w:bookmarkStart w:id="14" w:name="_Toc373263359"/>
      <w:bookmarkStart w:id="15" w:name="_Toc390360558"/>
      <w:r>
        <w:rPr>
          <w:rFonts w:hint="eastAsia" w:ascii="宋体" w:hAnsi="宋体" w:eastAsia="宋体" w:cs="宋体"/>
          <w:b/>
          <w:color w:val="000000"/>
          <w:sz w:val="24"/>
          <w:szCs w:val="24"/>
        </w:rPr>
        <w:t>2.1技术服务、售后服务体系、故障响应时间、应急维修措施</w:t>
      </w:r>
      <w:bookmarkEnd w:id="13"/>
      <w:bookmarkEnd w:id="14"/>
      <w:bookmarkEnd w:id="15"/>
    </w:p>
    <w:p w14:paraId="30A116B0">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2.1.1技术服务措施</w:t>
      </w:r>
    </w:p>
    <w:p w14:paraId="495ECA50">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2.1.2售后服务体系</w:t>
      </w:r>
    </w:p>
    <w:p w14:paraId="18DBE188">
      <w:pPr>
        <w:spacing w:line="360" w:lineRule="auto"/>
        <w:ind w:firstLine="480" w:firstLineChars="200"/>
        <w:jc w:val="left"/>
        <w:outlineLvl w:val="0"/>
        <w:rPr>
          <w:rFonts w:hint="eastAsia" w:ascii="宋体" w:hAnsi="宋体" w:eastAsia="宋体" w:cs="宋体"/>
          <w:color w:val="000000"/>
          <w:sz w:val="24"/>
          <w:szCs w:val="24"/>
        </w:rPr>
      </w:pPr>
      <w:bookmarkStart w:id="16" w:name="_Toc4492"/>
      <w:r>
        <w:rPr>
          <w:rFonts w:hint="eastAsia" w:ascii="宋体" w:hAnsi="宋体" w:eastAsia="宋体" w:cs="宋体"/>
          <w:color w:val="000000"/>
          <w:sz w:val="24"/>
          <w:szCs w:val="24"/>
        </w:rPr>
        <w:t>质保期内服务</w:t>
      </w:r>
      <w:bookmarkEnd w:id="16"/>
    </w:p>
    <w:p w14:paraId="1833057B">
      <w:pPr>
        <w:spacing w:line="360" w:lineRule="auto"/>
        <w:ind w:firstLine="480" w:firstLineChars="200"/>
        <w:jc w:val="left"/>
        <w:outlineLvl w:val="0"/>
        <w:rPr>
          <w:rFonts w:hint="eastAsia" w:ascii="宋体" w:hAnsi="宋体" w:eastAsia="宋体" w:cs="宋体"/>
          <w:color w:val="000000"/>
          <w:sz w:val="24"/>
          <w:szCs w:val="24"/>
        </w:rPr>
      </w:pPr>
      <w:bookmarkStart w:id="17" w:name="_Toc3772"/>
      <w:r>
        <w:rPr>
          <w:rFonts w:hint="eastAsia" w:ascii="宋体" w:hAnsi="宋体" w:eastAsia="宋体" w:cs="宋体"/>
          <w:color w:val="000000"/>
          <w:sz w:val="24"/>
          <w:szCs w:val="24"/>
        </w:rPr>
        <w:t>质保期外服务</w:t>
      </w:r>
      <w:bookmarkEnd w:id="17"/>
    </w:p>
    <w:p w14:paraId="1AF35A48">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2.1.3故障响应时间</w:t>
      </w:r>
    </w:p>
    <w:p w14:paraId="4D90850C">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2.1.4应急维修措施</w:t>
      </w:r>
      <w:bookmarkStart w:id="18" w:name="_Toc373263360"/>
      <w:bookmarkStart w:id="19" w:name="_Toc390360559"/>
      <w:bookmarkStart w:id="20" w:name="_Toc390373055"/>
    </w:p>
    <w:p w14:paraId="5ACE1F15">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2.1.5易损件、备件的供应</w:t>
      </w:r>
    </w:p>
    <w:p w14:paraId="1AD6CD12">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2.1.6质保期以外技术支持或技术服务</w:t>
      </w:r>
    </w:p>
    <w:p w14:paraId="1E9CDDD8">
      <w:pPr>
        <w:spacing w:line="360" w:lineRule="auto"/>
        <w:ind w:right="210" w:rightChars="100" w:firstLine="480" w:firstLineChars="200"/>
        <w:outlineLvl w:val="3"/>
        <w:rPr>
          <w:rFonts w:hint="eastAsia" w:ascii="宋体" w:hAnsi="宋体" w:eastAsia="宋体" w:cs="宋体"/>
          <w:color w:val="000000"/>
          <w:sz w:val="24"/>
          <w:szCs w:val="24"/>
        </w:rPr>
      </w:pPr>
      <w:r>
        <w:rPr>
          <w:rFonts w:hint="eastAsia" w:ascii="宋体" w:hAnsi="宋体" w:eastAsia="宋体" w:cs="宋体"/>
          <w:color w:val="000000"/>
          <w:sz w:val="24"/>
          <w:szCs w:val="24"/>
        </w:rPr>
        <w:t>2.1.7制定切实可行的操作规程和使用指南</w:t>
      </w:r>
    </w:p>
    <w:p w14:paraId="2489DCC3">
      <w:pPr>
        <w:spacing w:line="360" w:lineRule="auto"/>
        <w:ind w:right="210" w:rightChars="100" w:firstLine="480" w:firstLineChars="200"/>
        <w:outlineLvl w:val="3"/>
        <w:rPr>
          <w:rFonts w:hint="eastAsia" w:ascii="宋体" w:hAnsi="宋体" w:eastAsia="宋体" w:cs="宋体"/>
          <w:color w:val="000000"/>
          <w:sz w:val="24"/>
          <w:szCs w:val="24"/>
        </w:rPr>
      </w:pPr>
    </w:p>
    <w:p w14:paraId="52FE2F12">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3.培训服务内容</w:t>
      </w:r>
    </w:p>
    <w:p w14:paraId="4D498E44">
      <w:pPr>
        <w:spacing w:line="360" w:lineRule="auto"/>
        <w:ind w:right="210" w:rightChars="100" w:firstLine="482" w:firstLineChars="200"/>
        <w:outlineLvl w:val="3"/>
        <w:rPr>
          <w:rFonts w:hint="eastAsia" w:ascii="宋体" w:hAnsi="宋体" w:eastAsia="宋体" w:cs="宋体"/>
          <w:b/>
          <w:color w:val="000000"/>
          <w:sz w:val="24"/>
          <w:szCs w:val="24"/>
        </w:rPr>
      </w:pPr>
      <w:r>
        <w:rPr>
          <w:rFonts w:hint="eastAsia" w:ascii="宋体" w:hAnsi="宋体" w:eastAsia="宋体" w:cs="宋体"/>
          <w:b/>
          <w:color w:val="000000"/>
          <w:sz w:val="24"/>
          <w:szCs w:val="24"/>
        </w:rPr>
        <w:t>3.1培训方案</w:t>
      </w:r>
    </w:p>
    <w:p w14:paraId="77B2D51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培训目标和要求</w:t>
      </w:r>
    </w:p>
    <w:p w14:paraId="40D1D72F">
      <w:pPr>
        <w:spacing w:line="360" w:lineRule="auto"/>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3.2培训对象</w:t>
      </w:r>
    </w:p>
    <w:p w14:paraId="64F14017">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3.3培训方式</w:t>
      </w:r>
    </w:p>
    <w:p w14:paraId="208CE6C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3.3.1系统使用培训：</w:t>
      </w:r>
    </w:p>
    <w:p w14:paraId="28CE5B31">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3.3.2培训课程及培训人数：</w:t>
      </w:r>
    </w:p>
    <w:p w14:paraId="5C09F45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3.3.3培训教师安排</w:t>
      </w:r>
    </w:p>
    <w:p w14:paraId="49B25CD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3.3.4培训时间安排</w:t>
      </w:r>
    </w:p>
    <w:p w14:paraId="2CE84F45">
      <w:pPr>
        <w:spacing w:line="360" w:lineRule="auto"/>
        <w:ind w:firstLine="480" w:firstLineChars="200"/>
        <w:outlineLvl w:val="1"/>
        <w:rPr>
          <w:rFonts w:hint="eastAsia" w:ascii="宋体" w:hAnsi="宋体" w:eastAsia="宋体" w:cs="宋体"/>
          <w:color w:val="000000"/>
          <w:sz w:val="24"/>
          <w:szCs w:val="24"/>
        </w:rPr>
      </w:pPr>
      <w:bookmarkStart w:id="21" w:name="_Toc23713"/>
      <w:r>
        <w:rPr>
          <w:rFonts w:hint="eastAsia" w:ascii="宋体" w:hAnsi="宋体" w:eastAsia="宋体" w:cs="宋体"/>
          <w:color w:val="000000"/>
          <w:sz w:val="24"/>
          <w:szCs w:val="24"/>
        </w:rPr>
        <w:t>3.3.5培训及安全保证</w:t>
      </w:r>
      <w:bookmarkEnd w:id="21"/>
    </w:p>
    <w:p w14:paraId="6BE5D5C8">
      <w:pPr>
        <w:pStyle w:val="7"/>
        <w:spacing w:line="360" w:lineRule="auto"/>
        <w:rPr>
          <w:rFonts w:hint="eastAsia" w:ascii="宋体" w:hAnsi="宋体" w:eastAsia="宋体" w:cs="宋体"/>
          <w:snapToGrid w:val="0"/>
          <w:color w:val="000000"/>
          <w:sz w:val="24"/>
          <w:szCs w:val="24"/>
        </w:rPr>
      </w:pPr>
      <w:r>
        <w:rPr>
          <w:rFonts w:hint="eastAsia" w:ascii="宋体" w:hAnsi="宋体" w:eastAsia="宋体" w:cs="宋体"/>
          <w:snapToGrid w:val="0"/>
          <w:color w:val="000000"/>
          <w:sz w:val="24"/>
          <w:szCs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3027FAA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② 设备本体对可能造成伤害的部位均应采用防护板或防护网隔离并有醒目警示。</w:t>
      </w:r>
    </w:p>
    <w:p w14:paraId="7F38D6F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③ 所用电气元件均按照国标选配，确保稳定安全，符合三防要求。</w:t>
      </w:r>
    </w:p>
    <w:bookmarkEnd w:id="18"/>
    <w:bookmarkEnd w:id="19"/>
    <w:bookmarkEnd w:id="20"/>
    <w:p w14:paraId="6655BBE3">
      <w:pPr>
        <w:spacing w:line="440" w:lineRule="exact"/>
        <w:ind w:right="210" w:rightChars="100" w:firstLine="480" w:firstLineChars="200"/>
        <w:outlineLvl w:val="3"/>
        <w:rPr>
          <w:rFonts w:hint="eastAsia" w:ascii="宋体" w:hAnsi="宋体" w:eastAsia="宋体" w:cs="宋体"/>
          <w:color w:val="000000"/>
          <w:sz w:val="24"/>
          <w:szCs w:val="24"/>
        </w:rPr>
      </w:pPr>
    </w:p>
    <w:p w14:paraId="47D9ED40">
      <w:pPr>
        <w:spacing w:line="440" w:lineRule="exact"/>
        <w:jc w:val="left"/>
        <w:outlineLvl w:val="0"/>
        <w:rPr>
          <w:rFonts w:hint="eastAsia" w:ascii="宋体" w:hAnsi="宋体" w:eastAsia="宋体" w:cs="宋体"/>
          <w:color w:val="000000"/>
          <w:sz w:val="24"/>
          <w:szCs w:val="24"/>
        </w:rPr>
      </w:pPr>
    </w:p>
    <w:p w14:paraId="149E31D3">
      <w:pPr>
        <w:spacing w:line="440" w:lineRule="exact"/>
        <w:rPr>
          <w:rFonts w:hint="eastAsia" w:ascii="宋体" w:hAnsi="宋体" w:eastAsia="宋体" w:cs="宋体"/>
          <w:b/>
          <w:color w:val="000000"/>
          <w:sz w:val="24"/>
          <w:szCs w:val="24"/>
        </w:rPr>
      </w:pPr>
    </w:p>
    <w:p w14:paraId="729F1B0C">
      <w:pPr>
        <w:spacing w:line="440" w:lineRule="exact"/>
        <w:rPr>
          <w:rFonts w:hint="eastAsia" w:ascii="宋体" w:hAnsi="宋体" w:eastAsia="宋体" w:cs="宋体"/>
          <w:b/>
          <w:color w:val="000000"/>
          <w:sz w:val="24"/>
          <w:szCs w:val="24"/>
        </w:rPr>
      </w:pPr>
      <w:bookmarkStart w:id="22" w:name="_Toc345966650"/>
      <w:bookmarkStart w:id="23" w:name="_Toc345966825"/>
      <w:bookmarkStart w:id="24" w:name="_Toc346025578"/>
    </w:p>
    <w:p w14:paraId="4912F45A">
      <w:pPr>
        <w:pStyle w:val="12"/>
        <w:numPr>
          <w:ilvl w:val="1"/>
          <w:numId w:val="1"/>
        </w:numPr>
        <w:spacing w:line="440" w:lineRule="exact"/>
        <w:ind w:left="0" w:firstLine="0"/>
        <w:rPr>
          <w:rFonts w:hint="eastAsia" w:ascii="宋体" w:hAnsi="宋体" w:cs="宋体"/>
          <w:b/>
          <w:vanish/>
          <w:color w:val="000000"/>
          <w:sz w:val="24"/>
          <w:szCs w:val="24"/>
        </w:rPr>
      </w:pPr>
    </w:p>
    <w:p w14:paraId="5B8E3E1B">
      <w:pPr>
        <w:pStyle w:val="12"/>
        <w:numPr>
          <w:ilvl w:val="1"/>
          <w:numId w:val="1"/>
        </w:numPr>
        <w:spacing w:line="440" w:lineRule="exact"/>
        <w:ind w:left="0" w:firstLine="0"/>
        <w:rPr>
          <w:rFonts w:hint="eastAsia" w:ascii="宋体" w:hAnsi="宋体" w:cs="宋体"/>
          <w:b/>
          <w:vanish/>
          <w:color w:val="000000"/>
          <w:sz w:val="24"/>
          <w:szCs w:val="24"/>
        </w:rPr>
      </w:pPr>
    </w:p>
    <w:p w14:paraId="0BBB7866">
      <w:pPr>
        <w:pStyle w:val="12"/>
        <w:numPr>
          <w:ilvl w:val="1"/>
          <w:numId w:val="1"/>
        </w:numPr>
        <w:spacing w:line="440" w:lineRule="exact"/>
        <w:ind w:left="0" w:firstLine="0"/>
        <w:rPr>
          <w:rFonts w:hint="eastAsia" w:ascii="宋体" w:hAnsi="宋体" w:cs="宋体"/>
          <w:b/>
          <w:vanish/>
          <w:color w:val="000000"/>
          <w:sz w:val="24"/>
          <w:szCs w:val="24"/>
        </w:rPr>
      </w:pPr>
    </w:p>
    <w:p w14:paraId="232730E4">
      <w:pPr>
        <w:pStyle w:val="12"/>
        <w:numPr>
          <w:ilvl w:val="1"/>
          <w:numId w:val="1"/>
        </w:numPr>
        <w:spacing w:line="440" w:lineRule="exact"/>
        <w:ind w:left="0" w:firstLine="0"/>
        <w:rPr>
          <w:rFonts w:hint="eastAsia" w:ascii="宋体" w:hAnsi="宋体" w:cs="宋体"/>
          <w:b/>
          <w:vanish/>
          <w:color w:val="000000"/>
          <w:sz w:val="24"/>
          <w:szCs w:val="24"/>
        </w:rPr>
      </w:pPr>
    </w:p>
    <w:bookmarkEnd w:id="22"/>
    <w:bookmarkEnd w:id="23"/>
    <w:bookmarkEnd w:id="24"/>
    <w:p w14:paraId="171EABCF">
      <w:pPr>
        <w:spacing w:line="440" w:lineRule="exact"/>
        <w:rPr>
          <w:rFonts w:hint="eastAsia" w:ascii="宋体" w:hAnsi="宋体" w:eastAsia="宋体" w:cs="宋体"/>
          <w:color w:val="000000"/>
          <w:sz w:val="24"/>
          <w:szCs w:val="24"/>
        </w:rPr>
      </w:pPr>
    </w:p>
    <w:p w14:paraId="75DC48CE">
      <w:pPr>
        <w:spacing w:line="440" w:lineRule="exact"/>
        <w:ind w:firstLine="480" w:firstLineChars="200"/>
        <w:rPr>
          <w:rFonts w:hint="eastAsia" w:ascii="宋体" w:hAnsi="宋体" w:eastAsia="宋体" w:cs="宋体"/>
          <w:color w:val="000000"/>
          <w:sz w:val="24"/>
          <w:szCs w:val="24"/>
        </w:rPr>
      </w:pPr>
    </w:p>
    <w:p w14:paraId="593449F2">
      <w:pPr>
        <w:widowControl/>
        <w:spacing w:before="100" w:beforeAutospacing="1" w:after="100" w:afterAutospacing="1" w:line="32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甲方使用单位：西安建筑科技大学XX学院</w:t>
      </w:r>
      <w:r>
        <w:rPr>
          <w:rFonts w:hint="eastAsia" w:ascii="宋体" w:hAnsi="宋体" w:eastAsia="宋体" w:cs="宋体"/>
          <w:b/>
          <w:color w:val="000000"/>
          <w:sz w:val="24"/>
          <w:szCs w:val="24"/>
        </w:rPr>
        <w:tab/>
      </w:r>
      <w:r>
        <w:rPr>
          <w:rFonts w:hint="eastAsia" w:ascii="宋体" w:hAnsi="宋体" w:eastAsia="宋体" w:cs="宋体"/>
          <w:b/>
          <w:color w:val="000000"/>
          <w:sz w:val="24"/>
          <w:szCs w:val="24"/>
        </w:rPr>
        <w:t xml:space="preserve">          乙方： </w:t>
      </w:r>
    </w:p>
    <w:p w14:paraId="735AA5CB">
      <w:pPr>
        <w:rPr>
          <w:rFonts w:hint="eastAsia" w:ascii="宋体" w:hAnsi="宋体" w:eastAsia="宋体" w:cs="宋体"/>
          <w:b/>
          <w:color w:val="000000"/>
          <w:sz w:val="24"/>
          <w:szCs w:val="24"/>
        </w:rPr>
      </w:pPr>
    </w:p>
    <w:p w14:paraId="247D6D70">
      <w:pPr>
        <w:rPr>
          <w:rFonts w:hint="eastAsia" w:ascii="宋体" w:hAnsi="宋体" w:eastAsia="宋体" w:cs="宋体"/>
          <w:b/>
          <w:color w:val="000000"/>
          <w:sz w:val="24"/>
          <w:szCs w:val="24"/>
        </w:rPr>
      </w:pPr>
      <w:r>
        <w:rPr>
          <w:rFonts w:hint="eastAsia" w:ascii="宋体" w:hAnsi="宋体" w:eastAsia="宋体" w:cs="宋体"/>
          <w:b/>
          <w:color w:val="000000"/>
          <w:sz w:val="24"/>
          <w:szCs w:val="24"/>
        </w:rPr>
        <w:t>负责人：                                        负责人：</w:t>
      </w:r>
    </w:p>
    <w:p w14:paraId="7B2A035D">
      <w:pPr>
        <w:rPr>
          <w:rFonts w:hint="eastAsia" w:ascii="宋体" w:hAnsi="宋体" w:eastAsia="宋体" w:cs="宋体"/>
          <w:b/>
          <w:color w:val="000000"/>
          <w:sz w:val="24"/>
          <w:szCs w:val="24"/>
        </w:rPr>
      </w:pPr>
    </w:p>
    <w:p w14:paraId="1A82905B">
      <w:pPr>
        <w:rPr>
          <w:sz w:val="24"/>
          <w:szCs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F0B70">
    <w:pPr>
      <w:pStyle w:val="6"/>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6D716009">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D6A82"/>
    <w:rsid w:val="00EA40E8"/>
    <w:rsid w:val="097C1554"/>
    <w:rsid w:val="142474B9"/>
    <w:rsid w:val="145853B5"/>
    <w:rsid w:val="270429F9"/>
    <w:rsid w:val="4779309D"/>
    <w:rsid w:val="49AD6A82"/>
    <w:rsid w:val="4C39104D"/>
    <w:rsid w:val="4D40640B"/>
    <w:rsid w:val="5032028D"/>
    <w:rsid w:val="58006EC2"/>
    <w:rsid w:val="5C20110F"/>
    <w:rsid w:val="6454481E"/>
    <w:rsid w:val="70942756"/>
    <w:rsid w:val="752B5127"/>
    <w:rsid w:val="7E9E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footer"/>
    <w:basedOn w:val="1"/>
    <w:next w:val="2"/>
    <w:qFormat/>
    <w:uiPriority w:val="0"/>
    <w:pPr>
      <w:tabs>
        <w:tab w:val="center" w:pos="4153"/>
        <w:tab w:val="right" w:pos="8306"/>
      </w:tabs>
      <w:snapToGrid w:val="0"/>
      <w:jc w:val="left"/>
    </w:pPr>
    <w:rPr>
      <w:sz w:val="18"/>
      <w:szCs w:val="18"/>
    </w:rPr>
  </w:style>
  <w:style w:type="paragraph" w:styleId="7">
    <w:name w:val="Body Text First Indent 2"/>
    <w:basedOn w:val="4"/>
    <w:qFormat/>
    <w:uiPriority w:val="0"/>
    <w:pPr>
      <w:ind w:firstLine="420" w:firstLineChars="200"/>
    </w:pPr>
  </w:style>
  <w:style w:type="character" w:styleId="10">
    <w:name w:val="Strong"/>
    <w:basedOn w:val="9"/>
    <w:qFormat/>
    <w:uiPriority w:val="22"/>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5594</Words>
  <Characters>5935</Characters>
  <Lines>0</Lines>
  <Paragraphs>0</Paragraphs>
  <TotalTime>0</TotalTime>
  <ScaleCrop>false</ScaleCrop>
  <LinksUpToDate>false</LinksUpToDate>
  <CharactersWithSpaces>6120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2026-05-18T09:53:00Z</dcterms:created>
  <dc:creator>温虎</dc:creator>
  <cp:lastModifiedBy>温虎</cp:lastModifiedBy>
  <dcterms:modified xsi:type="dcterms:W3CDTF">2026-07-27T09:19:52Z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BFD0B78A68524A55810B74960815062C_11</vt:lpwstr>
  </property>
  <property fmtid="{D5CDD505-2E9C-101B-9397-08002B2CF9AE}" pid="4" name="KSOTemplateDocerSaveRecord">
    <vt:lpwstr>eyJoZGlkIjoiZjhiODgzOTQwNTFmNmM5NDJmNzVjYmFiNWU0ZThkMGUiLCJ1c2VySWQiOiIzMjA5MTY3MTYifQ==</vt:lpwstr>
  </property>
</Properties>
</file>