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版本号：ZCSP-临渭区-2026-0014420260617001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渭南市临渭区中心敬老院屋面和墙体维修工程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ZCSP-临渭区-2026-00144</w:t>
      </w:r>
      <w:r>
        <w:br/>
      </w:r>
      <w:r>
        <w:br/>
      </w:r>
      <w:r>
        <w:br/>
      </w:r>
    </w:p>
    <w:p>
      <w:pPr>
        <w:pStyle w:val="null3"/>
        <w:jc w:val="center"/>
        <w:outlineLvl w:val="2"/>
      </w:pPr>
      <w:r>
        <w:rPr>
          <w:rFonts w:ascii="仿宋_GB2312" w:hAnsi="仿宋_GB2312" w:cs="仿宋_GB2312" w:eastAsia="仿宋_GB2312"/>
          <w:sz w:val="28"/>
          <w:b/>
        </w:rPr>
        <w:t>渭南市临渭区民政局</w:t>
      </w:r>
    </w:p>
    <w:p>
      <w:pPr>
        <w:pStyle w:val="null3"/>
        <w:jc w:val="center"/>
        <w:outlineLvl w:val="2"/>
      </w:pPr>
      <w:r>
        <w:rPr>
          <w:rFonts w:ascii="仿宋_GB2312" w:hAnsi="仿宋_GB2312" w:cs="仿宋_GB2312" w:eastAsia="仿宋_GB2312"/>
          <w:sz w:val="28"/>
          <w:b/>
        </w:rPr>
        <w:t>品智工程咨询有限公司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品智工程咨询有限公司</w:t>
      </w:r>
      <w:r>
        <w:rPr>
          <w:rFonts w:ascii="仿宋_GB2312" w:hAnsi="仿宋_GB2312" w:cs="仿宋_GB2312" w:eastAsia="仿宋_GB2312"/>
        </w:rPr>
        <w:t>（以下简称“代理机构”）受</w:t>
      </w:r>
      <w:r>
        <w:rPr>
          <w:rFonts w:ascii="仿宋_GB2312" w:hAnsi="仿宋_GB2312" w:cs="仿宋_GB2312" w:eastAsia="仿宋_GB2312"/>
        </w:rPr>
        <w:t>渭南市临渭区民政局</w:t>
      </w:r>
      <w:r>
        <w:rPr>
          <w:rFonts w:ascii="仿宋_GB2312" w:hAnsi="仿宋_GB2312" w:cs="仿宋_GB2312" w:eastAsia="仿宋_GB2312"/>
        </w:rPr>
        <w:t>委托，拟对</w:t>
      </w:r>
      <w:r>
        <w:rPr>
          <w:rFonts w:ascii="仿宋_GB2312" w:hAnsi="仿宋_GB2312" w:cs="仿宋_GB2312" w:eastAsia="仿宋_GB2312"/>
        </w:rPr>
        <w:t>渭南市临渭区中心敬老院屋面和墙体维修工程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渭南市临渭区中心敬老院屋面和墙体维修工程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主要内容包括对敬老院门卫室、1#、2#、3#公寓楼、4#综合服务楼等区域屋面面层进行铲除并翻新，墙体涂料铲除与重新粉刷，门窗及玻璃采光顶维修及拆除垃圾清运等。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采购包1（渭南市临渭区中心敬老院屋面和墙体维修工程）：属于专门面向中小企业采购。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2、供应商应提供健全的财务会计制度的证明材料：具有良好的商业信誉和健全的财务会计制度以及有依法缴纳税收和社会保障资金的良好记录（提供相关证明或承诺）：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p>
      <w:pPr>
        <w:pStyle w:val="null3"/>
      </w:pPr>
      <w:r>
        <w:rPr>
          <w:rFonts w:ascii="仿宋_GB2312" w:hAnsi="仿宋_GB2312" w:cs="仿宋_GB2312" w:eastAsia="仿宋_GB2312"/>
        </w:rPr>
        <w:t>3、合法授权：法定代表人被授权人参加的，须出具授权书（附法定代表人、被授权人身份证复印件）及被授权人在本单位证明（提供开标前三个月内任一月在本单位的社保缴纳记录）；法定代表人参加的需提供法人身份证明书；</w:t>
      </w:r>
    </w:p>
    <w:p>
      <w:pPr>
        <w:pStyle w:val="null3"/>
      </w:pPr>
      <w:r>
        <w:rPr>
          <w:rFonts w:ascii="仿宋_GB2312" w:hAnsi="仿宋_GB2312" w:cs="仿宋_GB2312" w:eastAsia="仿宋_GB2312"/>
        </w:rPr>
        <w:t>4、参加政府采购活动前三年内在经营活动中没有重大违法记录的书面声明：提供参加政府采购活动前三年内在经营活动中没有重大违法记录的书面声明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5、具有履行本合同所必需的设备和专业技术能力的说明或承诺：提供具有履行本合同所必需的设备和专业技术能力的说明或承诺</w:t>
      </w:r>
    </w:p>
    <w:p>
      <w:pPr>
        <w:pStyle w:val="null3"/>
      </w:pPr>
      <w:r>
        <w:rPr>
          <w:rFonts w:ascii="仿宋_GB2312" w:hAnsi="仿宋_GB2312" w:cs="仿宋_GB2312" w:eastAsia="仿宋_GB2312"/>
        </w:rPr>
        <w:t>6、信誉要求：投标供应商不得被“信用中国”（www.creditchina.gov.cn ）列入重大税收违法失信主体；不 得被“中国执行信息公开网”（www.zxgk.court.gov.cn ）列入失信被执行人名单；不得被“中国政府采购网”（www.ccgp.gov.cn ）列入政府采购严重违法失信行为记录名单；</w:t>
      </w:r>
    </w:p>
    <w:p>
      <w:pPr>
        <w:pStyle w:val="null3"/>
      </w:pPr>
      <w:r>
        <w:rPr>
          <w:rFonts w:ascii="仿宋_GB2312" w:hAnsi="仿宋_GB2312" w:cs="仿宋_GB2312" w:eastAsia="仿宋_GB2312"/>
        </w:rPr>
        <w:t>7、控股关系：单位负责人为同一人或者存在直接控股、管理关系的不同投标供应商， 不得参加同一合同项下的政府采购活动；</w:t>
      </w:r>
    </w:p>
    <w:p>
      <w:pPr>
        <w:pStyle w:val="null3"/>
      </w:pPr>
      <w:r>
        <w:rPr>
          <w:rFonts w:ascii="仿宋_GB2312" w:hAnsi="仿宋_GB2312" w:cs="仿宋_GB2312" w:eastAsia="仿宋_GB2312"/>
        </w:rPr>
        <w:t>8、供应商资格要求：供应商须具备建筑工程施工总承包三级及以上资质，且具备有效的安全生产许可证；</w:t>
      </w:r>
    </w:p>
    <w:p>
      <w:pPr>
        <w:pStyle w:val="null3"/>
      </w:pPr>
      <w:r>
        <w:rPr>
          <w:rFonts w:ascii="仿宋_GB2312" w:hAnsi="仿宋_GB2312" w:cs="仿宋_GB2312" w:eastAsia="仿宋_GB2312"/>
        </w:rPr>
        <w:t>9、项目经理资格要求：项目经理须具备建筑工程专业二级及以上注册建造师证书，有效的安全生产考核合格证书（B证），提供无在建项目承诺；</w:t>
      </w:r>
    </w:p>
    <w:p>
      <w:pPr>
        <w:pStyle w:val="null3"/>
      </w:pPr>
      <w:r>
        <w:rPr>
          <w:rFonts w:ascii="仿宋_GB2312" w:hAnsi="仿宋_GB2312" w:cs="仿宋_GB2312" w:eastAsia="仿宋_GB2312"/>
        </w:rPr>
        <w:t>10、保证金：磋商保证金缴纳凭证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临渭区东风街83号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0913-3039692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品智工程咨询有限公司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陕西省西安市未央区陕西省西安市经济技术开发区凤城七路长和国际A座1502室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袁新洁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17349239651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徐红军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19219131226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开户名称：品智工程咨询有限公司渭南分公司</w:t>
            </w:r>
          </w:p>
          <w:p>
            <w:pPr>
              <w:pStyle w:val="null3"/>
            </w:pPr>
            <w:r>
              <w:rPr>
                <w:rFonts w:ascii="仿宋_GB2312" w:hAnsi="仿宋_GB2312" w:cs="仿宋_GB2312" w:eastAsia="仿宋_GB2312"/>
              </w:rPr>
              <w:t>开户银行：中国建设银行股份有限公司渭南胜利大街支行</w:t>
            </w:r>
          </w:p>
          <w:p>
            <w:pPr>
              <w:pStyle w:val="null3"/>
            </w:pPr>
            <w:r>
              <w:rPr>
                <w:rFonts w:ascii="仿宋_GB2312" w:hAnsi="仿宋_GB2312" w:cs="仿宋_GB2312" w:eastAsia="仿宋_GB2312"/>
              </w:rPr>
              <w:t>银行账号：61050164140000001103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改革委关于降低部分建设项目收费标准规范收费行为等有关问题的通知发改价格[2011]534号文件的规定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渭南市临渭区民政局</w:t>
      </w:r>
      <w:r>
        <w:rPr>
          <w:rFonts w:ascii="仿宋_GB2312" w:hAnsi="仿宋_GB2312" w:cs="仿宋_GB2312" w:eastAsia="仿宋_GB2312"/>
        </w:rPr>
        <w:t>和</w:t>
      </w:r>
      <w:r>
        <w:rPr>
          <w:rFonts w:ascii="仿宋_GB2312" w:hAnsi="仿宋_GB2312" w:cs="仿宋_GB2312" w:eastAsia="仿宋_GB2312"/>
        </w:rPr>
        <w:t>品智工程咨询有限公司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品智工程咨询有限公司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品智工程咨询有限公司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品智工程咨询有限公司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品智工程咨询有限公司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联系人：袁新洁</w:t>
      </w:r>
    </w:p>
    <w:p>
      <w:pPr>
        <w:pStyle w:val="null3"/>
      </w:pPr>
      <w:r>
        <w:rPr>
          <w:rFonts w:ascii="仿宋_GB2312" w:hAnsi="仿宋_GB2312" w:cs="仿宋_GB2312" w:eastAsia="仿宋_GB2312"/>
        </w:rPr>
        <w:t>联系电话：17349239651</w:t>
      </w:r>
    </w:p>
    <w:p>
      <w:pPr>
        <w:pStyle w:val="null3"/>
      </w:pPr>
      <w:r>
        <w:rPr>
          <w:rFonts w:ascii="仿宋_GB2312" w:hAnsi="仿宋_GB2312" w:cs="仿宋_GB2312" w:eastAsia="仿宋_GB2312"/>
        </w:rPr>
        <w:t>地址：渭南市临渭区海兴城南门</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1,460,000.00</w:t>
      </w:r>
    </w:p>
    <w:p>
      <w:pPr>
        <w:pStyle w:val="null3"/>
      </w:pPr>
      <w:r>
        <w:rPr>
          <w:rFonts w:ascii="仿宋_GB2312" w:hAnsi="仿宋_GB2312" w:cs="仿宋_GB2312" w:eastAsia="仿宋_GB2312"/>
        </w:rPr>
        <w:t>采购包最高限价（元）: 1,459,185.52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渭南市临渭区中心敬老院屋面和墙体维修工程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标的名称：渭南市临渭区中心敬老院屋面和墙体维修工程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b/>
              </w:rPr>
              <w:t>工程概况：</w:t>
            </w:r>
          </w:p>
          <w:p>
            <w:pPr>
              <w:pStyle w:val="null3"/>
              <w:spacing w:after="120"/>
              <w:ind w:firstLine="640"/>
              <w:jc w:val="both"/>
            </w:pPr>
            <w:r>
              <w:rPr>
                <w:rFonts w:ascii="仿宋_GB2312" w:hAnsi="仿宋_GB2312" w:cs="仿宋_GB2312" w:eastAsia="仿宋_GB2312"/>
                <w:sz w:val="21"/>
              </w:rPr>
              <w:t>工程名称：</w:t>
            </w:r>
            <w:r>
              <w:rPr>
                <w:rFonts w:ascii="仿宋_GB2312" w:hAnsi="仿宋_GB2312" w:cs="仿宋_GB2312" w:eastAsia="仿宋_GB2312"/>
                <w:sz w:val="21"/>
              </w:rPr>
              <w:t>渭南市临渭区中心敬老院屋面和墙体维修工程；</w:t>
            </w:r>
            <w:r>
              <w:rPr>
                <w:rFonts w:ascii="仿宋_GB2312" w:hAnsi="仿宋_GB2312" w:cs="仿宋_GB2312" w:eastAsia="仿宋_GB2312"/>
                <w:sz w:val="21"/>
              </w:rPr>
              <w:t xml:space="preserve">  </w:t>
            </w:r>
          </w:p>
          <w:p>
            <w:pPr>
              <w:pStyle w:val="null3"/>
              <w:spacing w:after="120"/>
              <w:ind w:firstLine="640"/>
              <w:jc w:val="both"/>
            </w:pPr>
            <w:r>
              <w:rPr>
                <w:rFonts w:ascii="仿宋_GB2312" w:hAnsi="仿宋_GB2312" w:cs="仿宋_GB2312" w:eastAsia="仿宋_GB2312"/>
                <w:sz w:val="21"/>
              </w:rPr>
              <w:t>工程地点： 临渭区阳郭镇阳光小区；</w:t>
            </w:r>
          </w:p>
          <w:p>
            <w:pPr>
              <w:pStyle w:val="null3"/>
              <w:spacing w:after="120"/>
              <w:ind w:firstLine="640"/>
              <w:jc w:val="both"/>
            </w:pPr>
            <w:r>
              <w:rPr>
                <w:rFonts w:ascii="仿宋_GB2312" w:hAnsi="仿宋_GB2312" w:cs="仿宋_GB2312" w:eastAsia="仿宋_GB2312"/>
                <w:sz w:val="21"/>
              </w:rPr>
              <w:t>工程范围：主要内容包括对敬老院门卫室、1#、2#、3#公寓楼、4#综合服务楼等区域屋面面层进行铲除并翻新，墙体涂料铲除与重新粉刷，门窗及玻璃采光顶维修及拆除垃圾清运等；</w:t>
            </w:r>
          </w:p>
          <w:p>
            <w:pPr>
              <w:pStyle w:val="null3"/>
              <w:spacing w:after="120"/>
              <w:ind w:firstLine="640"/>
              <w:jc w:val="both"/>
            </w:pPr>
            <w:r>
              <w:rPr>
                <w:rFonts w:ascii="仿宋_GB2312" w:hAnsi="仿宋_GB2312" w:cs="仿宋_GB2312" w:eastAsia="仿宋_GB2312"/>
                <w:sz w:val="21"/>
              </w:rPr>
              <w:t>工期：</w:t>
            </w:r>
            <w:r>
              <w:rPr>
                <w:rFonts w:ascii="仿宋_GB2312" w:hAnsi="仿宋_GB2312" w:cs="仿宋_GB2312" w:eastAsia="仿宋_GB2312"/>
                <w:sz w:val="21"/>
              </w:rPr>
              <w:t>90日历天</w:t>
            </w:r>
          </w:p>
          <w:p>
            <w:pPr>
              <w:pStyle w:val="null3"/>
              <w:spacing w:after="120"/>
              <w:ind w:firstLine="640"/>
              <w:jc w:val="both"/>
            </w:pPr>
            <w:r>
              <w:rPr>
                <w:rFonts w:ascii="仿宋_GB2312" w:hAnsi="仿宋_GB2312" w:cs="仿宋_GB2312" w:eastAsia="仿宋_GB2312"/>
                <w:sz w:val="21"/>
              </w:rPr>
              <w:t>质保期：竣工验收合格后一年</w:t>
            </w:r>
          </w:p>
          <w:p>
            <w:pPr>
              <w:pStyle w:val="null3"/>
              <w:jc w:val="left"/>
            </w:pPr>
            <w:r>
              <w:rPr>
                <w:rFonts w:ascii="仿宋_GB2312" w:hAnsi="仿宋_GB2312" w:cs="仿宋_GB2312" w:eastAsia="仿宋_GB2312"/>
                <w:sz w:val="21"/>
                <w:b/>
              </w:rPr>
              <w:t>二、编制依据：</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费用规则等计价依据的通知</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1.陕西省住房和城乡建设厅关于印发2025陕西省建设工程费用规则等计价依据的通知；</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2.《建设工程工程量清单计价标准》(DB61/T5126-2025);</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3.《陕西省建设工程费用规则》(2025);</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4.《陕西省房屋建筑与装饰工程基价表》(2025);</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5.《陕西省房屋建筑与装饰工程消耗量定额》(2025);</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6.项目施工图;</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7.设计说明、设计答疑、相关的标准图集、技术标准、施工及验收规范等。</w:t>
            </w:r>
          </w:p>
          <w:p>
            <w:pPr>
              <w:pStyle w:val="null3"/>
            </w:pPr>
            <w:r>
              <w:rPr>
                <w:rFonts w:ascii="仿宋_GB2312" w:hAnsi="仿宋_GB2312" w:cs="仿宋_GB2312" w:eastAsia="仿宋_GB2312"/>
                <w:sz w:val="21"/>
              </w:rPr>
              <w:t>三、编制范围</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本次编制范围施工图纸所包含的全部工程内容。</w:t>
            </w:r>
          </w:p>
          <w:p>
            <w:pPr>
              <w:pStyle w:val="null3"/>
            </w:pPr>
            <w:r>
              <w:rPr>
                <w:rFonts w:ascii="仿宋_GB2312" w:hAnsi="仿宋_GB2312" w:cs="仿宋_GB2312" w:eastAsia="仿宋_GB2312"/>
                <w:sz w:val="21"/>
              </w:rPr>
              <w:t>四、计价说明</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1.计价方式:采用工程量清单综合单价计价，综合单价包含人工费、材料费、施工机具使用费、管理费、利润、风险费等全部费用。</w:t>
            </w:r>
          </w:p>
          <w:p>
            <w:pPr>
              <w:pStyle w:val="null3"/>
              <w:jc w:val="both"/>
            </w:pPr>
            <w:r>
              <w:rPr>
                <w:rFonts w:ascii="仿宋_GB2312" w:hAnsi="仿宋_GB2312" w:cs="仿宋_GB2312" w:eastAsia="仿宋_GB2312"/>
                <w:sz w:val="21"/>
              </w:rPr>
              <w:t xml:space="preserve">      2.主要材料价格执行《渭南市工程造价信息》2026年第1期信息价并参考市场价计取。</w:t>
            </w:r>
          </w:p>
          <w:p>
            <w:pPr>
              <w:pStyle w:val="null3"/>
            </w:pPr>
            <w:r>
              <w:rPr>
                <w:rFonts w:ascii="仿宋_GB2312" w:hAnsi="仿宋_GB2312" w:cs="仿宋_GB2312" w:eastAsia="仿宋_GB2312"/>
                <w:sz w:val="21"/>
              </w:rPr>
              <w:t>五、其他说明</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.编制软件采用广联达云计价平台GCCP7.0，版本:7.5000.23.3。</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满足磋商文件及工程量清单要求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1、供应商应保证其提供的资料真实有效。 2、（1）以转账、支票、汇票等方式递交磋商保证金的，须从供应商基本账户支付（备注：项目名称+项目编号），如从个人户名或非供应商户名支付，将被拒绝，视为自动放弃投标权利； （2）若采用保函形式缴纳保证金的供应商，需在文件递交截止之日前，将保函原件扫描件发送至代理公司邮箱，446991030@qq.com。 3、中标（成交）供应商在领取中标（成交）通知书时提供一正两副纸质投标文件（与电子投标文件一致的签字、盖章的完整版本），纸质投标文件采用书籍（胶装）方式装订成册。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技术方案.docx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合法授权</w:t>
            </w:r>
          </w:p>
        </w:tc>
        <w:tc>
          <w:tcPr>
            <w:tcW w:type="dxa" w:w="3322"/>
          </w:tcPr>
          <w:p>
            <w:pPr>
              <w:pStyle w:val="null3"/>
            </w:pPr>
            <w:r>
              <w:rPr>
                <w:rFonts w:ascii="仿宋_GB2312" w:hAnsi="仿宋_GB2312" w:cs="仿宋_GB2312" w:eastAsia="仿宋_GB2312"/>
              </w:rPr>
              <w:t>法定代表人被授权人参加的，须出具授权书（附法定代表人、被授权人身份证复印件）及被授权人在本单位证明（提供开标前三个月内任一月在本单位的社保缴纳记录）；法定代表人参加的需提供法人身份证明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具有履行本合同所必需的设备和专业技术能力的说明或承诺</w:t>
            </w:r>
          </w:p>
        </w:tc>
        <w:tc>
          <w:tcPr>
            <w:tcW w:type="dxa" w:w="3322"/>
          </w:tcPr>
          <w:p>
            <w:pPr>
              <w:pStyle w:val="null3"/>
            </w:pPr>
            <w:r>
              <w:rPr>
                <w:rFonts w:ascii="仿宋_GB2312" w:hAnsi="仿宋_GB2312" w:cs="仿宋_GB2312" w:eastAsia="仿宋_GB2312"/>
              </w:rPr>
              <w:t>提供具有履行本合同所必需的设备和专业技术能力的说明或承诺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投标供应商不得被“信用中国”（www.creditchina.gov.cn ）列入重大税收违法失信主体；不 得被“中国执行信息公开网”（www.zxgk.court.gov.cn ）列入失信被执行人名单；不得被“中国政府采购网”（www.ccgp.gov.cn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单位负责人为同一人或者存在直接控股、管理关系的不同投标供应商， 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供应商资格要求</w:t>
            </w:r>
          </w:p>
        </w:tc>
        <w:tc>
          <w:tcPr>
            <w:tcW w:type="dxa" w:w="3322"/>
          </w:tcPr>
          <w:p>
            <w:pPr>
              <w:pStyle w:val="null3"/>
            </w:pPr>
            <w:r>
              <w:rPr>
                <w:rFonts w:ascii="仿宋_GB2312" w:hAnsi="仿宋_GB2312" w:cs="仿宋_GB2312" w:eastAsia="仿宋_GB2312"/>
              </w:rPr>
              <w:t>供应商须具备建筑工程施工总承包三级及以上资质，且具备有效的安全生产许可证；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项目经理须具备建筑工程专业二级及以上注册建造师证书，有效的安全生产考核合格证书（B证），提供无在建项目承诺；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磋商保证金缴纳凭证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资格证明文件.docx 强制优先采购产品承诺函 响应文件封面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 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技术方案.docx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资格证明文件.docx 强制优先采购产品承诺函 响应文件封面 项目管理机构组成表 残疾人福利性单位声明函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 内容至少包括①施工进度计划；②工期保障措施。 评审标准： 1.完整性：响应全面，对评审内容中的各项要求有详细描述； 2.可实施性：内容科学，步骤清晰、合理，可实施性强； 3.针对性：能够紧扣项目实际情况，满足具体要求。 赋分标准（6分）：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 内容至少包括①文明施工管理及保障措施；②防尘降噪措施；③环境保护管理及保障措施。 评审标准： 1.完整性：响应全面，对评审内容中的各项要求有详细描述； 2.可实施性：内容科学，步骤清晰、合理，可实施性强； 3.针对性：能够紧扣项目实际情况，满足具体要求。 赋分标准（9分）：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评审内容： 供应商针对本项目编制科学的项目管理机构，内容包含:①管理机构组织图②组织机构的岗位职责③项目管理机构人员配备情况（配备齐全，搭配合理，专业技术人员资质满足项目施工需要。）。 评审标准： 1.完整性：响应全面，对评审内容中的各项要求有详细描述； 2.可实施性：内容科学，步骤清晰、合理，可实施性强； 3.针对性：能够紧扣项目实际情况，满足具体要求。 赋分标准（6分）：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内容至少包括①施工总平面布置;②施工目标:安全目标、工期目标、质量目标;③资源配备计划:主要施工机械设备、劳动力等配备计划;评审标准: 1.完整性:响应全面，对评审内容中的各项要求有详细描述:2.可实施性:内容科学，步骤清晰、合理，可实施性强:3.针对性:能够紧扣项目实际情况，满足具体要求。 赋分标准(9分):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 内容至少包括①施工准备;②施工方法及相关技术措施;③重点难点工程分析及解决措施。评审标准: 1.完整性:响应全面，对评审内容中的各项要求有详细描述:2.可实施性:内容科学，步骤清晰、合理，可实施性强;3.针对性:能够紧扣项目实际情况，满足具体要求。 赋分标准(9分): ①每一项评审内容完全满足评审标准得3分;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 内容至少包括①安全生产管理制度②安全施工措施③安全应急预案④安全生产教育。 评审标准： 1.完整性：响应全面，对评审内容中的各项要求有详细描述； 2.可实施性：内容科学，步骤清晰、合理，可实施性强； 3.针对性：能够紧扣项目实际情况，满足具体要求。 赋分标准（8分）：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评审内容： 内容至少包括①质量管理体系；②施工质量保障措施。 评审标准： 1.完整性：响应全面，对评审内容中的各项要求有详细描述； 2.可实施性：内容科学，步骤清晰、合理，可实施性强； 3.针对性：能够紧扣项目实际情况，满足具体要求。 赋分标准（4分）： ①每一项评审内容完全满足评审标准得2分； ②每一项评审内容，若存在不明确、不合理、不完整、针对性不强等方面，扣0.5分； ③每一项评审内容不提供或完全背离评审标准得0分。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 年 1 月 1 日以来类似项目业绩。以合同签订日期为准，提供完整证明资料复印件加盖公章，每提供一份得 3分，资料不完整不得分，满分 9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价格分应当采用低价优先法计算，即满足磋商文件要求且磋商报价最低的报价为评标基准价，其价格分为满分。其他供应商的价格分统一按照下列公式计算： 磋商报价得分=(评标基准价／有效磋商报价)×价格权值×100 注：1.计算分数时四舍五入取小数点后两位。 2.因本项目为专门面向中小企业采购的项目，故不再执行价格评审优惠的扶持政策。</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