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94AD6">
      <w:pPr>
        <w:spacing w:line="600" w:lineRule="exact"/>
        <w:jc w:val="center"/>
        <w:rPr>
          <w:rFonts w:hint="eastAsia" w:ascii="宋体" w:hAnsi="宋体" w:cs="宋体"/>
          <w:sz w:val="71"/>
          <w:szCs w:val="71"/>
        </w:rPr>
      </w:pPr>
      <w:bookmarkStart w:id="4" w:name="_GoBack"/>
      <w:bookmarkEnd w:id="4"/>
      <w:bookmarkStart w:id="0" w:name="_Toc31890"/>
    </w:p>
    <w:p w14:paraId="21F8C80A">
      <w:pPr>
        <w:spacing w:line="600" w:lineRule="exact"/>
        <w:jc w:val="center"/>
        <w:rPr>
          <w:rFonts w:hint="eastAsia" w:ascii="宋体" w:hAnsi="宋体" w:cs="宋体"/>
          <w:sz w:val="71"/>
          <w:szCs w:val="71"/>
        </w:rPr>
      </w:pPr>
    </w:p>
    <w:p w14:paraId="601EE85F">
      <w:pPr>
        <w:spacing w:line="600" w:lineRule="exact"/>
        <w:jc w:val="center"/>
        <w:rPr>
          <w:rFonts w:hint="eastAsia" w:ascii="宋体" w:hAnsi="宋体" w:cs="宋体"/>
          <w:sz w:val="71"/>
          <w:szCs w:val="71"/>
        </w:rPr>
      </w:pPr>
    </w:p>
    <w:p w14:paraId="1CC55BF5">
      <w:pPr>
        <w:spacing w:line="600" w:lineRule="exact"/>
        <w:jc w:val="center"/>
        <w:rPr>
          <w:rFonts w:hint="eastAsia" w:ascii="宋体" w:hAnsi="宋体" w:cs="宋体"/>
          <w:sz w:val="71"/>
          <w:szCs w:val="71"/>
        </w:rPr>
      </w:pPr>
    </w:p>
    <w:p w14:paraId="5A657881">
      <w:pPr>
        <w:spacing w:line="360" w:lineRule="auto"/>
        <w:jc w:val="center"/>
        <w:rPr>
          <w:rFonts w:hint="eastAsia" w:ascii="宋体" w:hAnsi="宋体" w:cs="宋体"/>
          <w:sz w:val="71"/>
          <w:szCs w:val="71"/>
        </w:rPr>
      </w:pPr>
      <w:r>
        <w:rPr>
          <w:rFonts w:ascii="宋体" w:hAnsi="宋体" w:cs="宋体"/>
          <w:sz w:val="71"/>
          <w:szCs w:val="71"/>
        </w:rPr>
        <w:t>建设工程监理合同</w:t>
      </w:r>
    </w:p>
    <w:p w14:paraId="01CCD70A">
      <w:pPr>
        <w:spacing w:line="360" w:lineRule="auto"/>
        <w:ind w:firstLine="420" w:firstLineChars="200"/>
        <w:jc w:val="center"/>
      </w:pPr>
    </w:p>
    <w:p w14:paraId="2A625CDF">
      <w:pPr>
        <w:spacing w:line="360" w:lineRule="auto"/>
        <w:ind w:firstLine="420" w:firstLineChars="200"/>
        <w:jc w:val="center"/>
      </w:pPr>
    </w:p>
    <w:p w14:paraId="1A91A05F">
      <w:pPr>
        <w:spacing w:line="360" w:lineRule="auto"/>
        <w:jc w:val="center"/>
        <w:rPr>
          <w:rFonts w:hint="eastAsia" w:ascii="宋体" w:hAnsi="宋体" w:cs="宋体"/>
          <w:sz w:val="28"/>
          <w:szCs w:val="28"/>
        </w:rPr>
      </w:pPr>
      <w:r>
        <w:rPr>
          <w:rFonts w:ascii="宋体" w:hAnsi="宋体" w:cs="宋体"/>
          <w:sz w:val="28"/>
          <w:szCs w:val="28"/>
        </w:rPr>
        <w:t>(GF-2012－0202）</w:t>
      </w:r>
    </w:p>
    <w:p w14:paraId="5FC22052">
      <w:pPr>
        <w:spacing w:line="360" w:lineRule="auto"/>
        <w:ind w:firstLine="420" w:firstLineChars="200"/>
        <w:jc w:val="center"/>
      </w:pPr>
    </w:p>
    <w:p w14:paraId="355ED264">
      <w:pPr>
        <w:spacing w:line="360" w:lineRule="auto"/>
        <w:ind w:firstLine="420" w:firstLineChars="200"/>
        <w:jc w:val="center"/>
      </w:pPr>
    </w:p>
    <w:p w14:paraId="11BA0FB0">
      <w:pPr>
        <w:spacing w:line="360" w:lineRule="auto"/>
        <w:ind w:firstLine="420" w:firstLineChars="200"/>
        <w:jc w:val="center"/>
      </w:pPr>
    </w:p>
    <w:p w14:paraId="29F87FBF">
      <w:pPr>
        <w:spacing w:line="360" w:lineRule="auto"/>
        <w:ind w:firstLine="420" w:firstLineChars="200"/>
        <w:jc w:val="center"/>
      </w:pPr>
    </w:p>
    <w:p w14:paraId="3D498DB1">
      <w:pPr>
        <w:spacing w:line="360" w:lineRule="auto"/>
        <w:ind w:firstLine="420" w:firstLineChars="200"/>
        <w:jc w:val="center"/>
      </w:pPr>
    </w:p>
    <w:p w14:paraId="49CD87D5">
      <w:pPr>
        <w:spacing w:line="360" w:lineRule="auto"/>
        <w:ind w:firstLine="420" w:firstLineChars="200"/>
        <w:jc w:val="center"/>
      </w:pPr>
    </w:p>
    <w:p w14:paraId="6CE0C99F">
      <w:pPr>
        <w:spacing w:line="360" w:lineRule="auto"/>
        <w:ind w:firstLine="420" w:firstLineChars="200"/>
        <w:jc w:val="center"/>
      </w:pPr>
    </w:p>
    <w:p w14:paraId="06A3D166">
      <w:pPr>
        <w:spacing w:line="360" w:lineRule="auto"/>
        <w:ind w:firstLine="420" w:firstLineChars="200"/>
        <w:jc w:val="center"/>
      </w:pPr>
    </w:p>
    <w:p w14:paraId="55A4FA9D">
      <w:pPr>
        <w:spacing w:line="360" w:lineRule="auto"/>
        <w:ind w:firstLine="420" w:firstLineChars="200"/>
        <w:jc w:val="center"/>
      </w:pPr>
    </w:p>
    <w:p w14:paraId="352F3A98">
      <w:pPr>
        <w:spacing w:line="360" w:lineRule="auto"/>
        <w:ind w:firstLine="420" w:firstLineChars="200"/>
        <w:jc w:val="center"/>
      </w:pPr>
    </w:p>
    <w:p w14:paraId="6FE79FB9">
      <w:pPr>
        <w:spacing w:line="360" w:lineRule="auto"/>
        <w:ind w:firstLine="420" w:firstLineChars="200"/>
        <w:jc w:val="center"/>
      </w:pPr>
    </w:p>
    <w:p w14:paraId="23E7797D">
      <w:pPr>
        <w:spacing w:line="360" w:lineRule="auto"/>
        <w:ind w:firstLine="420" w:firstLineChars="200"/>
        <w:jc w:val="center"/>
      </w:pPr>
    </w:p>
    <w:p w14:paraId="022C7EDD">
      <w:pPr>
        <w:spacing w:line="360" w:lineRule="auto"/>
        <w:ind w:firstLine="420" w:firstLineChars="200"/>
        <w:jc w:val="center"/>
      </w:pPr>
    </w:p>
    <w:p w14:paraId="000B9E95">
      <w:pPr>
        <w:spacing w:line="360" w:lineRule="auto"/>
        <w:ind w:firstLine="420" w:firstLineChars="200"/>
        <w:jc w:val="center"/>
      </w:pPr>
    </w:p>
    <w:p w14:paraId="58CF79BF">
      <w:pPr>
        <w:spacing w:line="360" w:lineRule="auto"/>
        <w:ind w:firstLine="420" w:firstLineChars="200"/>
        <w:jc w:val="center"/>
      </w:pPr>
    </w:p>
    <w:p w14:paraId="2A7E6707">
      <w:pPr>
        <w:spacing w:line="360" w:lineRule="auto"/>
        <w:ind w:firstLine="420" w:firstLineChars="200"/>
        <w:jc w:val="center"/>
      </w:pPr>
    </w:p>
    <w:p w14:paraId="4E434DDC">
      <w:pPr>
        <w:spacing w:line="360" w:lineRule="auto"/>
        <w:ind w:firstLine="420" w:firstLineChars="200"/>
        <w:jc w:val="center"/>
      </w:pPr>
    </w:p>
    <w:p w14:paraId="070ED45B">
      <w:pPr>
        <w:spacing w:line="360" w:lineRule="auto"/>
        <w:ind w:firstLine="420" w:firstLineChars="200"/>
        <w:jc w:val="center"/>
      </w:pPr>
    </w:p>
    <w:p w14:paraId="5EF55BF5">
      <w:pPr>
        <w:spacing w:line="360" w:lineRule="auto"/>
        <w:jc w:val="center"/>
        <w:rPr>
          <w:rFonts w:hint="eastAsia" w:ascii="宋体" w:hAnsi="宋体" w:cs="宋体"/>
          <w:sz w:val="28"/>
          <w:szCs w:val="28"/>
        </w:rPr>
      </w:pPr>
      <w:r>
        <w:rPr>
          <w:rFonts w:ascii="宋体" w:hAnsi="宋体" w:cs="宋体"/>
          <w:sz w:val="28"/>
          <w:szCs w:val="28"/>
        </w:rPr>
        <w:t>住房和城乡建设部</w:t>
      </w:r>
    </w:p>
    <w:p w14:paraId="05D5A8FD">
      <w:pPr>
        <w:spacing w:line="360" w:lineRule="auto"/>
        <w:ind w:firstLine="5880" w:firstLineChars="2100"/>
        <w:rPr>
          <w:rFonts w:hint="eastAsia" w:ascii="宋体" w:hAnsi="宋体" w:cs="宋体"/>
          <w:sz w:val="28"/>
          <w:szCs w:val="28"/>
        </w:rPr>
      </w:pPr>
      <w:r>
        <w:rPr>
          <w:rFonts w:ascii="宋体" w:hAnsi="宋体" w:cs="宋体"/>
          <w:sz w:val="28"/>
          <w:szCs w:val="28"/>
        </w:rPr>
        <w:t>制定</w:t>
      </w:r>
    </w:p>
    <w:p w14:paraId="70C0A35C">
      <w:pPr>
        <w:spacing w:line="360" w:lineRule="auto"/>
        <w:jc w:val="center"/>
        <w:rPr>
          <w:rFonts w:hint="eastAsia" w:ascii="宋体" w:hAnsi="宋体" w:cs="宋体"/>
          <w:sz w:val="28"/>
          <w:szCs w:val="28"/>
        </w:rPr>
      </w:pPr>
      <w:r>
        <w:rPr>
          <w:rFonts w:ascii="宋体" w:hAnsi="宋体" w:cs="宋体"/>
          <w:sz w:val="28"/>
          <w:szCs w:val="28"/>
        </w:rPr>
        <w:t>国家工商行政管理总局</w:t>
      </w:r>
    </w:p>
    <w:p w14:paraId="2947FC21">
      <w:pPr>
        <w:spacing w:line="360" w:lineRule="auto"/>
        <w:ind w:firstLine="560" w:firstLineChars="200"/>
        <w:jc w:val="left"/>
        <w:rPr>
          <w:rFonts w:hint="eastAsia" w:ascii="宋体" w:hAnsi="宋体" w:cs="宋体"/>
          <w:sz w:val="28"/>
          <w:szCs w:val="28"/>
        </w:rPr>
      </w:pPr>
    </w:p>
    <w:p w14:paraId="49A053A2">
      <w:pPr>
        <w:spacing w:line="360" w:lineRule="auto"/>
        <w:ind w:firstLine="560" w:firstLineChars="200"/>
        <w:jc w:val="left"/>
        <w:rPr>
          <w:rFonts w:hint="eastAsia" w:ascii="宋体" w:hAnsi="宋体" w:cs="宋体"/>
          <w:sz w:val="28"/>
          <w:szCs w:val="28"/>
        </w:rPr>
        <w:sectPr>
          <w:footerReference r:id="rId3" w:type="default"/>
          <w:pgSz w:w="11906" w:h="16839"/>
          <w:pgMar w:top="1440" w:right="1800" w:bottom="1440" w:left="1800" w:header="0" w:footer="210" w:gutter="0"/>
          <w:cols w:space="720" w:num="1"/>
        </w:sectPr>
      </w:pPr>
    </w:p>
    <w:bookmarkEnd w:id="0"/>
    <w:p w14:paraId="26B538EE">
      <w:pPr>
        <w:spacing w:line="500" w:lineRule="exact"/>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第一部分 协议书</w:t>
      </w:r>
    </w:p>
    <w:p w14:paraId="1155DC74">
      <w:pPr>
        <w:spacing w:line="500" w:lineRule="exact"/>
        <w:jc w:val="left"/>
        <w:rPr>
          <w:rFonts w:hint="eastAsia" w:asciiTheme="minorEastAsia" w:hAnsiTheme="minorEastAsia" w:eastAsiaTheme="minorEastAsia" w:cstheme="minorEastAsia"/>
          <w:b/>
          <w:bCs/>
          <w:sz w:val="28"/>
          <w:szCs w:val="28"/>
        </w:rPr>
      </w:pPr>
    </w:p>
    <w:p w14:paraId="25F70763">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委托人（全称）</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bCs/>
          <w:sz w:val="28"/>
          <w:szCs w:val="28"/>
          <w:u w:val="single"/>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w:t>
      </w:r>
    </w:p>
    <w:p w14:paraId="10E3321E">
      <w:pPr>
        <w:spacing w:line="500" w:lineRule="exact"/>
        <w:jc w:val="left"/>
        <w:rPr>
          <w:rFonts w:hint="eastAsia" w:asciiTheme="minorEastAsia" w:hAnsiTheme="minorEastAsia" w:eastAsiaTheme="minorEastAsia" w:cstheme="minorEastAsia"/>
          <w:bCs/>
          <w:sz w:val="28"/>
          <w:szCs w:val="28"/>
          <w:u w:val="single"/>
        </w:rPr>
      </w:pPr>
      <w:r>
        <w:rPr>
          <w:rFonts w:hint="eastAsia" w:asciiTheme="minorEastAsia" w:hAnsiTheme="minorEastAsia" w:eastAsiaTheme="minorEastAsia" w:cstheme="minorEastAsia"/>
          <w:b/>
          <w:bCs/>
          <w:sz w:val="28"/>
          <w:szCs w:val="28"/>
        </w:rPr>
        <w:t>监理人（全称）</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u w:val="single"/>
        </w:rPr>
        <w:t xml:space="preserve">                           </w:t>
      </w:r>
    </w:p>
    <w:p w14:paraId="7706518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根据《中华人民共和国民法典》、《中华人民共和国建筑法》及其他有关法律、 法规，遵循平等、自愿、公平和诚信的原则，双方就下述工程委托监理与相关服务事项协商一致，订立本合同。</w:t>
      </w:r>
    </w:p>
    <w:p w14:paraId="4871D34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一、工程概况</w:t>
      </w:r>
    </w:p>
    <w:p w14:paraId="51C3FA2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工程名称：</w:t>
      </w:r>
      <w:r>
        <w:rPr>
          <w:rFonts w:hint="eastAsia" w:asciiTheme="minorEastAsia" w:hAnsiTheme="minorEastAsia" w:eastAsiaTheme="minorEastAsia" w:cstheme="minorEastAsia"/>
          <w:sz w:val="28"/>
          <w:szCs w:val="28"/>
          <w:u w:val="single"/>
        </w:rPr>
        <w:t xml:space="preserve">                                           </w:t>
      </w:r>
    </w:p>
    <w:p w14:paraId="66617BF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工程地点：</w:t>
      </w:r>
      <w:r>
        <w:rPr>
          <w:rFonts w:hint="eastAsia" w:asciiTheme="minorEastAsia" w:hAnsiTheme="minorEastAsia" w:eastAsiaTheme="minorEastAsia" w:cstheme="minorEastAsia"/>
          <w:sz w:val="28"/>
          <w:szCs w:val="28"/>
          <w:u w:val="single"/>
        </w:rPr>
        <w:t xml:space="preserve"> 咸阳市三原县 </w:t>
      </w:r>
    </w:p>
    <w:p w14:paraId="44DCC67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工程规模：</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w:t>
      </w:r>
    </w:p>
    <w:p w14:paraId="64B664A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 工程投资额：</w:t>
      </w:r>
      <w:r>
        <w:rPr>
          <w:rFonts w:hint="eastAsia" w:asciiTheme="minorEastAsia" w:hAnsiTheme="minorEastAsia" w:eastAsiaTheme="minorEastAsia" w:cstheme="minorEastAsia"/>
          <w:sz w:val="28"/>
          <w:szCs w:val="28"/>
          <w:u w:val="single"/>
        </w:rPr>
        <w:t xml:space="preserve">                </w:t>
      </w:r>
    </w:p>
    <w:p w14:paraId="44400E9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二、词语限定</w:t>
      </w:r>
    </w:p>
    <w:p w14:paraId="687CB25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协议书中相关词语的含义与通用条件中的定义与解释相同。</w:t>
      </w:r>
    </w:p>
    <w:p w14:paraId="12D2744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三、组成本合同的文件</w:t>
      </w:r>
    </w:p>
    <w:p w14:paraId="2EC34B8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协议书；</w:t>
      </w:r>
    </w:p>
    <w:p w14:paraId="1535CA1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中标通知书；</w:t>
      </w:r>
    </w:p>
    <w:p w14:paraId="4B97CAB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投标文件；</w:t>
      </w:r>
    </w:p>
    <w:p w14:paraId="1947FAC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 专用条件；</w:t>
      </w:r>
    </w:p>
    <w:p w14:paraId="796CCEF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 通用条件；</w:t>
      </w:r>
    </w:p>
    <w:p w14:paraId="5E4D447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 附录，即：</w:t>
      </w:r>
    </w:p>
    <w:p w14:paraId="5548FFA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 A  相关服务的范围和内容</w:t>
      </w:r>
    </w:p>
    <w:p w14:paraId="6C852CE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 B  委托人派遣的人员和资料。</w:t>
      </w:r>
    </w:p>
    <w:p w14:paraId="4C191F7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本合同签订后，双方依法签订的补充协议也是本合同文件的组成部分。</w:t>
      </w:r>
    </w:p>
    <w:p w14:paraId="7ADA02C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四、总监理工程师</w:t>
      </w:r>
    </w:p>
    <w:p w14:paraId="18AA977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总监理工程师姓名：</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，身份证号码：</w:t>
      </w:r>
      <w:r>
        <w:rPr>
          <w:rFonts w:hint="eastAsia" w:ascii="宋体" w:hAnsi="宋体" w:cs="宋体"/>
          <w:sz w:val="28"/>
          <w:szCs w:val="28"/>
          <w:u w:val="single"/>
        </w:rPr>
        <w:t xml:space="preserve">                    </w:t>
      </w:r>
      <w:r>
        <w:rPr>
          <w:rFonts w:hint="eastAsia" w:asciiTheme="minorEastAsia" w:hAnsiTheme="minorEastAsia" w:eastAsiaTheme="minorEastAsia" w:cstheme="minorEastAsia"/>
          <w:sz w:val="28"/>
          <w:szCs w:val="28"/>
        </w:rPr>
        <w:t>，注册号：</w:t>
      </w:r>
      <w:r>
        <w:rPr>
          <w:rFonts w:hint="eastAsia" w:asciiTheme="minorEastAsia" w:hAnsiTheme="minorEastAsia" w:eastAsiaTheme="minorEastAsia" w:cstheme="minorEastAsia"/>
          <w:sz w:val="28"/>
          <w:szCs w:val="28"/>
          <w:u w:val="single"/>
        </w:rPr>
        <w:t xml:space="preserve"> </w:t>
      </w:r>
      <w:r>
        <w:rPr>
          <w:rFonts w:hint="eastAsia" w:ascii="宋体" w:hAnsi="宋体" w:cs="宋体"/>
          <w:sz w:val="28"/>
          <w:szCs w:val="28"/>
          <w:u w:val="single"/>
        </w:rPr>
        <w:t xml:space="preserve">         </w:t>
      </w:r>
    </w:p>
    <w:p w14:paraId="6381892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五、签约酬金</w:t>
      </w:r>
    </w:p>
    <w:p w14:paraId="7B7827C2">
      <w:pPr>
        <w:spacing w:line="500" w:lineRule="exact"/>
        <w:ind w:firstLine="560" w:firstLineChars="20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签约合同价为：</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元</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4B9A4851">
      <w:pPr>
        <w:spacing w:line="500" w:lineRule="exact"/>
        <w:ind w:firstLine="560" w:firstLineChars="20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六、期限</w:t>
      </w:r>
    </w:p>
    <w:p w14:paraId="78D53B9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监理服务期限：</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r>
        <w:rPr>
          <w:rFonts w:hint="eastAsia" w:asciiTheme="minorEastAsia" w:hAnsiTheme="minorEastAsia" w:eastAsiaTheme="minorEastAsia" w:cstheme="minorEastAsia"/>
          <w:sz w:val="28"/>
          <w:szCs w:val="28"/>
        </w:rPr>
        <w:t>自监理人进场起算监理服务期。</w:t>
      </w:r>
    </w:p>
    <w:p w14:paraId="275C0CD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七、监理人向委托人承诺，按照本合同约定提供监理与相关服务。</w:t>
      </w:r>
    </w:p>
    <w:p w14:paraId="116546A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八、合同订立</w:t>
      </w:r>
    </w:p>
    <w:p w14:paraId="7555725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订立时间：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日。</w:t>
      </w:r>
    </w:p>
    <w:p w14:paraId="6A10CB2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订立地点</w:t>
      </w:r>
      <w:r>
        <w:rPr>
          <w:rFonts w:hint="eastAsia" w:asciiTheme="minorEastAsia" w:hAnsiTheme="minorEastAsia" w:eastAsiaTheme="minorEastAsia" w:cstheme="minorEastAsia"/>
          <w:sz w:val="28"/>
          <w:szCs w:val="28"/>
          <w:u w:val="single"/>
        </w:rPr>
        <w:t xml:space="preserve">：    咸阳市三原县  </w:t>
      </w:r>
      <w:r>
        <w:rPr>
          <w:rFonts w:hint="eastAsia" w:asciiTheme="minorEastAsia" w:hAnsiTheme="minorEastAsia" w:eastAsiaTheme="minorEastAsia" w:cstheme="minorEastAsia"/>
          <w:sz w:val="28"/>
          <w:szCs w:val="28"/>
        </w:rPr>
        <w:t>。</w:t>
      </w:r>
    </w:p>
    <w:p w14:paraId="214F472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 本合同一式</w:t>
      </w:r>
      <w:r>
        <w:rPr>
          <w:rFonts w:hint="eastAsia" w:asciiTheme="minorEastAsia" w:hAnsiTheme="minorEastAsia" w:eastAsiaTheme="minorEastAsia" w:cstheme="minorEastAsia"/>
          <w:sz w:val="28"/>
          <w:szCs w:val="28"/>
          <w:u w:val="single"/>
        </w:rPr>
        <w:t xml:space="preserve"> 陆 </w:t>
      </w:r>
      <w:r>
        <w:rPr>
          <w:rFonts w:hint="eastAsia" w:asciiTheme="minorEastAsia" w:hAnsiTheme="minorEastAsia" w:eastAsiaTheme="minorEastAsia" w:cstheme="minorEastAsia"/>
          <w:sz w:val="28"/>
          <w:szCs w:val="28"/>
        </w:rPr>
        <w:t>份，具有同等法律效力，双方各执</w:t>
      </w:r>
      <w:r>
        <w:rPr>
          <w:rFonts w:hint="eastAsia" w:asciiTheme="minorEastAsia" w:hAnsiTheme="minorEastAsia" w:eastAsiaTheme="minorEastAsia" w:cstheme="minorEastAsia"/>
          <w:sz w:val="28"/>
          <w:szCs w:val="28"/>
          <w:u w:val="single"/>
        </w:rPr>
        <w:t xml:space="preserve"> 一正两副 </w:t>
      </w:r>
      <w:r>
        <w:rPr>
          <w:rFonts w:hint="eastAsia" w:asciiTheme="minorEastAsia" w:hAnsiTheme="minorEastAsia" w:eastAsiaTheme="minorEastAsia" w:cstheme="minorEastAsia"/>
          <w:sz w:val="28"/>
          <w:szCs w:val="28"/>
        </w:rPr>
        <w:t>。</w:t>
      </w:r>
    </w:p>
    <w:p w14:paraId="796979C8">
      <w:pPr>
        <w:spacing w:line="500" w:lineRule="exact"/>
        <w:ind w:firstLine="560" w:firstLineChars="200"/>
        <w:jc w:val="left"/>
        <w:rPr>
          <w:rFonts w:hint="eastAsia" w:asciiTheme="minorEastAsia" w:hAnsiTheme="minorEastAsia" w:eastAsiaTheme="minorEastAsia" w:cstheme="minorEastAsia"/>
          <w:sz w:val="28"/>
          <w:szCs w:val="28"/>
        </w:rPr>
      </w:pPr>
    </w:p>
    <w:p w14:paraId="5E71ECF5">
      <w:pPr>
        <w:spacing w:line="500" w:lineRule="exact"/>
        <w:ind w:firstLine="560" w:firstLineChars="200"/>
        <w:jc w:val="left"/>
        <w:rPr>
          <w:rFonts w:hint="eastAsia" w:asciiTheme="minorEastAsia" w:hAnsiTheme="minorEastAsia" w:eastAsiaTheme="minorEastAsia" w:cstheme="minorEastAsia"/>
          <w:sz w:val="28"/>
          <w:szCs w:val="28"/>
        </w:rPr>
      </w:pPr>
    </w:p>
    <w:p w14:paraId="539C6438">
      <w:pPr>
        <w:spacing w:line="500" w:lineRule="exact"/>
        <w:ind w:left="2243" w:hanging="2242" w:hangingChars="801"/>
        <w:jc w:val="left"/>
        <w:rPr>
          <w:rFonts w:hint="eastAsia" w:asciiTheme="minorEastAsia" w:hAnsiTheme="minorEastAsia" w:eastAsiaTheme="minorEastAsia" w:cstheme="minorEastAsia"/>
          <w:w w:val="80"/>
          <w:sz w:val="28"/>
          <w:szCs w:val="28"/>
          <w:u w:val="single"/>
        </w:rPr>
      </w:pPr>
      <w:r>
        <w:rPr>
          <w:rFonts w:hint="eastAsia" w:asciiTheme="minorEastAsia" w:hAnsiTheme="minorEastAsia" w:eastAsiaTheme="minorEastAsia" w:cstheme="minorEastAsia"/>
          <w:sz w:val="28"/>
          <w:szCs w:val="28"/>
        </w:rPr>
        <w:t>委托人：</w:t>
      </w:r>
      <w:r>
        <w:rPr>
          <w:rFonts w:hint="eastAsia" w:asciiTheme="minorEastAsia" w:hAnsiTheme="minorEastAsia" w:eastAsiaTheme="minorEastAsia" w:cstheme="minorEastAsia"/>
          <w:sz w:val="28"/>
          <w:szCs w:val="28"/>
          <w:u w:val="single"/>
        </w:rPr>
        <w:t xml:space="preserve">三原县住房和城乡建设局 </w:t>
      </w:r>
      <w:r>
        <w:rPr>
          <w:rFonts w:hint="eastAsia" w:asciiTheme="minorEastAsia" w:hAnsiTheme="minorEastAsia" w:eastAsiaTheme="minorEastAsia" w:cstheme="minorEastAsia"/>
          <w:sz w:val="28"/>
          <w:szCs w:val="28"/>
        </w:rPr>
        <w:t xml:space="preserve">  监理人：</w:t>
      </w:r>
      <w:r>
        <w:rPr>
          <w:rFonts w:hint="eastAsia" w:asciiTheme="minorEastAsia" w:hAnsiTheme="minorEastAsia" w:eastAsiaTheme="minorEastAsia" w:cstheme="minorEastAsia"/>
          <w:w w:val="80"/>
          <w:sz w:val="28"/>
          <w:szCs w:val="28"/>
          <w:u w:val="single"/>
        </w:rPr>
        <w:t xml:space="preserve">                            </w:t>
      </w:r>
    </w:p>
    <w:p w14:paraId="31BDA3CB">
      <w:pPr>
        <w:spacing w:line="500" w:lineRule="exact"/>
        <w:ind w:left="1908" w:leftChars="642" w:hanging="560" w:hanging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（盖章）                        （盖章）</w:t>
      </w:r>
    </w:p>
    <w:p w14:paraId="5341685B">
      <w:pPr>
        <w:spacing w:line="500" w:lineRule="exact"/>
        <w:ind w:left="6359" w:hanging="6358" w:hangingChars="227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法定代表人或其授权的代理人：     法定代表人或其授权的代理人：</w:t>
      </w:r>
    </w:p>
    <w:p w14:paraId="0F4D3B16">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（签字）                         （签字）                    </w:t>
      </w:r>
    </w:p>
    <w:p w14:paraId="20E06E2C">
      <w:pPr>
        <w:spacing w:line="480" w:lineRule="exact"/>
        <w:ind w:left="5320" w:hanging="5320" w:hangingChars="1900"/>
        <w:rPr>
          <w:rFonts w:hint="eastAsia" w:asciiTheme="minorEastAsia" w:hAnsiTheme="minorEastAsia" w:eastAsiaTheme="minorEastAsia" w:cstheme="minorEastAsia"/>
          <w:w w:val="90"/>
          <w:sz w:val="28"/>
          <w:szCs w:val="28"/>
          <w:u w:val="single"/>
        </w:rPr>
      </w:pPr>
      <w:r>
        <w:rPr>
          <w:rFonts w:hint="eastAsia" w:asciiTheme="minorEastAsia" w:hAnsiTheme="minorEastAsia" w:eastAsiaTheme="minorEastAsia" w:cstheme="minorEastAsia"/>
          <w:sz w:val="28"/>
          <w:szCs w:val="28"/>
        </w:rPr>
        <w:t>住所：</w:t>
      </w:r>
      <w:r>
        <w:rPr>
          <w:rFonts w:hint="eastAsia" w:asciiTheme="minorEastAsia" w:hAnsiTheme="minorEastAsia" w:eastAsiaTheme="minorEastAsia" w:cstheme="minorEastAsia"/>
          <w:w w:val="90"/>
          <w:sz w:val="28"/>
          <w:szCs w:val="28"/>
          <w:u w:val="single"/>
        </w:rPr>
        <w:t>陕西省咸阳市三原县池阳街西段</w:t>
      </w:r>
      <w:r>
        <w:rPr>
          <w:rFonts w:hint="eastAsia" w:asciiTheme="minorEastAsia" w:hAnsiTheme="minorEastAsia" w:eastAsiaTheme="minorEastAsia" w:cstheme="minorEastAsia"/>
          <w:sz w:val="28"/>
          <w:szCs w:val="28"/>
        </w:rPr>
        <w:t xml:space="preserve"> 住所：</w:t>
      </w:r>
      <w:r>
        <w:rPr>
          <w:rFonts w:hint="eastAsia" w:asciiTheme="minorEastAsia" w:hAnsiTheme="minorEastAsia" w:eastAsiaTheme="minorEastAsia" w:cstheme="minorEastAsia"/>
          <w:w w:val="90"/>
          <w:sz w:val="28"/>
          <w:szCs w:val="28"/>
          <w:u w:val="single"/>
        </w:rPr>
        <w:t xml:space="preserve">                              </w:t>
      </w:r>
    </w:p>
    <w:p w14:paraId="5CEF43C8">
      <w:pPr>
        <w:spacing w:line="500" w:lineRule="exact"/>
        <w:ind w:left="6359" w:hanging="6358" w:hangingChars="227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邮政编码：</w:t>
      </w:r>
      <w:r>
        <w:rPr>
          <w:rFonts w:hint="eastAsia" w:asciiTheme="minorEastAsia" w:hAnsiTheme="minorEastAsia" w:eastAsiaTheme="minorEastAsia" w:cstheme="minorEastAsia"/>
          <w:sz w:val="28"/>
          <w:szCs w:val="28"/>
          <w:u w:val="single"/>
        </w:rPr>
        <w:t xml:space="preserve">       713800        </w:t>
      </w:r>
      <w:r>
        <w:rPr>
          <w:rFonts w:hint="eastAsia" w:asciiTheme="minorEastAsia" w:hAnsiTheme="minorEastAsia" w:eastAsiaTheme="minorEastAsia" w:cstheme="minorEastAsia"/>
          <w:sz w:val="28"/>
          <w:szCs w:val="28"/>
        </w:rPr>
        <w:t xml:space="preserve">  邮政编码：</w:t>
      </w:r>
      <w:r>
        <w:rPr>
          <w:rFonts w:hint="eastAsia" w:asciiTheme="minorEastAsia" w:hAnsiTheme="minorEastAsia" w:eastAsiaTheme="minorEastAsia" w:cstheme="minorEastAsia"/>
          <w:sz w:val="28"/>
          <w:szCs w:val="28"/>
          <w:u w:val="single"/>
        </w:rPr>
        <w:t xml:space="preserve">                        </w:t>
      </w:r>
    </w:p>
    <w:p w14:paraId="62083987">
      <w:pPr>
        <w:spacing w:line="500" w:lineRule="exact"/>
        <w:ind w:left="6359" w:hanging="6358" w:hangingChars="227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开户银行：</w:t>
      </w:r>
      <w:r>
        <w:rPr>
          <w:rFonts w:hint="eastAsia" w:asciiTheme="minorEastAsia" w:hAnsiTheme="minorEastAsia" w:eastAsiaTheme="minorEastAsia" w:cstheme="minorEastAsia"/>
          <w:w w:val="80"/>
          <w:sz w:val="28"/>
          <w:szCs w:val="28"/>
          <w:u w:val="single"/>
        </w:rPr>
        <w:t>中国银行有限公司三原县支行</w:t>
      </w:r>
      <w:r>
        <w:rPr>
          <w:rFonts w:hint="eastAsia" w:asciiTheme="minorEastAsia" w:hAnsiTheme="minorEastAsia" w:eastAsiaTheme="minorEastAsia" w:cstheme="minorEastAsia"/>
          <w:w w:val="80"/>
          <w:sz w:val="28"/>
          <w:szCs w:val="28"/>
        </w:rPr>
        <w:t xml:space="preserve">   </w:t>
      </w:r>
      <w:r>
        <w:rPr>
          <w:rFonts w:hint="eastAsia" w:asciiTheme="minorEastAsia" w:hAnsiTheme="minorEastAsia" w:eastAsiaTheme="minorEastAsia" w:cstheme="minorEastAsia"/>
          <w:sz w:val="28"/>
          <w:szCs w:val="28"/>
        </w:rPr>
        <w:t>开户银行：</w:t>
      </w:r>
      <w:r>
        <w:rPr>
          <w:rFonts w:hint="eastAsia" w:asciiTheme="minorEastAsia" w:hAnsiTheme="minorEastAsia" w:eastAsiaTheme="minorEastAsia" w:cstheme="minorEastAsia"/>
          <w:w w:val="80"/>
          <w:sz w:val="28"/>
          <w:szCs w:val="28"/>
          <w:u w:val="single"/>
        </w:rPr>
        <w:t xml:space="preserve">                         </w:t>
      </w:r>
    </w:p>
    <w:p w14:paraId="7093E321">
      <w:pPr>
        <w:spacing w:line="48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账号：</w:t>
      </w:r>
      <w:r>
        <w:rPr>
          <w:rFonts w:hint="eastAsia" w:asciiTheme="minorEastAsia" w:hAnsiTheme="minorEastAsia" w:eastAsiaTheme="minorEastAsia" w:cstheme="minorEastAsia"/>
          <w:sz w:val="28"/>
          <w:szCs w:val="28"/>
          <w:u w:val="single"/>
        </w:rPr>
        <w:t xml:space="preserve">      102015208375     </w:t>
      </w:r>
      <w:r>
        <w:rPr>
          <w:rFonts w:hint="eastAsia" w:asciiTheme="minorEastAsia" w:hAnsiTheme="minorEastAsia" w:eastAsiaTheme="minorEastAsia" w:cstheme="minorEastAsia"/>
          <w:sz w:val="28"/>
          <w:szCs w:val="28"/>
        </w:rPr>
        <w:t xml:space="preserve">  账号：</w:t>
      </w:r>
      <w:r>
        <w:rPr>
          <w:rFonts w:hint="eastAsia" w:asciiTheme="minorEastAsia" w:hAnsiTheme="minorEastAsia" w:eastAsiaTheme="minorEastAsia" w:cstheme="minorEastAsia"/>
          <w:sz w:val="28"/>
          <w:szCs w:val="28"/>
          <w:u w:val="single"/>
        </w:rPr>
        <w:t xml:space="preserve">                          </w:t>
      </w:r>
    </w:p>
    <w:p w14:paraId="747D6930">
      <w:pPr>
        <w:spacing w:line="500" w:lineRule="exact"/>
        <w:ind w:left="6359" w:hanging="6358" w:hangingChars="227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电话：</w:t>
      </w:r>
      <w:r>
        <w:rPr>
          <w:rFonts w:hint="eastAsia" w:asciiTheme="minorEastAsia" w:hAnsiTheme="minorEastAsia" w:eastAsiaTheme="minorEastAsia" w:cstheme="minorEastAsia"/>
          <w:sz w:val="28"/>
          <w:szCs w:val="28"/>
          <w:u w:val="single"/>
        </w:rPr>
        <w:t xml:space="preserve">      029-32282929       </w:t>
      </w:r>
      <w:r>
        <w:rPr>
          <w:rFonts w:hint="eastAsia" w:asciiTheme="minorEastAsia" w:hAnsiTheme="minorEastAsia" w:eastAsiaTheme="minorEastAsia" w:cstheme="minorEastAsia"/>
          <w:sz w:val="28"/>
          <w:szCs w:val="28"/>
        </w:rPr>
        <w:t xml:space="preserve">  电话：</w:t>
      </w:r>
      <w:r>
        <w:rPr>
          <w:rFonts w:hint="eastAsia" w:asciiTheme="minorEastAsia" w:hAnsiTheme="minorEastAsia" w:eastAsiaTheme="minorEastAsia" w:cstheme="minorEastAsia"/>
          <w:sz w:val="28"/>
          <w:szCs w:val="28"/>
          <w:u w:val="single"/>
        </w:rPr>
        <w:t xml:space="preserve">                         </w:t>
      </w:r>
    </w:p>
    <w:p w14:paraId="0A394E8D">
      <w:pPr>
        <w:spacing w:line="500" w:lineRule="exact"/>
        <w:ind w:left="6359" w:hanging="6358" w:hangingChars="227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电子邮箱：</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电子邮箱：</w:t>
      </w:r>
      <w:r>
        <w:rPr>
          <w:rFonts w:hint="eastAsia" w:asciiTheme="minorEastAsia" w:hAnsiTheme="minorEastAsia" w:eastAsiaTheme="minorEastAsia" w:cstheme="minorEastAsia"/>
          <w:sz w:val="28"/>
          <w:szCs w:val="28"/>
          <w:u w:val="single"/>
        </w:rPr>
        <w:t xml:space="preserve">                     </w:t>
      </w:r>
    </w:p>
    <w:p w14:paraId="5387314B">
      <w:pPr>
        <w:spacing w:line="5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p w14:paraId="047ADB53">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第二部分 通用条件</w:t>
      </w:r>
    </w:p>
    <w:p w14:paraId="783CA0CB">
      <w:pPr>
        <w:spacing w:line="500" w:lineRule="exact"/>
        <w:ind w:firstLine="562" w:firstLineChars="200"/>
        <w:jc w:val="left"/>
        <w:rPr>
          <w:rFonts w:hint="eastAsia" w:asciiTheme="minorEastAsia" w:hAnsiTheme="minorEastAsia" w:eastAsiaTheme="minorEastAsia" w:cstheme="minorEastAsia"/>
          <w:b/>
          <w:bCs/>
          <w:sz w:val="28"/>
          <w:szCs w:val="28"/>
        </w:rPr>
      </w:pPr>
      <w:bookmarkStart w:id="1" w:name="_Hlk504573683"/>
      <w:r>
        <w:rPr>
          <w:rFonts w:hint="eastAsia" w:asciiTheme="minorEastAsia" w:hAnsiTheme="minorEastAsia" w:eastAsiaTheme="minorEastAsia" w:cstheme="minorEastAsia"/>
          <w:b/>
          <w:bCs/>
          <w:sz w:val="28"/>
          <w:szCs w:val="28"/>
        </w:rPr>
        <w:t>1. 定义与解释</w:t>
      </w:r>
    </w:p>
    <w:p w14:paraId="48F17AF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 定义</w:t>
      </w:r>
    </w:p>
    <w:p w14:paraId="7306384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除根据上下文另有其意义外，组成本合同的全部文件中的下列名词和用语应具有本款所赋予的含义：</w:t>
      </w:r>
    </w:p>
    <w:p w14:paraId="50AAF07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 “工程 ”是指按照本合同约定实施监理与相关服务的建设工程。</w:t>
      </w:r>
    </w:p>
    <w:p w14:paraId="48D8B17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1.1.2 “委托人 ”是指本合同中委托监理与相关服务的一方，及其合法的继承人或受让人。</w:t>
      </w:r>
    </w:p>
    <w:p w14:paraId="3C1D1C1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1.1.3 “监理人 ”是指本合同中提供监理与相关服务的一方，及其合法的继承人</w:t>
      </w:r>
    </w:p>
    <w:p w14:paraId="43CA78F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1.1.4 “承包人 ”是指在工程范围内与委托人签订勘察、设计、施工等有关合同的当事人，及其合法的继承人。</w:t>
      </w:r>
    </w:p>
    <w:p w14:paraId="4990605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1.1.5 “监理 ”是指监理人受委托人的委托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42CBFE8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1.1.6 “相关服务 ”是指监理人受委托人的委托 ，按照本合同约定，在勘察、设计、保修等阶段提供的服务活动。</w:t>
      </w:r>
    </w:p>
    <w:p w14:paraId="26F091F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1.1.7 “正常工作 ”指本合同订立时通用条件和专用条件中约定的监理人的工作</w:t>
      </w:r>
    </w:p>
    <w:p w14:paraId="761C22B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1.1.8 “ 附加工作 ”是指本合同约定的正常工作以外监理人的工作。</w:t>
      </w:r>
    </w:p>
    <w:p w14:paraId="306CC7F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1.1.9 “项目监理机构”是指监理人派驻工程负责履行本合同的组织机构。</w:t>
      </w:r>
    </w:p>
    <w:p w14:paraId="583FD70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1.1.10 “总监理工程师 ”是指由监理人的法定代表人书面授权，全面负责履行本合同、主持项目监理机构工作的注册监理工程师。</w:t>
      </w:r>
    </w:p>
    <w:p w14:paraId="2429C76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1.1.11 “酬金 ”是指监理人履行本合同义务，委托人按照本合同约定给付监理人的金额。</w:t>
      </w:r>
    </w:p>
    <w:p w14:paraId="71D4287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1.1.12 “正常工作酬金 ”是指监理人完成正常工作，委托人应给付监理人并在协议书中载明的签约酬金额。</w:t>
      </w:r>
    </w:p>
    <w:p w14:paraId="732139D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1.1.13 “ 附加工作酬金 ”是指监理人完成附加工作，委托人应给付监理人的金额。</w:t>
      </w:r>
    </w:p>
    <w:p w14:paraId="5CB4DA6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1.1.14 “一方 ”是指委托人或监理人；“双方 ”是指委托人和监理人；“第三方 ”是指除委托人和监理人以外的有关方。</w:t>
      </w:r>
    </w:p>
    <w:p w14:paraId="212C620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1.1.15 “书面形式 ”是指合同书、信件和数据电文（包括电报、电传、传真、电子数据交换和电子邮件）等可以有形地表现所载内容的形式。</w:t>
      </w:r>
    </w:p>
    <w:p w14:paraId="3EB9D65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1.1.16 “天 ”是指第一天零时至第二天零时的时间。</w:t>
      </w:r>
    </w:p>
    <w:p w14:paraId="7A600CE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1.1.17“月 ”是指按公历从一个月中任何一天开始的一个公历月时间。</w:t>
      </w:r>
    </w:p>
    <w:p w14:paraId="51DD246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1.1.18 “不可抗力 ”是指委托人和监理人在订立本合同时不可预见，在工程</w:t>
      </w:r>
    </w:p>
    <w:p w14:paraId="2BCAA61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施工过程中不可避免发生并不能克服的自然灾害和社会性突发事件，如地震、海啸、瘟疫、水灾、骚乱、暴动、战争和专用条件约定的其他情形。</w:t>
      </w:r>
    </w:p>
    <w:p w14:paraId="185280F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 解释</w:t>
      </w:r>
    </w:p>
    <w:p w14:paraId="30298D6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1.2.1 本合同使用中文书写、解释和说明。如专用条件约定使用两种及以上语言文字时，应以中文为准。</w:t>
      </w:r>
    </w:p>
    <w:p w14:paraId="452322F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1.2.2 组成本合同的下列文件彼此应能相互解释、互为说明。除专用条件另有约定外，本合同文件的解释顺序如下：</w:t>
      </w:r>
    </w:p>
    <w:p w14:paraId="7001BA3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（1）协议书；</w:t>
      </w:r>
    </w:p>
    <w:p w14:paraId="0D52CC2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（2）中标通知书（适用于招标工程）或委托书（适用于非招标工程）；</w:t>
      </w:r>
    </w:p>
    <w:p w14:paraId="3C6F59F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（3）专用条件及附录 A、附录 B；</w:t>
      </w:r>
    </w:p>
    <w:p w14:paraId="16DB82D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（4）通用条件；</w:t>
      </w:r>
    </w:p>
    <w:p w14:paraId="7E36723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（5）投标文件（适用于招标工程）或监理与相关服务建议书（适用于非招</w:t>
      </w:r>
    </w:p>
    <w:p w14:paraId="09C80C6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标工程）。</w:t>
      </w:r>
    </w:p>
    <w:p w14:paraId="5A90D19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双方签订的补充协议与其他文件发生矛盾或歧义时，属于同一类内容的文件，应以最新签署的为准。</w:t>
      </w:r>
    </w:p>
    <w:p w14:paraId="00C65A1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监理人的义务</w:t>
      </w:r>
    </w:p>
    <w:p w14:paraId="547AE6F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 监理的范围和工作内容</w:t>
      </w:r>
    </w:p>
    <w:p w14:paraId="09FB7DE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2.1.1 监理范围在专用条件中约定。</w:t>
      </w:r>
    </w:p>
    <w:p w14:paraId="101ADD7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2.1.2 除专用条件另有约定外，监理工作内容包括：</w:t>
      </w:r>
    </w:p>
    <w:p w14:paraId="71AFEFE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（1）收到工程设计文件后编制监理规划，并在第一次工地会议7天前报委托人。根据有关规定和监理工作需要，编制监理实施细则；</w:t>
      </w:r>
    </w:p>
    <w:p w14:paraId="0594706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（2）熟悉工程设计文件，并参加由委托人主持的图纸会审和设计交底会议；</w:t>
      </w:r>
    </w:p>
    <w:p w14:paraId="2AA8EB7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（3）参加由委托人主持的第一次工地会议；主持监理例会并根据工程需要主持或参加专题会议；</w:t>
      </w:r>
    </w:p>
    <w:p w14:paraId="2D5E427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（4）审查施工承包人提交的施工组织设计，重点审查其中的质量安全技术措施、专项施工方案与工程建设强制性标准的符合性；</w:t>
      </w:r>
    </w:p>
    <w:p w14:paraId="1427DFD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（5）检查施工承包人工程质量、安全生产管理制度及组织机构和人员资格； </w:t>
      </w:r>
    </w:p>
    <w:p w14:paraId="58C2049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（6）检查施工承包人专职安全生产管理人员的配备情况；</w:t>
      </w:r>
    </w:p>
    <w:p w14:paraId="26368FB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（7）审查施工承包人提交的施工进度计划，核查承包人对施工进度计划的调整；</w:t>
      </w:r>
    </w:p>
    <w:p w14:paraId="1633185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（8）检查施工承包人的试验室；</w:t>
      </w:r>
    </w:p>
    <w:p w14:paraId="4138E34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（9）审核施工分包人资质条件；</w:t>
      </w:r>
    </w:p>
    <w:p w14:paraId="3E73B3F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（10）查验施工承包人的施工测量放线成果；</w:t>
      </w:r>
    </w:p>
    <w:p w14:paraId="77CC0C2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（11）审查工程开工条件，对条件具备的签发开工令；</w:t>
      </w:r>
    </w:p>
    <w:p w14:paraId="69FA426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（12）审查施工承包人报送的工程材料、构配件、设备质量证明文件的有效性和符合性，并按规定对用于工程的材料采取平行检验或见证取样方式进行抽检；</w:t>
      </w:r>
    </w:p>
    <w:p w14:paraId="40D333E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（13）审核施工承包人提交的工程款支付申请，签发或出具工程款支付证书，并报委托人审核、批准；</w:t>
      </w:r>
    </w:p>
    <w:p w14:paraId="017BED4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（14）在巡视、旁站和检验过程中，发现工程质量、施工安全存在事故隐患的，要求施工承包人整改并报委托人；</w:t>
      </w:r>
    </w:p>
    <w:p w14:paraId="0A49AE8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（15）经委托人同意，签发工程暂停令和复工令；</w:t>
      </w:r>
    </w:p>
    <w:p w14:paraId="47B8672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（16）审查施工承包人提交的采用新材料、新工艺、新技术、新设备的论证材料及相关验收标准；</w:t>
      </w:r>
    </w:p>
    <w:p w14:paraId="085B064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（17）验收隐蔽工程、分部分项工程；</w:t>
      </w:r>
    </w:p>
    <w:p w14:paraId="270D64C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（18）审查施工承包人提交的工程变更申请，协调处理施工进度调整、费用索赔、合同争议等事项；</w:t>
      </w:r>
    </w:p>
    <w:p w14:paraId="47E017F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（19）审查施工承包人提交的竣工验收申请，编写工程质量评估报告；</w:t>
      </w:r>
    </w:p>
    <w:p w14:paraId="7B0400E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（20）参加工程竣工验收，签署竣工验收意见；</w:t>
      </w:r>
    </w:p>
    <w:p w14:paraId="63A34AC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（21）审查施工承包人提交的竣工结算申请并报委托人；</w:t>
      </w:r>
    </w:p>
    <w:p w14:paraId="0A796CD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（22）编制、整理工程监理归档文件并报委托人。</w:t>
      </w:r>
    </w:p>
    <w:p w14:paraId="6F507FA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 监理与相关服务依据</w:t>
      </w:r>
    </w:p>
    <w:p w14:paraId="7E3E929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2.2.1 监理依据包括：</w:t>
      </w:r>
    </w:p>
    <w:p w14:paraId="418BACF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（1）适用的法律、行政法规及部门规章；</w:t>
      </w:r>
    </w:p>
    <w:p w14:paraId="2677330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（2）与工程有关的标准；</w:t>
      </w:r>
    </w:p>
    <w:p w14:paraId="45EE8A2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（3）工程设计及有关文件；</w:t>
      </w:r>
    </w:p>
    <w:p w14:paraId="6B380EB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（4）本合同及委托人与第三方签订的与实施工程有关的其他合同。</w:t>
      </w:r>
    </w:p>
    <w:p w14:paraId="6099033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双方根据工程的行业和地域特点，在专用条件中具体约定监理依据。</w:t>
      </w:r>
    </w:p>
    <w:p w14:paraId="691DC16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2.2.2 相关服务依据在专用条件中约定。</w:t>
      </w:r>
    </w:p>
    <w:p w14:paraId="3590830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 项目监理机构和人员</w:t>
      </w:r>
    </w:p>
    <w:p w14:paraId="03FE6BE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2.3.1 监理人应组建满足工作需要的项目监理机构，配备必要的检测设备。项目监理机构的主要人员应具有相应的资格条件。</w:t>
      </w:r>
    </w:p>
    <w:p w14:paraId="527E025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2.3.2 本合同履行过程中，总监理工程师及重要岗位监理人员应保持相对稳定，以保证监理工作正常进行。</w:t>
      </w:r>
    </w:p>
    <w:p w14:paraId="472B93E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2.3.3 监理人可根据工程进展和工作需要调整项目监理机构人员。监理人更换总监理工程师时，应提前 7 天向委托人书面报告，经委托人同意后方可更换； 监理人更换项目监理机构其他监理人员，应以相当资格与能力的人员替换，并通知委托人。</w:t>
      </w:r>
    </w:p>
    <w:p w14:paraId="6DD5BA6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2.3.4 监理人应及时更换有下列情形之一的监理人员：</w:t>
      </w:r>
    </w:p>
    <w:p w14:paraId="3B5D68D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（1）严重过失行为的；</w:t>
      </w:r>
    </w:p>
    <w:p w14:paraId="098D104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（2）有违法行为不能履行职责的；</w:t>
      </w:r>
    </w:p>
    <w:p w14:paraId="03B712E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（3）涉嫌犯罪的；</w:t>
      </w:r>
    </w:p>
    <w:p w14:paraId="215D9D0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（4）不能胜任岗位职责的；</w:t>
      </w:r>
    </w:p>
    <w:p w14:paraId="1F5D353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（5）严重违反职业道德的；</w:t>
      </w:r>
    </w:p>
    <w:p w14:paraId="55CE35A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（6）专用条件约定的其他情形。</w:t>
      </w:r>
    </w:p>
    <w:p w14:paraId="62ECF88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2.3.5 委托人可要求监理人更换不能胜任本职工作的项目监理机构人员。</w:t>
      </w:r>
    </w:p>
    <w:p w14:paraId="3806F0A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 履行职责</w:t>
      </w:r>
    </w:p>
    <w:p w14:paraId="7D4A93B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监理人应遵循职业道德准则和行为规范，严格按照法律法规、工程建设有关标准及本合同履行职责。</w:t>
      </w:r>
    </w:p>
    <w:p w14:paraId="3113143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2.4.1 在监理与相关服务范围内，委托人和承包人提出的意见和要求，监理人应及时提出处置意见。当委托人与承包人之间发生合同争议时，监理人应协助委托人、承包人协商解决。</w:t>
      </w:r>
    </w:p>
    <w:p w14:paraId="43FBC91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2.4.2 当委托人与承包人之间的合同争议提交仲裁机构仲裁或人民法院审理时，监理人应提供必要的证明资料。</w:t>
      </w:r>
    </w:p>
    <w:p w14:paraId="2D5D5C6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2.4.3 监理人应在专用条件约定的授权范围内，处理委托人与承包人所签订合同的变更事宜。如果变更超过授权范围，应以书面形式报委托人批准。在紧急情况下，为了保护财产和人身安全，监理人所发出的指令未能事先报委托人批准时，应在发出指令后的 24 小时内以书面形式报委托人。</w:t>
      </w:r>
    </w:p>
    <w:p w14:paraId="71AEC35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2.4.4 除专用条件另有约定外，监理人发现承包人的人员不能胜任本职工作的，有权要求承包人予以调换。</w:t>
      </w:r>
    </w:p>
    <w:p w14:paraId="5888DE5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 提交报告</w:t>
      </w:r>
    </w:p>
    <w:p w14:paraId="15C65B4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监理人应按专用条件约定的种类、时间和份数向委托人提交监理与相关服务的报告。</w:t>
      </w:r>
    </w:p>
    <w:p w14:paraId="75A8FBB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2.6 文件资料</w:t>
      </w:r>
    </w:p>
    <w:p w14:paraId="6ECED4B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在本合同履行期内，监理人应在现场保留工作所用的图纸、报告及记录监理工作的相关文件。工程竣工后，应当按照档案管理规定将监理有关文件归档。</w:t>
      </w:r>
    </w:p>
    <w:p w14:paraId="0FC3FE00">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3．委托人的义务</w:t>
      </w:r>
    </w:p>
    <w:p w14:paraId="6CF4076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 告知</w:t>
      </w:r>
    </w:p>
    <w:p w14:paraId="68CD36E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委托人应在委托人与承包人签订的合同中明确监理人、总监理工程师和授予项目监理机构的权限。如有变更，应及时通知承包人。</w:t>
      </w:r>
    </w:p>
    <w:p w14:paraId="23C16F5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 提供资料</w:t>
      </w:r>
    </w:p>
    <w:p w14:paraId="4ED8B0B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委托人应按照附录 B 约定，无偿向监理人提供工程有关的资料。在本合同履行过程中，委托人应及时向监理人提供最新的与工程有关的资料。</w:t>
      </w:r>
    </w:p>
    <w:p w14:paraId="69FF8BE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 提供工作条件</w:t>
      </w:r>
    </w:p>
    <w:p w14:paraId="0BA81F8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委托人应为监理人完成监理与相关服务提供必要的条件。</w:t>
      </w:r>
    </w:p>
    <w:p w14:paraId="4BCF21E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3.3.1 委托人应负责协调工程建设中所有外部关系，为监理人履行本合同提供必要的外部条件。</w:t>
      </w:r>
    </w:p>
    <w:p w14:paraId="6453EE1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3.4 委托人代表</w:t>
      </w:r>
    </w:p>
    <w:p w14:paraId="02E2908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委托人应授权一名熟悉工程情况的代表，负责与监理人联系。委托人应在 双方签订本合同后 7 天内，将委托人代表的姓名和职责书面告知监理人。当委托人更换委托人代表时，应提前 7 天通知监理人。</w:t>
      </w:r>
    </w:p>
    <w:p w14:paraId="48D025A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3.5 委托人意见或要求</w:t>
      </w:r>
    </w:p>
    <w:p w14:paraId="7442170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在本合同约定的监理与相关服务工作范围内，委托人对承包人的任何意见或要求应通知监理人，由监理人向承包人发出相应指令。</w:t>
      </w:r>
    </w:p>
    <w:p w14:paraId="2679FC0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3.6 答复</w:t>
      </w:r>
    </w:p>
    <w:p w14:paraId="30C5561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委托人应在专用条件约定的时间内，对监理人以书面形式提交并要求作出决定的事宜，给予书面答复。逾期未答复的，视为委托人认可。</w:t>
      </w:r>
    </w:p>
    <w:p w14:paraId="1D8515F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3.7 支付</w:t>
      </w:r>
    </w:p>
    <w:p w14:paraId="15A760A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委托人应按本合同约定，向监理人支付酬金。</w:t>
      </w:r>
    </w:p>
    <w:p w14:paraId="51336638">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4. 违约责任</w:t>
      </w:r>
    </w:p>
    <w:p w14:paraId="3BE548B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 监理人的违约责任</w:t>
      </w:r>
    </w:p>
    <w:p w14:paraId="66243EB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监理人未履行本合同义务的，应承担相应的责任。</w:t>
      </w:r>
    </w:p>
    <w:p w14:paraId="178609C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4.1.1 因监理人违反本合同约定给委托人造成损失的，监理人应当赔偿委托 人损失。赔偿金额的确定方法在专用条件中约定。监理人承担部分赔偿责任的，其承担赔偿金额由双方协商确定。</w:t>
      </w:r>
    </w:p>
    <w:p w14:paraId="0C33073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4.1.2 监理人向委托人的索赔不成立时，监理人应赔偿委托人由此发生的费用。</w:t>
      </w:r>
    </w:p>
    <w:p w14:paraId="1CA7B71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 委托人的违约责任</w:t>
      </w:r>
    </w:p>
    <w:p w14:paraId="6927FAD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委托人未履行本合同义务的，应承担相应的责任。</w:t>
      </w:r>
    </w:p>
    <w:p w14:paraId="3DCE21B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4.2.1 委托人违反本合同约定造成监理人损失的，委托人应予以赔偿。</w:t>
      </w:r>
    </w:p>
    <w:p w14:paraId="27F0DBC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4.2.2 委托人向监理人的索赔不成立时，应赔偿监理人由此引起的费用。</w:t>
      </w:r>
    </w:p>
    <w:p w14:paraId="5E2D0B4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4.3 除外责任</w:t>
      </w:r>
    </w:p>
    <w:p w14:paraId="0116B1C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因非监理人的原因，且监理人无过错，发生工程质量事故、安全事故、工期延误等造成的损失，监理人不承担赔偿责任。因不可抗力导致本合同全部或部分不能履行时，双方各自承担其因此而造成的损失、损害。</w:t>
      </w:r>
    </w:p>
    <w:p w14:paraId="5EAE28D4">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5. 支付</w:t>
      </w:r>
    </w:p>
    <w:p w14:paraId="5A61468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 支付货币</w:t>
      </w:r>
    </w:p>
    <w:p w14:paraId="60DC65F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除专用条件另有约定外，酬金均以人民币支付。涉及外币支付的，所采用的货币种类、比例和汇率在专用条件中约定。</w:t>
      </w:r>
    </w:p>
    <w:p w14:paraId="024181C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5.2 支付申请</w:t>
      </w:r>
    </w:p>
    <w:p w14:paraId="261CE4E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监理人应在本合同约定的每次应付款时间的 7 天前，向委托人提交支付申请书。支付申请书应当说明当期应付款总额，并列出当期应支付的款项及其金额。</w:t>
      </w:r>
    </w:p>
    <w:p w14:paraId="3D86F09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 支付酬金</w:t>
      </w:r>
    </w:p>
    <w:p w14:paraId="7CC91DA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执行专用条款。</w:t>
      </w:r>
    </w:p>
    <w:p w14:paraId="4A82B9F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5.4 有争议部分的付款</w:t>
      </w:r>
    </w:p>
    <w:p w14:paraId="142480E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委托人对监理人提交的支付申请书有异议时，应当在收到监理人提交的支付 申请书后 7 天内，以书面形式向监理人发出异议通知。无异议部分的款项应按期支付，有异议部分的款项按第 7 条约定办理。</w:t>
      </w:r>
    </w:p>
    <w:p w14:paraId="5772381F">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6. 合同生效、变更、暂停、解除与终止</w:t>
      </w:r>
    </w:p>
    <w:p w14:paraId="53DFD00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 生效</w:t>
      </w:r>
    </w:p>
    <w:p w14:paraId="4C3D9E4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除法律另有规定或者专用条件另有约定外，委托人和监理人的法定代表人或其授权代理人在协议书上签字并盖单位章后本合同生效。</w:t>
      </w:r>
    </w:p>
    <w:p w14:paraId="72EDC09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 变更</w:t>
      </w:r>
    </w:p>
    <w:p w14:paraId="26014C0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6.2.1 任何一方提出变更请求时，双方经协商一致后可进行变更。</w:t>
      </w:r>
    </w:p>
    <w:p w14:paraId="1ACF4C6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6.2.2 除不可抗力外，因非监理人原因导致监理人履行合同期限延长、内容增加时，监理人应当将此情况与可能产生的影响及时通知委托人。增加的监理工作时间、工作内容应视为附加工作。附加工作酬金确定方法在专用条件中约定。</w:t>
      </w:r>
    </w:p>
    <w:p w14:paraId="1DB25E9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6.2.3 合同生效后，如果实际情况发生变化使得监理人不能完成全部或部分 工作时，监理人应立即通知委托人。除不可抗力外，其善后工作以及恢复服务的 准备工作应为附加工作，附加工作酬金确定方法在专用条件中约定。监理人用于恢复服务的准备时间不应超过 28 天。</w:t>
      </w:r>
    </w:p>
    <w:p w14:paraId="5EE46F0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6.2.4 合同签订后，遇有与工程相关的法律法规、标准颁布或修订的，双方 应遵照执行。由此引起监理与相关服务的范围、时间、酬金变化的，双方应通过协商进行相应调整。</w:t>
      </w:r>
    </w:p>
    <w:p w14:paraId="7C84FA2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6.2.5 因非监理人原因造成工程概算投资额或建筑安装工程费增加时，正常工作酬金应作相应调整。调整方法在专用条件中约定。</w:t>
      </w:r>
    </w:p>
    <w:p w14:paraId="147E498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6.2.6 因工程规模、监理范围的变化导致监理人的正常工作量减少时，正常工作酬金应作相应调整。调整方法在专用条件中约定。</w:t>
      </w:r>
    </w:p>
    <w:p w14:paraId="4BD73D9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 暂停与解除</w:t>
      </w:r>
    </w:p>
    <w:p w14:paraId="1B61E41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除双方协商一致可以解除本合同外，当一方无正当理由未履行本合同约定的义务时，另一方可以根据本合同约定暂停履行本合同直至解除本合同。</w:t>
      </w:r>
    </w:p>
    <w:p w14:paraId="1578A00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6.3.1 在本合同有效期内，由于双方无法预见和控制的原因导致本合同全部</w:t>
      </w:r>
      <w:bookmarkStart w:id="2" w:name="bookmark182"/>
      <w:bookmarkEnd w:id="2"/>
      <w:r>
        <w:rPr>
          <w:rFonts w:hint="eastAsia" w:asciiTheme="minorEastAsia" w:hAnsiTheme="minorEastAsia" w:eastAsiaTheme="minorEastAsia" w:cstheme="minorEastAsia"/>
          <w:sz w:val="28"/>
          <w:szCs w:val="28"/>
        </w:rPr>
        <w:t>或部分无法继续履行或继续履行已无意义，经双方协商一致，可以解除本合同或监理人的部分义务。在解除之前，监理人应作出合理安排，使开支减至最小。因解除本合同或解除监理人的部分义务导致监理人遭受的损失，除依法可以免除责任的情况外，应由委托人予以补偿，补偿金额由双方协商确定。</w:t>
      </w:r>
    </w:p>
    <w:p w14:paraId="4F9FD33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解除本合同的协议必须采取书面形式，协议未达成之前，本合同仍然有效。</w:t>
      </w:r>
    </w:p>
    <w:p w14:paraId="4176679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6.3.2 在本合同有效期内，因非监理人的原因导致工程施工全部或部分暂停， 委托人可通知监理人要求暂停全部或部分工作。监理人应立即安排停止工作，并  将开支减至最小。暂停部分监理与相关服务时间超过 182 天，监理人可发出解除本合同约定的该部分义务的通知；暂停全部工作时间超过 182 天，监理人可发出解除本合同的通知，本合同自通知到达委托人时解除。委托人应将监理与相关服务的酬金支付至本合同解除日，且应承担第 4.2 款约定的责任。</w:t>
      </w:r>
    </w:p>
    <w:p w14:paraId="7671667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6.3.3 当监理人无正当理由未履行本合同约定的义务时，委托人应通知监理人限期改正。若委托人在监理人接到通知后的 7 天内未收到监理人书面形式的合 理解释，则可在 7 天内发出解除本合同的通知，自通知到达监理人时本合同解除。委托人应将监理与相关服务的酬金支付至限期改正通知到达监理人之日，但监理人应承担第 4.1 款约定的责任。</w:t>
      </w:r>
    </w:p>
    <w:p w14:paraId="7775F10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6.3.4 监理人在专用条件 5.3 中约定的支付之日起 28 天后仍未收到委托人按本合同约定应付的款项，可向委托人发出催付通知。委托人接到通知 14 天后 仍未支付或未提出监理人可以接受的延期支付安排，监理人可向委托人发出暂停工作的通知并可自行暂停全部或部分工作。</w:t>
      </w:r>
    </w:p>
    <w:p w14:paraId="02AC59C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6.3.5 因不可抗力致使本合同部分或全部不能履行时，一方应立即通知另一方，可暂停或解除本合同。</w:t>
      </w:r>
    </w:p>
    <w:p w14:paraId="28FC349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6.3.6 本合同解除后，本合同约定的有关结算、清理、争议解决方式的条件仍然有效。</w:t>
      </w:r>
    </w:p>
    <w:p w14:paraId="6E79E81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6.4 终止</w:t>
      </w:r>
    </w:p>
    <w:p w14:paraId="55C9681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以下条件全部满足时，本合同即告终止：</w:t>
      </w:r>
    </w:p>
    <w:p w14:paraId="2AAA002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（1）监理人完成本合同约定的全部工作；</w:t>
      </w:r>
    </w:p>
    <w:p w14:paraId="56D4F04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（2）委托人与监理人结清并支付全部酬金。</w:t>
      </w:r>
    </w:p>
    <w:p w14:paraId="42127CEE">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7. 争议解决</w:t>
      </w:r>
    </w:p>
    <w:p w14:paraId="5A4F859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 协商</w:t>
      </w:r>
    </w:p>
    <w:p w14:paraId="37C49E24">
      <w:pPr>
        <w:spacing w:line="500" w:lineRule="exact"/>
        <w:ind w:firstLine="560" w:firstLineChars="200"/>
        <w:jc w:val="left"/>
        <w:rPr>
          <w:rFonts w:hint="eastAsia" w:asciiTheme="minorEastAsia" w:hAnsiTheme="minorEastAsia" w:eastAsiaTheme="minorEastAsia" w:cstheme="minorEastAsia"/>
          <w:sz w:val="28"/>
          <w:szCs w:val="28"/>
        </w:rPr>
      </w:pPr>
      <w:bookmarkStart w:id="3" w:name="bookmark184"/>
      <w:bookmarkEnd w:id="3"/>
      <w:r>
        <w:rPr>
          <w:rFonts w:hint="eastAsia" w:asciiTheme="minorEastAsia" w:hAnsiTheme="minorEastAsia" w:eastAsiaTheme="minorEastAsia" w:cstheme="minorEastAsia"/>
          <w:sz w:val="28"/>
          <w:szCs w:val="28"/>
        </w:rPr>
        <w:t>双方应本着诚信原则协商解决彼此间的争议。</w:t>
      </w:r>
    </w:p>
    <w:p w14:paraId="0CF38BF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7.2 调解</w:t>
      </w:r>
    </w:p>
    <w:p w14:paraId="764D681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如果双方不能在 14 天内或双方商定的其他时间内解决本合同争议，可以将其提交给专用条件约定的或事后达成协议的调解人进行调解。</w:t>
      </w:r>
    </w:p>
    <w:p w14:paraId="129FCAC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7.3 仲裁或诉讼</w:t>
      </w:r>
    </w:p>
    <w:p w14:paraId="1733B8A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双方均有权不经调解直接向专用条件约定的仲裁机构申请仲裁或向有管辖权的人民法院提起诉讼。</w:t>
      </w:r>
    </w:p>
    <w:p w14:paraId="364059AE">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8. 其他</w:t>
      </w:r>
    </w:p>
    <w:p w14:paraId="5DBD2EB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 外出考察费用</w:t>
      </w:r>
    </w:p>
    <w:p w14:paraId="3DB61FC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包含在合同价中。</w:t>
      </w:r>
    </w:p>
    <w:p w14:paraId="0EED4A4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8.2 咨询费用</w:t>
      </w:r>
    </w:p>
    <w:p w14:paraId="4047D98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包含在合同价中</w:t>
      </w:r>
    </w:p>
    <w:p w14:paraId="1F71691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8.3  守法诚信</w:t>
      </w:r>
    </w:p>
    <w:p w14:paraId="5CDA392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监理人及其工作人员不得从与实施工程有关的第三方处获得任何经济利益。</w:t>
      </w:r>
    </w:p>
    <w:p w14:paraId="3AD063A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8.4 保密</w:t>
      </w:r>
    </w:p>
    <w:p w14:paraId="678C554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双方不得泄露对方申明的保密资料，亦不得泄露与实施工程有关的第三方所提供的保密资料，保密事项在专用条件中约定。</w:t>
      </w:r>
    </w:p>
    <w:p w14:paraId="0DB1AEC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8.5 通知</w:t>
      </w:r>
    </w:p>
    <w:p w14:paraId="748A3A5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本合同涉及的通知均应当采用书面形式，并在送达对方时生效，收件人应书面签收</w:t>
      </w:r>
    </w:p>
    <w:p w14:paraId="75EE059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8.6 著作权</w:t>
      </w:r>
    </w:p>
    <w:p w14:paraId="4759127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监理人对其编制的文件拥有著作权。</w:t>
      </w:r>
    </w:p>
    <w:p w14:paraId="3F25A03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监理人可单独或与他人联合出版有关监理与相关服务的资料。除专用条件另 有约定外，如果监理人在本合同履行期间及本合同终止后两年内出版涉及本工程的有关监理与相关服务的资料，应当征得委托人的同意。</w:t>
      </w:r>
    </w:p>
    <w:p w14:paraId="2180410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br w:type="page"/>
      </w:r>
    </w:p>
    <w:bookmarkEnd w:id="1"/>
    <w:p w14:paraId="504BD50E">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第三部分 专用条件</w:t>
      </w:r>
    </w:p>
    <w:p w14:paraId="08394B50">
      <w:pPr>
        <w:spacing w:line="500" w:lineRule="exact"/>
        <w:ind w:firstLine="562" w:firstLineChars="200"/>
        <w:jc w:val="left"/>
        <w:rPr>
          <w:rFonts w:hint="eastAsia" w:asciiTheme="minorEastAsia" w:hAnsiTheme="minorEastAsia" w:eastAsiaTheme="minorEastAsia" w:cstheme="minorEastAsia"/>
          <w:b/>
          <w:bCs/>
          <w:sz w:val="28"/>
          <w:szCs w:val="28"/>
        </w:rPr>
      </w:pPr>
    </w:p>
    <w:p w14:paraId="190AEBA5">
      <w:pPr>
        <w:adjustRightInd w:val="0"/>
        <w:snapToGrid w:val="0"/>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1. 定义与解释</w:t>
      </w:r>
    </w:p>
    <w:p w14:paraId="52FED987">
      <w:pPr>
        <w:adjustRightInd w:val="0"/>
        <w:snapToGrid w:val="0"/>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  解释</w:t>
      </w:r>
    </w:p>
    <w:p w14:paraId="15EBFFEA">
      <w:pPr>
        <w:adjustRightInd w:val="0"/>
        <w:snapToGrid w:val="0"/>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1.2.1 本合同文件除使用中文外，</w:t>
      </w:r>
      <w:r>
        <w:rPr>
          <w:rFonts w:hint="eastAsia" w:asciiTheme="minorEastAsia" w:hAnsiTheme="minorEastAsia" w:eastAsiaTheme="minorEastAsia" w:cstheme="minorEastAsia"/>
          <w:sz w:val="28"/>
          <w:szCs w:val="28"/>
          <w:u w:val="single"/>
        </w:rPr>
        <w:t xml:space="preserve">不使用其他语言文字  </w:t>
      </w:r>
      <w:r>
        <w:rPr>
          <w:rFonts w:hint="eastAsia" w:asciiTheme="minorEastAsia" w:hAnsiTheme="minorEastAsia" w:eastAsiaTheme="minorEastAsia" w:cstheme="minorEastAsia"/>
          <w:sz w:val="28"/>
          <w:szCs w:val="28"/>
        </w:rPr>
        <w:t>。</w:t>
      </w:r>
    </w:p>
    <w:p w14:paraId="19C56EC1">
      <w:pPr>
        <w:adjustRightInd w:val="0"/>
        <w:snapToGrid w:val="0"/>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1.2.2 约定本合同文件的解释顺序为：</w:t>
      </w:r>
      <w:r>
        <w:rPr>
          <w:rFonts w:hint="eastAsia" w:asciiTheme="minorEastAsia" w:hAnsiTheme="minorEastAsia" w:eastAsiaTheme="minorEastAsia" w:cstheme="minorEastAsia"/>
          <w:sz w:val="28"/>
          <w:szCs w:val="28"/>
          <w:u w:val="single"/>
        </w:rPr>
        <w:t>1）监理合同书(含补充协议)；2）中标通知书；3）投标文件；4）专用合同条款；5）通用合同条款；6）监理大纲；7）双方确认需进入合同的其他文件。</w:t>
      </w:r>
    </w:p>
    <w:p w14:paraId="4636A52D">
      <w:pPr>
        <w:adjustRightInd w:val="0"/>
        <w:snapToGrid w:val="0"/>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2. 监理人义务</w:t>
      </w:r>
    </w:p>
    <w:p w14:paraId="396B78A1">
      <w:pPr>
        <w:adjustRightInd w:val="0"/>
        <w:snapToGrid w:val="0"/>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2.1 监理的范围和内容</w:t>
      </w:r>
    </w:p>
    <w:p w14:paraId="6AFF84B0">
      <w:pPr>
        <w:adjustRightInd w:val="0"/>
        <w:snapToGrid w:val="0"/>
        <w:spacing w:line="500" w:lineRule="exact"/>
        <w:ind w:firstLine="560" w:firstLineChars="200"/>
        <w:jc w:val="left"/>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2.1.1 监理范围包括：</w:t>
      </w:r>
      <w:r>
        <w:rPr>
          <w:rFonts w:hint="eastAsia" w:asciiTheme="minorEastAsia" w:hAnsiTheme="minorEastAsia" w:eastAsiaTheme="minorEastAsia" w:cstheme="minorEastAsia"/>
          <w:sz w:val="28"/>
          <w:szCs w:val="28"/>
          <w:u w:val="single"/>
        </w:rPr>
        <w:t>包括但不限于设计阶段、施工图纸上所示内容施工阶段、验收阶段、缺陷责任期内的监理服务。</w:t>
      </w:r>
    </w:p>
    <w:p w14:paraId="679249B9">
      <w:pPr>
        <w:adjustRightInd w:val="0"/>
        <w:snapToGrid w:val="0"/>
        <w:spacing w:line="500" w:lineRule="exact"/>
        <w:ind w:firstLine="560" w:firstLineChars="200"/>
        <w:jc w:val="left"/>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pPr>
      <w:r>
        <w:rPr>
          <w:rFonts w:hint="eastAsia" w:asciiTheme="minorEastAsia" w:hAnsiTheme="minorEastAsia" w:eastAsiaTheme="minorEastAsia" w:cstheme="minorEastAsia"/>
          <w:sz w:val="28"/>
          <w:szCs w:val="28"/>
        </w:rPr>
        <w:t>2.1.2 监理工作内容还包括：</w:t>
      </w:r>
      <w:r>
        <w:rPr>
          <w:rFonts w:hint="eastAsia" w:asciiTheme="minorEastAsia" w:hAnsiTheme="minorEastAsia" w:eastAsiaTheme="minorEastAsia" w:cstheme="minorEastAsia"/>
          <w:sz w:val="28"/>
          <w:szCs w:val="28"/>
          <w:u w:val="single"/>
        </w:rPr>
        <w:t>对该项目实施中的质量控制、进度控制、投资控制、安全及文明施工管理、工程合同管理、信息管理</w:t>
      </w:r>
      <w:r>
        <w:rPr>
          <w:rFonts w:hint="eastAsia" w:asciiTheme="minorEastAsia" w:hAnsiTheme="minorEastAsia" w:eastAsiaTheme="minorEastAsia" w:cstheme="minorEastAsia"/>
          <w:color w:val="000000" w:themeColor="text1"/>
          <w:sz w:val="28"/>
          <w:szCs w:val="28"/>
          <w:u w:val="single"/>
          <w14:textFill>
            <w14:solidFill>
              <w14:schemeClr w14:val="tx1"/>
            </w14:solidFill>
          </w14:textFill>
        </w:rPr>
        <w:t>、工地扬尘治理及协调相关单位关系等</w:t>
      </w:r>
      <w:r>
        <w:rPr>
          <w:rFonts w:hint="eastAsia" w:asciiTheme="minorEastAsia" w:hAnsiTheme="minorEastAsia" w:eastAsiaTheme="minorEastAsia" w:cstheme="minorEastAsia"/>
          <w:color w:val="000000" w:themeColor="text1"/>
          <w:sz w:val="28"/>
          <w:szCs w:val="28"/>
          <w14:textFill>
            <w14:solidFill>
              <w14:schemeClr w14:val="tx1"/>
            </w14:solidFill>
          </w14:textFill>
        </w:rPr>
        <w:t>。</w:t>
      </w:r>
    </w:p>
    <w:p w14:paraId="72232CB9">
      <w:pPr>
        <w:snapToGrid w:val="0"/>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 监理与相关服务依据</w:t>
      </w:r>
    </w:p>
    <w:p w14:paraId="4A77B256">
      <w:pPr>
        <w:snapToGrid w:val="0"/>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2.2.1 监理依据包括：</w:t>
      </w:r>
      <w:r>
        <w:rPr>
          <w:rFonts w:hint="eastAsia" w:asciiTheme="minorEastAsia" w:hAnsiTheme="minorEastAsia" w:eastAsiaTheme="minorEastAsia" w:cstheme="minorEastAsia"/>
          <w:sz w:val="28"/>
          <w:szCs w:val="28"/>
          <w:u w:val="single"/>
        </w:rPr>
        <w:t>设计文件、图纸及说明；工程监理合同和其他建设合同。</w:t>
      </w:r>
    </w:p>
    <w:p w14:paraId="6D017444">
      <w:pPr>
        <w:adjustRightInd w:val="0"/>
        <w:snapToGrid w:val="0"/>
        <w:spacing w:line="500" w:lineRule="exact"/>
        <w:ind w:firstLine="560" w:firstLineChars="200"/>
        <w:jc w:val="left"/>
        <w:rPr>
          <w:rFonts w:hint="eastAsia" w:asciiTheme="minorEastAsia" w:hAnsiTheme="minorEastAsia" w:eastAsiaTheme="minorEastAsia" w:cstheme="minorEastAsia"/>
          <w:dstrike/>
          <w:sz w:val="28"/>
          <w:szCs w:val="28"/>
        </w:rPr>
      </w:pPr>
      <w:r>
        <w:rPr>
          <w:rFonts w:hint="eastAsia" w:asciiTheme="minorEastAsia" w:hAnsiTheme="minorEastAsia" w:eastAsiaTheme="minorEastAsia" w:cstheme="minorEastAsia"/>
          <w:sz w:val="28"/>
          <w:szCs w:val="28"/>
        </w:rPr>
        <w:t>2.2.2 相关服务依据包括：</w:t>
      </w:r>
      <w:r>
        <w:rPr>
          <w:rFonts w:hint="eastAsia" w:asciiTheme="minorEastAsia" w:hAnsiTheme="minorEastAsia" w:eastAsiaTheme="minorEastAsia" w:cstheme="minorEastAsia"/>
          <w:sz w:val="28"/>
          <w:szCs w:val="28"/>
          <w:u w:val="single"/>
        </w:rPr>
        <w:t>国家及当地现行的有关工程建设和工程建设监理的法律和法规；工程建设标准，施工验收规范，工程建设监理规范。</w:t>
      </w:r>
    </w:p>
    <w:p w14:paraId="6BD64B89">
      <w:pPr>
        <w:snapToGrid w:val="0"/>
        <w:spacing w:line="500" w:lineRule="exact"/>
        <w:ind w:firstLine="560" w:firstLineChars="200"/>
        <w:jc w:val="left"/>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sz w:val="28"/>
          <w:szCs w:val="28"/>
        </w:rPr>
        <w:t>2.3</w:t>
      </w:r>
      <w:r>
        <w:rPr>
          <w:rFonts w:hint="eastAsia" w:asciiTheme="minorEastAsia" w:hAnsiTheme="minorEastAsia" w:eastAsiaTheme="minorEastAsia" w:cstheme="minorEastAsia"/>
          <w:kern w:val="0"/>
          <w:sz w:val="28"/>
          <w:szCs w:val="28"/>
        </w:rPr>
        <w:t>项目监理机构和人员</w:t>
      </w:r>
    </w:p>
    <w:p w14:paraId="171CCA4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2.3.4 </w:t>
      </w:r>
      <w:r>
        <w:rPr>
          <w:rFonts w:hint="eastAsia" w:asciiTheme="minorEastAsia" w:hAnsiTheme="minorEastAsia" w:eastAsiaTheme="minorEastAsia" w:cstheme="minorEastAsia"/>
          <w:sz w:val="28"/>
          <w:szCs w:val="28"/>
          <w:u w:val="single"/>
        </w:rPr>
        <w:t>更换监理人员的其他情形：监理人派往本项目相关人员必须与投标文 件所附人员一致，项目期间不得随意更换。</w:t>
      </w:r>
    </w:p>
    <w:p w14:paraId="46888A8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 履行职责</w:t>
      </w:r>
    </w:p>
    <w:p w14:paraId="7F36AE6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2.4.3 对监理人的授权范围：“三控、三管、一协调”。</w:t>
      </w:r>
    </w:p>
    <w:p w14:paraId="6FCED94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（1）“三控”：工程进度控制、工程质量控制、工程投资（成本）控制； </w:t>
      </w:r>
    </w:p>
    <w:p w14:paraId="6D72437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（2）“三管”：合同管理、职业健康安全与环境管理、信息管理； </w:t>
      </w:r>
    </w:p>
    <w:p w14:paraId="53943CB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（3）“一协调”：指全面组织协调。 </w:t>
      </w:r>
    </w:p>
    <w:p w14:paraId="78EA5A1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在涉及工程延期/天内和 (或) 金额/万元内的变更，监理人不需请示委 托人即可向承包人发布变更通知。</w:t>
      </w:r>
    </w:p>
    <w:p w14:paraId="518F699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2.4.4 监理人有权要求承包人调换其人员的限制条件：向委托人提出书面报告并征得委托人同意 。</w:t>
      </w:r>
    </w:p>
    <w:p w14:paraId="05D1BC8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2.5 提交报告</w:t>
      </w:r>
    </w:p>
    <w:p w14:paraId="5A39C97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监理人应提交报告的种类(包括监理规划、监理月报及约定的专项报告)、时间和数：</w:t>
      </w:r>
    </w:p>
    <w:p w14:paraId="75F2352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（1）监理规划：合同签订后 7 日内，提交 3 份； </w:t>
      </w:r>
    </w:p>
    <w:p w14:paraId="67ED834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（2）监理实施细则：实施施工组织审批后 5 日内，提交 3 份； </w:t>
      </w:r>
    </w:p>
    <w:p w14:paraId="1DD2863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（3）监理周报：施工周最后一个工作日，提交 3 份； </w:t>
      </w:r>
    </w:p>
    <w:p w14:paraId="3074187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（4）监理月报：施工月每月 25 日前，提交 3 份； </w:t>
      </w:r>
    </w:p>
    <w:p w14:paraId="70DB6C5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（5）监理会议纪要：会议结束后第二个工作日，提交 3 份； </w:t>
      </w:r>
    </w:p>
    <w:p w14:paraId="2CD7262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（6）其余各项报告种类、时间和份数由双方根据具体情况商定。</w:t>
      </w:r>
    </w:p>
    <w:p w14:paraId="54DFB85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2.7 使用委托人的财产</w:t>
      </w:r>
    </w:p>
    <w:p w14:paraId="25B03D2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 B 中由委托人无偿提供的房屋、设备的所有权属于：委托人或委托人指定单位。</w:t>
      </w:r>
    </w:p>
    <w:p w14:paraId="7526963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监理人应在本合同终止后7天内移交委托人无偿提供的房屋、设备，移交的时间和方式为：现场清点、移交 。</w:t>
      </w:r>
    </w:p>
    <w:p w14:paraId="645DE41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3.委托人义务</w:t>
      </w:r>
    </w:p>
    <w:p w14:paraId="010543D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3.1委托人代表</w:t>
      </w:r>
    </w:p>
    <w:p w14:paraId="4207788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委托人代表为：                           。</w:t>
      </w:r>
    </w:p>
    <w:p w14:paraId="33A69C9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3.2答复</w:t>
      </w:r>
    </w:p>
    <w:p w14:paraId="19D24D3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委托人同意在7天内，对监理人书面提交并要求做出决定的事宜给予书面答复。</w:t>
      </w:r>
    </w:p>
    <w:p w14:paraId="33E8C9D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4.违约责任</w:t>
      </w:r>
    </w:p>
    <w:p w14:paraId="0494F47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 监理人的违约责任</w:t>
      </w:r>
    </w:p>
    <w:p w14:paraId="6172154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4.1.1 监理人赔偿金额按下列方法确定：</w:t>
      </w:r>
    </w:p>
    <w:p w14:paraId="70A7EFA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赔偿金＝ 直接经济损失×正常工作酬金÷工程概算投资额(或建筑安装工程费)</w:t>
      </w:r>
    </w:p>
    <w:p w14:paraId="75A2D5B4">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 委托人的违约责任</w:t>
      </w:r>
    </w:p>
    <w:p w14:paraId="02ED3F06">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4.2.3 委托人逾期付款利息按下列方法确定：</w:t>
      </w:r>
    </w:p>
    <w:p w14:paraId="62977A8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逾期付款利息＝当期应付款总额×银行同期贷款利率×拖延支付天数</w:t>
      </w:r>
    </w:p>
    <w:p w14:paraId="68458E5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5.支付</w:t>
      </w:r>
    </w:p>
    <w:p w14:paraId="4F71F6D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5.1 支付货币</w:t>
      </w:r>
    </w:p>
    <w:p w14:paraId="62179D8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币种为： 人民币 ，比例为： / ，汇率为： / 。 </w:t>
      </w:r>
    </w:p>
    <w:p w14:paraId="3F0219F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5.3 支付酬金</w:t>
      </w:r>
    </w:p>
    <w:p w14:paraId="4EAA996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委托人同意按以下的计算方法、支付时间与金额，支付监理人的报酬： </w:t>
      </w:r>
    </w:p>
    <w:p w14:paraId="01CBF69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（1）监理工作报酬计算方法： </w:t>
      </w:r>
    </w:p>
    <w:p w14:paraId="08C0919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监理人合同规定的服务范围和期限内履行驻地监理职责应获得的监理报酬按中标监理费计取。 </w:t>
      </w:r>
    </w:p>
    <w:p w14:paraId="5E9F372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监理人监理报酬包含施工监理过程、保修期及缺陷责任期监理的所有费用。 </w:t>
      </w:r>
    </w:p>
    <w:p w14:paraId="1D140BC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监理总酬金(含施工图中所有由监理人监理的工程内容及相关检测费用)。暂缓开工标段仍执行此费用。 </w:t>
      </w:r>
    </w:p>
    <w:p w14:paraId="2514D7C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(2)监理工作报酬支付时间与金额： </w:t>
      </w:r>
    </w:p>
    <w:p w14:paraId="2BA73BF2">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根据项目进度按合同约定支付，工程竣工验收后监理单位提供工程质量评估报告，达到竣工备案条件时支付到合同价的90%，完成备案结算审核工作后，除留取 3%保修阶段监理报酬外，结清余款。</w:t>
      </w:r>
    </w:p>
    <w:p w14:paraId="49B38B6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剩余3%待缺陷责任期满后一次结清。</w:t>
      </w:r>
    </w:p>
    <w:p w14:paraId="07F7DC1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工程未实施项目的监理费用应在总监理费用中扣除,其中工程未实施项目的监理费计算如下: </w:t>
      </w:r>
    </w:p>
    <w:p w14:paraId="4AC41B6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工程未实施项目的监理费=(未实施项目中标价/施工招标中标价)×总监理费用 </w:t>
      </w:r>
    </w:p>
    <w:p w14:paraId="605B1FB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延长服务期、附加工作报酬按下列标准计算： </w:t>
      </w:r>
    </w:p>
    <w:p w14:paraId="22DCBAA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附加工作报酬=(附加工作结算价/施工招标中标价) ×总监理费用。 </w:t>
      </w:r>
    </w:p>
    <w:p w14:paraId="08F04B5E">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现场服务超出计划施工工期 3 个月内不增加费用，3 个月以上由委托人和监理人另行商定。 </w:t>
      </w:r>
    </w:p>
    <w:p w14:paraId="0588145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6.合同生效、变更、暂停、解除与终止</w:t>
      </w:r>
    </w:p>
    <w:p w14:paraId="50801F9F">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6.1 生效</w:t>
      </w:r>
    </w:p>
    <w:p w14:paraId="5E49F97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本合同生效条件：双方签字（章）、加盖单位公章。</w:t>
      </w:r>
    </w:p>
    <w:p w14:paraId="56F3465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 变更</w:t>
      </w:r>
    </w:p>
    <w:p w14:paraId="4DDEF6E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6.2.2 除不可抗力外，因非监理人原因导致本合同期限延长时：现场服务超出计划施工工期 3 个月内不增加费用，3 个月以上由委托人和监理人另行商定。 </w:t>
      </w:r>
    </w:p>
    <w:p w14:paraId="7DB2368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6.2.3 附加工作酬金按下列方法确定： / 。 </w:t>
      </w:r>
    </w:p>
    <w:p w14:paraId="38E2F7F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6.2.6 因工程规模、监理范围的变化导致监理人的正常工作量减少时，按减少工作量的比例从协议书约定的正常工作酬金中扣减相同比例的酬金。</w:t>
      </w:r>
    </w:p>
    <w:p w14:paraId="764FA29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7.争议解决</w:t>
      </w:r>
    </w:p>
    <w:p w14:paraId="681E196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7.1 调解</w:t>
      </w:r>
    </w:p>
    <w:p w14:paraId="65C08ED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本合同争议进行调解时，可提交当地仲裁委员会进行调解。</w:t>
      </w:r>
    </w:p>
    <w:p w14:paraId="273541A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7.2 仲裁或诉讼</w:t>
      </w:r>
    </w:p>
    <w:p w14:paraId="4123575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合同争议的最终解决方式为下列第(2)  种方式：</w:t>
      </w:r>
    </w:p>
    <w:p w14:paraId="03DA71A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 提请/仲裁委员会进行仲裁。</w:t>
      </w:r>
    </w:p>
    <w:p w14:paraId="6E46233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 向工程所在地人民法院提起诉讼。</w:t>
      </w:r>
    </w:p>
    <w:p w14:paraId="13C1431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8.其他</w:t>
      </w:r>
    </w:p>
    <w:p w14:paraId="7837314D">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8.1 检测费用</w:t>
      </w:r>
    </w:p>
    <w:p w14:paraId="786B4B68">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委托人应在检测工作完成后/天内支付检测费用。</w:t>
      </w:r>
    </w:p>
    <w:p w14:paraId="4738DF79">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8.2 咨询费用</w:t>
      </w:r>
    </w:p>
    <w:p w14:paraId="6BE20730">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委托人应在咨询工作完成后/天内支付咨询费用。</w:t>
      </w:r>
    </w:p>
    <w:p w14:paraId="593A9B4C">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8.3 奖励</w:t>
      </w:r>
    </w:p>
    <w:p w14:paraId="38648AF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合理化建议的奖励金额按下列方法确定为：</w:t>
      </w:r>
    </w:p>
    <w:p w14:paraId="04336C0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奖励金额＝工程投资节省额×奖励金额的比率；</w:t>
      </w:r>
    </w:p>
    <w:p w14:paraId="43C4745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奖励金额的比率为/%。</w:t>
      </w:r>
    </w:p>
    <w:p w14:paraId="62B08DCA">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8.4 保密</w:t>
      </w:r>
    </w:p>
    <w:p w14:paraId="2A3C6A35">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委托人申明的保密事项和期限：与委托人及工程有关信息应永久保密。</w:t>
      </w:r>
    </w:p>
    <w:p w14:paraId="6AC33557">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监理人申明的保密事项和期限：与监理人有关信息应永久保密。</w:t>
      </w:r>
    </w:p>
    <w:p w14:paraId="5DE22C6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第三方申明的保密事项和期限：保守各方的相关商业机密或企业信息。</w:t>
      </w:r>
    </w:p>
    <w:p w14:paraId="48CDAD6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8.5 著作权</w:t>
      </w:r>
    </w:p>
    <w:p w14:paraId="15812CCB">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监理人在本合同履行期间及本合同终止后两年内出版涉及本工程的有关监理与相关服务的资料的限制条件：与委托人及工程相关有关信息应永久保密。</w:t>
      </w:r>
    </w:p>
    <w:p w14:paraId="17A03753">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9.补充条款</w:t>
      </w:r>
    </w:p>
    <w:p w14:paraId="78771AE1">
      <w:pPr>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w:t>
      </w:r>
      <w:r>
        <w:rPr>
          <w:rFonts w:hint="eastAsia" w:asciiTheme="minorEastAsia" w:hAnsiTheme="minorEastAsia" w:eastAsiaTheme="minorEastAsia" w:cstheme="minorEastAsia"/>
          <w:b/>
          <w:bCs/>
          <w:sz w:val="28"/>
          <w:szCs w:val="28"/>
        </w:rPr>
        <w:br w:type="page"/>
      </w:r>
    </w:p>
    <w:p w14:paraId="0C4F1EA1">
      <w:pPr>
        <w:spacing w:line="500" w:lineRule="exac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附录B  委托人派遣的人员和提供的房屋、资料、设备</w:t>
      </w:r>
    </w:p>
    <w:p w14:paraId="5256C7C0">
      <w:pPr>
        <w:adjustRightInd w:val="0"/>
        <w:snapToGrid w:val="0"/>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B-1  委托人派遣的人员</w:t>
      </w:r>
    </w:p>
    <w:tbl>
      <w:tblPr>
        <w:tblStyle w:val="6"/>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200"/>
        <w:gridCol w:w="3096"/>
        <w:gridCol w:w="1860"/>
      </w:tblGrid>
      <w:tr w14:paraId="6E999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6639F29B">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名称</w:t>
            </w:r>
          </w:p>
        </w:tc>
        <w:tc>
          <w:tcPr>
            <w:tcW w:w="1200" w:type="dxa"/>
            <w:vAlign w:val="center"/>
          </w:tcPr>
          <w:p w14:paraId="581D06B0">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数量</w:t>
            </w:r>
          </w:p>
        </w:tc>
        <w:tc>
          <w:tcPr>
            <w:tcW w:w="3096" w:type="dxa"/>
            <w:vAlign w:val="center"/>
          </w:tcPr>
          <w:p w14:paraId="6C967ABB">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工作要求</w:t>
            </w:r>
          </w:p>
        </w:tc>
        <w:tc>
          <w:tcPr>
            <w:tcW w:w="1860" w:type="dxa"/>
            <w:vAlign w:val="center"/>
          </w:tcPr>
          <w:p w14:paraId="63EF4E3E">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提供时间</w:t>
            </w:r>
          </w:p>
        </w:tc>
      </w:tr>
      <w:tr w14:paraId="6C49E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15A3DDA9">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工程技术人员</w:t>
            </w:r>
          </w:p>
        </w:tc>
        <w:tc>
          <w:tcPr>
            <w:tcW w:w="1200" w:type="dxa"/>
            <w:vAlign w:val="center"/>
          </w:tcPr>
          <w:p w14:paraId="4A7B5B8F">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3096" w:type="dxa"/>
            <w:vAlign w:val="center"/>
          </w:tcPr>
          <w:p w14:paraId="79745B81">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协调参建单位的工作</w:t>
            </w:r>
          </w:p>
        </w:tc>
        <w:tc>
          <w:tcPr>
            <w:tcW w:w="1860" w:type="dxa"/>
            <w:vAlign w:val="center"/>
          </w:tcPr>
          <w:p w14:paraId="7FE76CE7">
            <w:pPr>
              <w:spacing w:line="500" w:lineRule="exact"/>
              <w:rPr>
                <w:rFonts w:hint="eastAsia" w:asciiTheme="minorEastAsia" w:hAnsiTheme="minorEastAsia" w:eastAsiaTheme="minorEastAsia" w:cstheme="minorEastAsia"/>
                <w:sz w:val="28"/>
                <w:szCs w:val="28"/>
              </w:rPr>
            </w:pPr>
          </w:p>
        </w:tc>
      </w:tr>
    </w:tbl>
    <w:p w14:paraId="69895A43">
      <w:pPr>
        <w:spacing w:line="500" w:lineRule="exact"/>
        <w:ind w:firstLine="562" w:firstLineChars="200"/>
        <w:jc w:val="left"/>
        <w:rPr>
          <w:rFonts w:hint="eastAsia" w:asciiTheme="minorEastAsia" w:hAnsiTheme="minorEastAsia" w:eastAsiaTheme="minorEastAsia" w:cstheme="minorEastAsia"/>
          <w:b/>
          <w:sz w:val="28"/>
          <w:szCs w:val="28"/>
        </w:rPr>
      </w:pPr>
    </w:p>
    <w:p w14:paraId="5558B9B2">
      <w:pPr>
        <w:adjustRightInd w:val="0"/>
        <w:snapToGrid w:val="0"/>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A-2  委托人提供的房屋</w:t>
      </w:r>
    </w:p>
    <w:tbl>
      <w:tblPr>
        <w:tblStyle w:val="6"/>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8"/>
        <w:gridCol w:w="1200"/>
        <w:gridCol w:w="3168"/>
        <w:gridCol w:w="1860"/>
      </w:tblGrid>
      <w:tr w14:paraId="3D44A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47D8B715">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名称</w:t>
            </w:r>
          </w:p>
        </w:tc>
        <w:tc>
          <w:tcPr>
            <w:tcW w:w="1200" w:type="dxa"/>
            <w:vAlign w:val="center"/>
          </w:tcPr>
          <w:p w14:paraId="5FF47D2A">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数量</w:t>
            </w:r>
          </w:p>
        </w:tc>
        <w:tc>
          <w:tcPr>
            <w:tcW w:w="3168" w:type="dxa"/>
            <w:vAlign w:val="center"/>
          </w:tcPr>
          <w:p w14:paraId="41729A9C">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面积</w:t>
            </w:r>
          </w:p>
        </w:tc>
        <w:tc>
          <w:tcPr>
            <w:tcW w:w="1860" w:type="dxa"/>
            <w:vAlign w:val="center"/>
          </w:tcPr>
          <w:p w14:paraId="64A23128">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提供时间</w:t>
            </w:r>
          </w:p>
        </w:tc>
      </w:tr>
      <w:tr w14:paraId="16E9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0DD0DBF4">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1.办公用房</w:t>
            </w:r>
          </w:p>
        </w:tc>
        <w:tc>
          <w:tcPr>
            <w:tcW w:w="1200" w:type="dxa"/>
            <w:vAlign w:val="center"/>
          </w:tcPr>
          <w:p w14:paraId="2092DEBC">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p>
        </w:tc>
        <w:tc>
          <w:tcPr>
            <w:tcW w:w="3168" w:type="dxa"/>
            <w:vAlign w:val="center"/>
          </w:tcPr>
          <w:p w14:paraId="3D778386">
            <w:pPr>
              <w:spacing w:line="500" w:lineRule="exact"/>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 xml:space="preserve">      不低于10m²</w:t>
            </w:r>
          </w:p>
        </w:tc>
        <w:tc>
          <w:tcPr>
            <w:tcW w:w="1860" w:type="dxa"/>
            <w:vAlign w:val="center"/>
          </w:tcPr>
          <w:p w14:paraId="2CFD927C">
            <w:pPr>
              <w:spacing w:line="500" w:lineRule="exact"/>
              <w:rPr>
                <w:rFonts w:hint="eastAsia" w:asciiTheme="minorEastAsia" w:hAnsiTheme="minorEastAsia" w:eastAsiaTheme="minorEastAsia" w:cstheme="minorEastAsia"/>
                <w:color w:val="000000" w:themeColor="text1"/>
                <w:sz w:val="28"/>
                <w:szCs w:val="28"/>
                <w14:textFill>
                  <w14:solidFill>
                    <w14:schemeClr w14:val="tx1"/>
                  </w14:solidFill>
                </w14:textFill>
              </w:rPr>
            </w:pPr>
          </w:p>
        </w:tc>
      </w:tr>
      <w:tr w14:paraId="142FF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11462263">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2.生活用房</w:t>
            </w:r>
          </w:p>
        </w:tc>
        <w:tc>
          <w:tcPr>
            <w:tcW w:w="1200" w:type="dxa"/>
            <w:vAlign w:val="center"/>
          </w:tcPr>
          <w:p w14:paraId="4AA1F247">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p>
        </w:tc>
        <w:tc>
          <w:tcPr>
            <w:tcW w:w="3168" w:type="dxa"/>
            <w:vAlign w:val="center"/>
          </w:tcPr>
          <w:p w14:paraId="41D85E1E">
            <w:pPr>
              <w:spacing w:line="500" w:lineRule="exact"/>
              <w:ind w:firstLine="840" w:firstLineChars="300"/>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自行解决</w:t>
            </w:r>
          </w:p>
        </w:tc>
        <w:tc>
          <w:tcPr>
            <w:tcW w:w="1860" w:type="dxa"/>
            <w:vAlign w:val="center"/>
          </w:tcPr>
          <w:p w14:paraId="249F73F3">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p>
        </w:tc>
      </w:tr>
      <w:tr w14:paraId="0EE4E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10080804">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3.样品用房</w:t>
            </w:r>
          </w:p>
        </w:tc>
        <w:tc>
          <w:tcPr>
            <w:tcW w:w="1200" w:type="dxa"/>
            <w:vAlign w:val="center"/>
          </w:tcPr>
          <w:p w14:paraId="1F284018">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1</w:t>
            </w:r>
          </w:p>
        </w:tc>
        <w:tc>
          <w:tcPr>
            <w:tcW w:w="3168" w:type="dxa"/>
            <w:vAlign w:val="center"/>
          </w:tcPr>
          <w:p w14:paraId="662FACDC">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无</w:t>
            </w:r>
          </w:p>
        </w:tc>
        <w:tc>
          <w:tcPr>
            <w:tcW w:w="1860" w:type="dxa"/>
            <w:vAlign w:val="center"/>
          </w:tcPr>
          <w:p w14:paraId="4E077373">
            <w:pPr>
              <w:spacing w:line="500" w:lineRule="exact"/>
              <w:jc w:val="center"/>
              <w:rPr>
                <w:rFonts w:hint="eastAsia" w:asciiTheme="minorEastAsia" w:hAnsiTheme="minorEastAsia" w:eastAsiaTheme="minorEastAsia" w:cstheme="minorEastAsia"/>
                <w:color w:val="000000" w:themeColor="text1"/>
                <w:sz w:val="28"/>
                <w:szCs w:val="28"/>
                <w14:textFill>
                  <w14:solidFill>
                    <w14:schemeClr w14:val="tx1"/>
                  </w14:solidFill>
                </w14:textFill>
              </w:rPr>
            </w:pPr>
          </w:p>
        </w:tc>
      </w:tr>
      <w:tr w14:paraId="2C7B6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808" w:type="dxa"/>
            <w:vAlign w:val="center"/>
          </w:tcPr>
          <w:p w14:paraId="7DD0A0FB">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用餐及其他生活条件</w:t>
            </w:r>
          </w:p>
        </w:tc>
        <w:tc>
          <w:tcPr>
            <w:tcW w:w="6228" w:type="dxa"/>
            <w:gridSpan w:val="3"/>
            <w:vAlign w:val="center"/>
          </w:tcPr>
          <w:p w14:paraId="47BCAE66">
            <w:pPr>
              <w:spacing w:line="500" w:lineRule="exact"/>
              <w:jc w:val="left"/>
              <w:rPr>
                <w:rFonts w:hint="eastAsia" w:asciiTheme="minorEastAsia" w:hAnsiTheme="minorEastAsia" w:eastAsiaTheme="minorEastAsia" w:cstheme="minorEastAsia"/>
                <w:color w:val="000000" w:themeColor="text1"/>
                <w:sz w:val="28"/>
                <w:szCs w:val="28"/>
                <w14:textFill>
                  <w14:solidFill>
                    <w14:schemeClr w14:val="tx1"/>
                  </w14:solidFill>
                </w14:textFill>
              </w:rPr>
            </w:pPr>
            <w:r>
              <w:rPr>
                <w:rFonts w:hint="eastAsia" w:asciiTheme="minorEastAsia" w:hAnsiTheme="minorEastAsia" w:eastAsiaTheme="minorEastAsia" w:cstheme="minorEastAsia"/>
                <w:color w:val="000000" w:themeColor="text1"/>
                <w:sz w:val="28"/>
                <w:szCs w:val="28"/>
                <w14:textFill>
                  <w14:solidFill>
                    <w14:schemeClr w14:val="tx1"/>
                  </w14:solidFill>
                </w14:textFill>
              </w:rPr>
              <w:t>用餐及其他生活自理。坚决与施工单位分离。</w:t>
            </w:r>
          </w:p>
        </w:tc>
      </w:tr>
    </w:tbl>
    <w:p w14:paraId="15B47C58">
      <w:pPr>
        <w:adjustRightInd w:val="0"/>
        <w:snapToGrid w:val="0"/>
        <w:spacing w:line="500" w:lineRule="exact"/>
        <w:ind w:firstLine="562" w:firstLineChars="200"/>
        <w:jc w:val="left"/>
        <w:rPr>
          <w:rFonts w:hint="eastAsia" w:asciiTheme="minorEastAsia" w:hAnsiTheme="minorEastAsia" w:eastAsiaTheme="minorEastAsia" w:cstheme="minorEastAsia"/>
          <w:b/>
          <w:bCs/>
          <w:sz w:val="28"/>
          <w:szCs w:val="28"/>
        </w:rPr>
      </w:pPr>
    </w:p>
    <w:p w14:paraId="481307DF">
      <w:pPr>
        <w:adjustRightInd w:val="0"/>
        <w:snapToGrid w:val="0"/>
        <w:spacing w:line="500" w:lineRule="exact"/>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A-3  委托人提供的资料</w:t>
      </w:r>
    </w:p>
    <w:tbl>
      <w:tblPr>
        <w:tblStyle w:val="6"/>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9"/>
        <w:gridCol w:w="1063"/>
        <w:gridCol w:w="2880"/>
        <w:gridCol w:w="1236"/>
      </w:tblGrid>
      <w:tr w14:paraId="6270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29" w:type="dxa"/>
            <w:vAlign w:val="center"/>
          </w:tcPr>
          <w:p w14:paraId="1D21CFEE">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名称</w:t>
            </w:r>
          </w:p>
        </w:tc>
        <w:tc>
          <w:tcPr>
            <w:tcW w:w="1063" w:type="dxa"/>
            <w:vAlign w:val="center"/>
          </w:tcPr>
          <w:p w14:paraId="35328FBD">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份数</w:t>
            </w:r>
          </w:p>
        </w:tc>
        <w:tc>
          <w:tcPr>
            <w:tcW w:w="2880" w:type="dxa"/>
            <w:vAlign w:val="center"/>
          </w:tcPr>
          <w:p w14:paraId="6FC11AED">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提供时间</w:t>
            </w:r>
          </w:p>
        </w:tc>
        <w:tc>
          <w:tcPr>
            <w:tcW w:w="1236" w:type="dxa"/>
            <w:vAlign w:val="center"/>
          </w:tcPr>
          <w:p w14:paraId="5E32EB0F">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备注</w:t>
            </w:r>
          </w:p>
        </w:tc>
      </w:tr>
      <w:tr w14:paraId="432A5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29" w:type="dxa"/>
            <w:vAlign w:val="center"/>
          </w:tcPr>
          <w:p w14:paraId="12E29C9B">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1.工程设计及施工图纸</w:t>
            </w:r>
          </w:p>
        </w:tc>
        <w:tc>
          <w:tcPr>
            <w:tcW w:w="1063" w:type="dxa"/>
            <w:vAlign w:val="center"/>
          </w:tcPr>
          <w:p w14:paraId="1A9E9E95">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2880" w:type="dxa"/>
            <w:vAlign w:val="center"/>
          </w:tcPr>
          <w:p w14:paraId="52367D6A">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tc>
        <w:tc>
          <w:tcPr>
            <w:tcW w:w="1236" w:type="dxa"/>
            <w:vAlign w:val="center"/>
          </w:tcPr>
          <w:p w14:paraId="0F7629B2">
            <w:pPr>
              <w:spacing w:line="500" w:lineRule="exact"/>
              <w:jc w:val="center"/>
              <w:rPr>
                <w:rFonts w:hint="eastAsia" w:asciiTheme="minorEastAsia" w:hAnsiTheme="minorEastAsia" w:eastAsiaTheme="minorEastAsia" w:cstheme="minorEastAsia"/>
                <w:sz w:val="28"/>
                <w:szCs w:val="28"/>
              </w:rPr>
            </w:pPr>
          </w:p>
        </w:tc>
      </w:tr>
      <w:tr w14:paraId="62A58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929" w:type="dxa"/>
            <w:vAlign w:val="center"/>
          </w:tcPr>
          <w:p w14:paraId="49859269">
            <w:pPr>
              <w:spacing w:line="500" w:lineRule="exact"/>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2.工程承包合同</w:t>
            </w:r>
          </w:p>
        </w:tc>
        <w:tc>
          <w:tcPr>
            <w:tcW w:w="1063" w:type="dxa"/>
            <w:vAlign w:val="center"/>
          </w:tcPr>
          <w:p w14:paraId="244EAA1A">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p>
        </w:tc>
        <w:tc>
          <w:tcPr>
            <w:tcW w:w="2880" w:type="dxa"/>
            <w:vAlign w:val="center"/>
          </w:tcPr>
          <w:p w14:paraId="78E066C2">
            <w:pPr>
              <w:spacing w:line="50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tc>
        <w:tc>
          <w:tcPr>
            <w:tcW w:w="1236" w:type="dxa"/>
            <w:vAlign w:val="center"/>
          </w:tcPr>
          <w:p w14:paraId="53D30CF9">
            <w:pPr>
              <w:spacing w:line="500" w:lineRule="exact"/>
              <w:jc w:val="center"/>
              <w:rPr>
                <w:rFonts w:hint="eastAsia" w:asciiTheme="minorEastAsia" w:hAnsiTheme="minorEastAsia" w:eastAsiaTheme="minorEastAsia" w:cstheme="minorEastAsia"/>
                <w:sz w:val="28"/>
                <w:szCs w:val="28"/>
              </w:rPr>
            </w:pPr>
          </w:p>
        </w:tc>
      </w:tr>
    </w:tbl>
    <w:p w14:paraId="0334E240">
      <w:pPr>
        <w:spacing w:line="500" w:lineRule="exact"/>
        <w:ind w:firstLine="720" w:firstLineChars="200"/>
        <w:jc w:val="left"/>
        <w:rPr>
          <w:rFonts w:hint="eastAsia" w:ascii="宋体" w:hAnsi="宋体" w:cs="宋体"/>
          <w:sz w:val="36"/>
          <w:szCs w:val="36"/>
        </w:rPr>
      </w:pPr>
    </w:p>
    <w:p w14:paraId="1ED869AC">
      <w:pPr>
        <w:adjustRightInd w:val="0"/>
        <w:snapToGrid w:val="0"/>
        <w:spacing w:line="500" w:lineRule="exact"/>
        <w:ind w:firstLine="720" w:firstLineChars="200"/>
        <w:jc w:val="left"/>
        <w:rPr>
          <w:rFonts w:hint="eastAsia" w:ascii="宋体" w:hAnsi="宋体" w:cs="宋体"/>
          <w:sz w:val="36"/>
          <w:szCs w:val="36"/>
          <w:u w:val="single"/>
        </w:rPr>
      </w:pPr>
    </w:p>
    <w:sectPr>
      <w:footerReference r:id="rId4" w:type="default"/>
      <w:pgSz w:w="11906" w:h="16838"/>
      <w:pgMar w:top="1701" w:right="1474" w:bottom="1440"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EF7BE">
    <w:pPr>
      <w:spacing w:line="175" w:lineRule="auto"/>
      <w:ind w:left="4052"/>
      <w:rPr>
        <w:rFonts w:hint="eastAsia" w:ascii="宋体" w:hAnsi="宋体" w:cs="宋体"/>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C274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B4E2C2">
                          <w:pPr>
                            <w:pStyle w:val="4"/>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1B4E2C2">
                    <w:pPr>
                      <w:pStyle w:val="4"/>
                    </w:pPr>
                    <w:r>
                      <w:fldChar w:fldCharType="begin"/>
                    </w:r>
                    <w:r>
                      <w:instrText xml:space="preserve"> PAGE  \* MERGEFORMAT </w:instrText>
                    </w:r>
                    <w:r>
                      <w:fldChar w:fldCharType="separate"/>
                    </w:r>
                    <w:r>
                      <w:t>35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jZGM4ZWI1YWY3NmYzNTk3ZWY1ZTAyZTJlMzdmZDcifQ=="/>
  </w:docVars>
  <w:rsids>
    <w:rsidRoot w:val="00FF3F52"/>
    <w:rsid w:val="003C12DF"/>
    <w:rsid w:val="00556F6E"/>
    <w:rsid w:val="009D63C9"/>
    <w:rsid w:val="00DD3313"/>
    <w:rsid w:val="00EF2252"/>
    <w:rsid w:val="00FF3F52"/>
    <w:rsid w:val="02E856EB"/>
    <w:rsid w:val="064C5349"/>
    <w:rsid w:val="06F15AA5"/>
    <w:rsid w:val="07C91AB9"/>
    <w:rsid w:val="0C22507E"/>
    <w:rsid w:val="0E0D19FD"/>
    <w:rsid w:val="0F6C61B8"/>
    <w:rsid w:val="11C63BF8"/>
    <w:rsid w:val="12787CDD"/>
    <w:rsid w:val="13515442"/>
    <w:rsid w:val="13EF3C01"/>
    <w:rsid w:val="19C3778E"/>
    <w:rsid w:val="19FB0CBC"/>
    <w:rsid w:val="1B237DAE"/>
    <w:rsid w:val="1D850A07"/>
    <w:rsid w:val="1DBE1D17"/>
    <w:rsid w:val="1E88366B"/>
    <w:rsid w:val="226202D0"/>
    <w:rsid w:val="22CA1B74"/>
    <w:rsid w:val="263537A8"/>
    <w:rsid w:val="26F9704E"/>
    <w:rsid w:val="28033B5E"/>
    <w:rsid w:val="283E4ED3"/>
    <w:rsid w:val="28CA20FB"/>
    <w:rsid w:val="2C970D19"/>
    <w:rsid w:val="2D954E7D"/>
    <w:rsid w:val="2EFC30B5"/>
    <w:rsid w:val="2F9C47D0"/>
    <w:rsid w:val="318A0E4C"/>
    <w:rsid w:val="31A87524"/>
    <w:rsid w:val="32912F88"/>
    <w:rsid w:val="32CC1B9B"/>
    <w:rsid w:val="32E4701A"/>
    <w:rsid w:val="364B7E92"/>
    <w:rsid w:val="36D96A36"/>
    <w:rsid w:val="38206857"/>
    <w:rsid w:val="389C5C12"/>
    <w:rsid w:val="3ACE3B94"/>
    <w:rsid w:val="3E1D6B5E"/>
    <w:rsid w:val="3EC412C8"/>
    <w:rsid w:val="3ECB789A"/>
    <w:rsid w:val="40307062"/>
    <w:rsid w:val="41727207"/>
    <w:rsid w:val="42885365"/>
    <w:rsid w:val="48684EBF"/>
    <w:rsid w:val="48812122"/>
    <w:rsid w:val="490E1F0B"/>
    <w:rsid w:val="49C01EDD"/>
    <w:rsid w:val="49C03205"/>
    <w:rsid w:val="49C92F13"/>
    <w:rsid w:val="4A010845"/>
    <w:rsid w:val="4DDA23BB"/>
    <w:rsid w:val="4FA445A2"/>
    <w:rsid w:val="4FB472F5"/>
    <w:rsid w:val="4FF04118"/>
    <w:rsid w:val="50966A6E"/>
    <w:rsid w:val="518479C2"/>
    <w:rsid w:val="51AC6EF3"/>
    <w:rsid w:val="51EB4A83"/>
    <w:rsid w:val="524644C3"/>
    <w:rsid w:val="56925F29"/>
    <w:rsid w:val="574A05B2"/>
    <w:rsid w:val="5886386C"/>
    <w:rsid w:val="5AA63D51"/>
    <w:rsid w:val="5BD112A2"/>
    <w:rsid w:val="5C261BE8"/>
    <w:rsid w:val="5FC44C79"/>
    <w:rsid w:val="5FDE3F8D"/>
    <w:rsid w:val="64A47AAA"/>
    <w:rsid w:val="66BD69BA"/>
    <w:rsid w:val="681F7E1B"/>
    <w:rsid w:val="699833FF"/>
    <w:rsid w:val="6C7F38D2"/>
    <w:rsid w:val="6DCF3167"/>
    <w:rsid w:val="70F07A7D"/>
    <w:rsid w:val="71B2527A"/>
    <w:rsid w:val="7441728D"/>
    <w:rsid w:val="746E71DB"/>
    <w:rsid w:val="74842EFD"/>
    <w:rsid w:val="75903AB9"/>
    <w:rsid w:val="75CF2351"/>
    <w:rsid w:val="77F9150C"/>
    <w:rsid w:val="786764A2"/>
    <w:rsid w:val="78847772"/>
    <w:rsid w:val="7972471C"/>
    <w:rsid w:val="79C93160"/>
    <w:rsid w:val="7B533629"/>
    <w:rsid w:val="7B8657AD"/>
    <w:rsid w:val="7C2A47A5"/>
    <w:rsid w:val="7D231EC9"/>
    <w:rsid w:val="7DD01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Cambria" w:hAnsi="Cambria"/>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6446</Words>
  <Characters>6821</Characters>
  <Lines>316</Lines>
  <Paragraphs>373</Paragraphs>
  <TotalTime>9</TotalTime>
  <ScaleCrop>false</ScaleCrop>
  <LinksUpToDate>false</LinksUpToDate>
  <CharactersWithSpaces>7618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2024-06-11T22:26:00Z</dcterms:created>
  <dc:creator>Administrator</dc:creator>
  <cp:lastModifiedBy>admin</cp:lastModifiedBy>
  <dcterms:modified xsi:type="dcterms:W3CDTF">2026-08-20T07:04:36Z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06D51364341646849EB21E5FB1FA19FF_13</vt:lpwstr>
  </property>
  <property fmtid="{D5CDD505-2E9C-101B-9397-08002B2CF9AE}" pid="4" name="KSOTemplateDocerSaveRecord">
    <vt:lpwstr>eyJoZGlkIjoiZTI4MjNmZjgxYjhhZWIyZDBjMTQyNmVlYjBhZTE2ZDYiLCJ1c2VySWQiOiI0ODQxNTAyODIifQ==</vt:lpwstr>
  </property>
</Properties>
</file>