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版本号：SXHR-2026-021.1B120260825001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2026年老年人意外伤害保险(二次)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SXHR-2026-021.1B1</w:t>
      </w:r>
      <w:r>
        <w:br/>
      </w:r>
      <w:r>
        <w:br/>
      </w:r>
      <w:r>
        <w:br/>
      </w:r>
    </w:p>
    <w:p>
      <w:pPr>
        <w:pStyle w:val="null3"/>
        <w:jc w:val="center"/>
        <w:outlineLvl w:val="2"/>
      </w:pPr>
      <w:r>
        <w:rPr>
          <w:rFonts w:ascii="仿宋_GB2312" w:hAnsi="仿宋_GB2312" w:cs="仿宋_GB2312" w:eastAsia="仿宋_GB2312"/>
          <w:sz w:val="28"/>
          <w:b/>
        </w:rPr>
        <w:t>西安市临潼区民政局</w:t>
      </w:r>
    </w:p>
    <w:p>
      <w:pPr>
        <w:pStyle w:val="null3"/>
        <w:jc w:val="center"/>
        <w:outlineLvl w:val="2"/>
      </w:pPr>
      <w:r>
        <w:rPr>
          <w:rFonts w:ascii="仿宋_GB2312" w:hAnsi="仿宋_GB2312" w:cs="仿宋_GB2312" w:eastAsia="仿宋_GB2312"/>
          <w:sz w:val="28"/>
          <w:b/>
        </w:rPr>
        <w:t>陕西寰瑞项目管理有限公司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陕西寰瑞项目管理有限公司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西安市临潼区民政局</w:t>
      </w:r>
      <w:r>
        <w:rPr>
          <w:rFonts w:ascii="仿宋_GB2312" w:hAnsi="仿宋_GB2312" w:cs="仿宋_GB2312" w:eastAsia="仿宋_GB2312"/>
        </w:rPr>
        <w:t>委托，拟对</w:t>
      </w:r>
      <w:r>
        <w:rPr>
          <w:rFonts w:ascii="仿宋_GB2312" w:hAnsi="仿宋_GB2312" w:cs="仿宋_GB2312" w:eastAsia="仿宋_GB2312"/>
        </w:rPr>
        <w:t>2026年老年人意外伤害保险(二次)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SXHR-2026-021.1B1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2026年老年人意外伤害保险(二次)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关于做好老年人意外伤害保险工作的通知》（市民发〔2025〕126号）及《关于做好2026年老年人意外伤害保险工作的通知》（临民发〔2026〕16号）文件精神，推进基本养老服务均衡优质供给，增强老年人及其家庭的抗风险能力，由政府出资给每位老人每年购买1份意外伤害保险，参保对象为为西安市临潼区户籍年满60周岁及以上老年人、在临潼居住的非本市户籍60周岁及以上老年人，以及享受“政府补贴人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1、特定资格要求：供应商应提供行业主管部门颁发的保险许可证或金融许可证(同一保险机构只允许其本部或一家分支机构参与）；</w:t>
      </w:r>
    </w:p>
    <w:p>
      <w:pPr>
        <w:pStyle w:val="null3"/>
      </w:pPr>
      <w:r>
        <w:rPr>
          <w:rFonts w:ascii="仿宋_GB2312" w:hAnsi="仿宋_GB2312" w:cs="仿宋_GB2312" w:eastAsia="仿宋_GB2312"/>
        </w:rPr>
        <w:t>2、法定代表人授权书或身份证明：提供法定代表人授权书（附法定代表人、被授权人身份证复印件）（法定代表人直接参加磋商，须提供法定代表人身份证明）；非法人单位参照执行；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3、供应商信用记录：供应商不得为“信用中国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临潼区桃源路83号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李建峰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02983873865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陕西寰瑞项目管理有限公司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陕西省西安市临潼区东关街21号建筑小区综合楼北单元5层南户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门哲西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18291933206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采购包1：543,080.00元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费金额以成交金额为基数参照国家计委颁发的《招标代理服务收费管理暂行办法》（计价格〔2002〕1980号）、国家发展改革委办公厅颁发的《关于招标代理服务收费有关问题的通知》（发改办价格〔2003〕857号）、《国家发展改革委关于降低部分建设项目收费标准规范收费行为等有关问题的通知》（发改价格〔2011〕534号）的有关规定执行； （2）招标代理服务费账户 户名：陕西寰瑞项目管理有限公司 开户行：中国工商银行股份有限公司西安临潼区支行 账号：3700029209200454460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西安市临潼区民政局</w:t>
      </w:r>
      <w:r>
        <w:rPr>
          <w:rFonts w:ascii="仿宋_GB2312" w:hAnsi="仿宋_GB2312" w:cs="仿宋_GB2312" w:eastAsia="仿宋_GB2312"/>
        </w:rPr>
        <w:t>和</w:t>
      </w:r>
      <w:r>
        <w:rPr>
          <w:rFonts w:ascii="仿宋_GB2312" w:hAnsi="仿宋_GB2312" w:cs="仿宋_GB2312" w:eastAsia="仿宋_GB2312"/>
        </w:rPr>
        <w:t>陕西寰瑞项目管理有限公司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陕西寰瑞项目管理有限公司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陕西寰瑞项目管理有限公司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按照采购文件要求及有关规定的要求执行；在实施过程中，如果国家或有关部门颁布了新的技术标准或规范，则供应商应采用新的标准或规范进行实施。</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联系人：门哲西</w:t>
      </w:r>
    </w:p>
    <w:p>
      <w:pPr>
        <w:pStyle w:val="null3"/>
      </w:pPr>
      <w:r>
        <w:rPr>
          <w:rFonts w:ascii="仿宋_GB2312" w:hAnsi="仿宋_GB2312" w:cs="仿宋_GB2312" w:eastAsia="仿宋_GB2312"/>
        </w:rPr>
        <w:t>联系电话：18291933206</w:t>
      </w:r>
    </w:p>
    <w:p>
      <w:pPr>
        <w:pStyle w:val="null3"/>
      </w:pPr>
      <w:r>
        <w:rPr>
          <w:rFonts w:ascii="仿宋_GB2312" w:hAnsi="仿宋_GB2312" w:cs="仿宋_GB2312" w:eastAsia="仿宋_GB2312"/>
        </w:rPr>
        <w:t>地址：陕西省西安市临潼区东关街21号建筑小区综合楼北单元5层南户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关于做好老年人意外伤害保险工作的通知》（市民发〔2025〕126号）及《关于做好2026年老年人意外伤害保险工作的通知》（临民发〔2026〕16号）文件精神，推进基本养老服务均衡优质供给，增强老年人及其家庭的抗风险能力，由政府出资给每位老人每年购买1份意外伤害保险，参保对象为为西安市临潼区户籍年满60周岁及以上老年人、在临潼居住的非本市户籍60周岁及以上老年人，以及享受“政府补贴人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543,080.00</w:t>
      </w:r>
    </w:p>
    <w:p>
      <w:pPr>
        <w:pStyle w:val="null3"/>
      </w:pPr>
      <w:r>
        <w:rPr>
          <w:rFonts w:ascii="仿宋_GB2312" w:hAnsi="仿宋_GB2312" w:cs="仿宋_GB2312" w:eastAsia="仿宋_GB2312"/>
        </w:rPr>
        <w:t>采购包最高限价（元）: 543,080.00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2026年老年人意外伤害保险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543,080.00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标的名称：2026年老年人意外伤害保险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一、项目概况</w:t>
            </w:r>
          </w:p>
          <w:p>
            <w:pPr>
              <w:pStyle w:val="null3"/>
              <w:ind w:firstLine="480"/>
            </w:pPr>
            <w:r>
              <w:rPr>
                <w:rFonts w:ascii="仿宋_GB2312" w:hAnsi="仿宋_GB2312" w:cs="仿宋_GB2312" w:eastAsia="仿宋_GB2312"/>
                <w:sz w:val="24"/>
              </w:rPr>
              <w:t>根据《关于做好老年人意外伤害保险工作的通知》（市民发〔</w:t>
            </w:r>
            <w:r>
              <w:rPr>
                <w:rFonts w:ascii="仿宋_GB2312" w:hAnsi="仿宋_GB2312" w:cs="仿宋_GB2312" w:eastAsia="仿宋_GB2312"/>
                <w:sz w:val="24"/>
              </w:rPr>
              <w:t>2025〕126号）及《关于做好2026年老年人意外伤害保险工作的通知》（临民发〔2026〕16号）文件精神，推进基本养老服务均衡优质供给，增强老年人及其家庭的抗风险能力，由政府出资给每位老人每年购买1份意外伤害保险，参保对象为为西安市临潼区户籍年满60周岁及以上老年人、在临潼居住的非本市户籍60周岁及以上老年人，以及享受“政府补贴人群”。</w:t>
            </w:r>
          </w:p>
          <w:p>
            <w:pPr>
              <w:pStyle w:val="null3"/>
            </w:pPr>
            <w:r>
              <w:rPr>
                <w:rFonts w:ascii="仿宋_GB2312" w:hAnsi="仿宋_GB2312" w:cs="仿宋_GB2312" w:eastAsia="仿宋_GB2312"/>
                <w:sz w:val="24"/>
                <w:b/>
                <w:color w:val="000000"/>
              </w:rPr>
              <w:t>二、服务内容</w:t>
            </w:r>
          </w:p>
          <w:p>
            <w:pPr>
              <w:pStyle w:val="null3"/>
            </w:pPr>
            <w:r>
              <w:rPr>
                <w:rFonts w:ascii="仿宋_GB2312" w:hAnsi="仿宋_GB2312" w:cs="仿宋_GB2312" w:eastAsia="仿宋_GB2312"/>
                <w:sz w:val="24"/>
                <w:b/>
                <w:color w:val="000000"/>
              </w:rPr>
              <w:t>1.服务内容</w:t>
            </w:r>
          </w:p>
          <w:tbl>
            <w:tblPr>
              <w:tblBorders>
                <w:top w:val="none" w:color="000000" w:sz="4"/>
                <w:left w:val="none" w:color="000000" w:sz="4"/>
                <w:bottom w:val="none" w:color="000000" w:sz="4"/>
                <w:right w:val="none" w:color="000000" w:sz="4"/>
                <w:insideH w:val="none"/>
                <w:insideV w:val="none"/>
              </w:tblBorders>
            </w:tblPr>
            <w:tblGrid>
              <w:gridCol w:w="555"/>
              <w:gridCol w:w="1005"/>
              <w:gridCol w:w="983"/>
            </w:tblGrid>
            <w:tr>
              <w:tc>
                <w:tcPr>
                  <w:tcW w:type="dxa" w:w="5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保险责任</w:t>
                  </w:r>
                </w:p>
              </w:tc>
              <w:tc>
                <w:tcPr>
                  <w:tcW w:type="dxa" w:w="10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参保人群</w:t>
                  </w:r>
                </w:p>
              </w:tc>
              <w:tc>
                <w:tcPr>
                  <w:tcW w:type="dxa" w:w="9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r>
            <w:tr>
              <w:tc>
                <w:tcPr>
                  <w:tcW w:type="dxa" w:w="5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老年人意外伤害保险</w:t>
                  </w:r>
                </w:p>
              </w:tc>
              <w:tc>
                <w:tcPr>
                  <w:tcW w:type="dxa" w:w="10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临潼区</w:t>
                  </w:r>
                  <w:r>
                    <w:rPr>
                      <w:rFonts w:ascii="仿宋_GB2312" w:hAnsi="仿宋_GB2312" w:cs="仿宋_GB2312" w:eastAsia="仿宋_GB2312"/>
                      <w:sz w:val="24"/>
                    </w:rPr>
                    <w:t>户籍年满</w:t>
                  </w:r>
                  <w:r>
                    <w:rPr>
                      <w:rFonts w:ascii="仿宋_GB2312" w:hAnsi="仿宋_GB2312" w:cs="仿宋_GB2312" w:eastAsia="仿宋_GB2312"/>
                      <w:sz w:val="24"/>
                    </w:rPr>
                    <w:t>60周岁及以上老年人、在</w:t>
                  </w:r>
                  <w:r>
                    <w:rPr>
                      <w:rFonts w:ascii="仿宋_GB2312" w:hAnsi="仿宋_GB2312" w:cs="仿宋_GB2312" w:eastAsia="仿宋_GB2312"/>
                      <w:sz w:val="24"/>
                    </w:rPr>
                    <w:t>临潼</w:t>
                  </w:r>
                  <w:r>
                    <w:rPr>
                      <w:rFonts w:ascii="仿宋_GB2312" w:hAnsi="仿宋_GB2312" w:cs="仿宋_GB2312" w:eastAsia="仿宋_GB2312"/>
                      <w:sz w:val="24"/>
                    </w:rPr>
                    <w:t>居住的非本市户籍</w:t>
                  </w:r>
                  <w:r>
                    <w:rPr>
                      <w:rFonts w:ascii="仿宋_GB2312" w:hAnsi="仿宋_GB2312" w:cs="仿宋_GB2312" w:eastAsia="仿宋_GB2312"/>
                      <w:sz w:val="24"/>
                    </w:rPr>
                    <w:t>60周岁及以上老年人，以及享受“政府补贴人群”。</w:t>
                  </w:r>
                </w:p>
              </w:tc>
              <w:tc>
                <w:tcPr>
                  <w:tcW w:type="dxa" w:w="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为</w:t>
                  </w:r>
                  <w:r>
                    <w:rPr>
                      <w:rFonts w:ascii="仿宋_GB2312" w:hAnsi="仿宋_GB2312" w:cs="仿宋_GB2312" w:eastAsia="仿宋_GB2312"/>
                      <w:sz w:val="24"/>
                      <w:color w:val="000000"/>
                    </w:rPr>
                    <w:t>27154</w:t>
                  </w:r>
                  <w:r>
                    <w:rPr>
                      <w:rFonts w:ascii="仿宋_GB2312" w:hAnsi="仿宋_GB2312" w:cs="仿宋_GB2312" w:eastAsia="仿宋_GB2312"/>
                      <w:sz w:val="24"/>
                      <w:color w:val="000000"/>
                    </w:rPr>
                    <w:t>人，保险费标准为每人不超过</w:t>
                  </w:r>
                  <w:r>
                    <w:rPr>
                      <w:rFonts w:ascii="仿宋_GB2312" w:hAnsi="仿宋_GB2312" w:cs="仿宋_GB2312" w:eastAsia="仿宋_GB2312"/>
                      <w:sz w:val="24"/>
                      <w:color w:val="000000"/>
                    </w:rPr>
                    <w:t>2</w:t>
                  </w:r>
                  <w:r>
                    <w:rPr>
                      <w:rFonts w:ascii="仿宋_GB2312" w:hAnsi="仿宋_GB2312" w:cs="仿宋_GB2312" w:eastAsia="仿宋_GB2312"/>
                      <w:sz w:val="24"/>
                      <w:color w:val="000000"/>
                    </w:rPr>
                    <w:t>0元/份。最终以实际参保人数为</w:t>
                  </w:r>
                  <w:r>
                    <w:rPr>
                      <w:rFonts w:ascii="仿宋_GB2312" w:hAnsi="仿宋_GB2312" w:cs="仿宋_GB2312" w:eastAsia="仿宋_GB2312"/>
                      <w:sz w:val="24"/>
                      <w:color w:val="000000"/>
                    </w:rPr>
                    <w:t>准。</w:t>
                  </w:r>
                </w:p>
              </w:tc>
            </w:tr>
          </w:tbl>
          <w:p>
            <w:pPr>
              <w:pStyle w:val="null3"/>
              <w:jc w:val="both"/>
            </w:pPr>
            <w:r>
              <w:rPr>
                <w:rFonts w:ascii="仿宋_GB2312" w:hAnsi="仿宋_GB2312" w:cs="仿宋_GB2312" w:eastAsia="仿宋_GB2312"/>
                <w:sz w:val="24"/>
                <w:b/>
                <w:color w:val="000000"/>
              </w:rPr>
              <w:t>2.保险责任</w:t>
            </w:r>
          </w:p>
          <w:tbl>
            <w:tblPr>
              <w:tblInd w:type="dxa" w:w="120"/>
              <w:tblBorders>
                <w:top w:val="none" w:color="000000" w:sz="4"/>
                <w:left w:val="none" w:color="000000" w:sz="4"/>
                <w:bottom w:val="none" w:color="000000" w:sz="4"/>
                <w:right w:val="none" w:color="000000" w:sz="4"/>
                <w:insideH w:val="none"/>
                <w:insideV w:val="none"/>
              </w:tblBorders>
            </w:tblPr>
            <w:tblGrid>
              <w:gridCol w:w="846"/>
              <w:gridCol w:w="686"/>
              <w:gridCol w:w="1010"/>
            </w:tblGrid>
            <w:tr>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保障范围</w:t>
                  </w:r>
                </w:p>
                <w:p>
                  <w:pPr>
                    <w:pStyle w:val="null3"/>
                    <w:jc w:val="center"/>
                  </w:pP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赔付标准</w:t>
                  </w:r>
                </w:p>
                <w:p>
                  <w:pPr>
                    <w:pStyle w:val="null3"/>
                    <w:jc w:val="center"/>
                  </w:pPr>
                </w:p>
              </w:tc>
              <w:tc>
                <w:tcPr>
                  <w:tcW w:type="dxa" w:w="10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保险金额</w:t>
                  </w:r>
                </w:p>
                <w:p>
                  <w:pPr>
                    <w:pStyle w:val="null3"/>
                    <w:jc w:val="center"/>
                  </w:p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意外身故保险金</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身故按保险金额一次性给付。</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 元</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意外伤害伤残保险金</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按伤残等级比例给付</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十级</w:t>
                  </w:r>
                  <w:r>
                    <w:rPr>
                      <w:rFonts w:ascii="仿宋_GB2312" w:hAnsi="仿宋_GB2312" w:cs="仿宋_GB2312" w:eastAsia="仿宋_GB2312"/>
                      <w:sz w:val="24"/>
                      <w:color w:val="000000"/>
                    </w:rPr>
                    <w:t>3000元、九级6000元、八级9000元、七级12000元六级15000元、五级18000元、四级21000元、三级24000元、二级27000元、一级30000元</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意外伤害医疗费用补助</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100元以下免赔;100元以上给付比例100%，不超过限额</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5000元</w:t>
                  </w:r>
                </w:p>
              </w:tc>
            </w:tr>
          </w:tbl>
          <w:p>
            <w:pPr>
              <w:pStyle w:val="null3"/>
              <w:jc w:val="both"/>
            </w:pPr>
            <w:r>
              <w:rPr>
                <w:rFonts w:ascii="仿宋_GB2312" w:hAnsi="仿宋_GB2312" w:cs="仿宋_GB2312" w:eastAsia="仿宋_GB2312"/>
                <w:sz w:val="24"/>
                <w:b/>
                <w:color w:val="000000"/>
              </w:rPr>
              <w:t>3.理赔事项</w:t>
            </w:r>
          </w:p>
          <w:p>
            <w:pPr>
              <w:pStyle w:val="null3"/>
              <w:ind w:firstLine="210"/>
              <w:jc w:val="both"/>
            </w:pPr>
            <w:r>
              <w:rPr>
                <w:rFonts w:ascii="仿宋_GB2312" w:hAnsi="仿宋_GB2312" w:cs="仿宋_GB2312" w:eastAsia="仿宋_GB2312"/>
                <w:sz w:val="24"/>
                <w:color w:val="000000"/>
              </w:rPr>
              <w:t>3.1理赔流程</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老年人发生意外事故后，通过保险公司客服热线，通知承保保险公司</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2）承保保险公司接到通知后，开展现场查勘和资料收集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承保保险公司完成理赔作业处理，并将赔款支付给受益人。</w:t>
            </w:r>
          </w:p>
          <w:p>
            <w:pPr>
              <w:pStyle w:val="null3"/>
              <w:ind w:firstLine="210"/>
              <w:jc w:val="both"/>
            </w:pPr>
            <w:r>
              <w:rPr>
                <w:rFonts w:ascii="仿宋_GB2312" w:hAnsi="仿宋_GB2312" w:cs="仿宋_GB2312" w:eastAsia="仿宋_GB2312"/>
                <w:sz w:val="24"/>
                <w:color w:val="000000"/>
              </w:rPr>
              <w:t>3.2理赔规则</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1）老年人发生意外伤害事件所产生的医疗费用，先由基本医疗保险按规定报销后，剩余部分有老年人意外伤害保险按照保险责任约定比例理赔；</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2）入住养老机构老年人发生意外伤害所产生的医疗费用理赔顺序为：基本医疗保险→养老机构综合责任保险→老年人意外伤害保险。</w:t>
            </w:r>
          </w:p>
          <w:p>
            <w:pPr>
              <w:pStyle w:val="null3"/>
              <w:ind w:firstLine="420"/>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、工作流程</w:t>
            </w:r>
          </w:p>
          <w:p>
            <w:pPr>
              <w:pStyle w:val="null3"/>
              <w:ind w:firstLine="420"/>
              <w:jc w:val="both"/>
            </w:pPr>
            <w:r>
              <w:rPr>
                <w:rFonts w:ascii="仿宋_GB2312" w:hAnsi="仿宋_GB2312" w:cs="仿宋_GB2312" w:eastAsia="仿宋_GB2312"/>
                <w:sz w:val="24"/>
                <w:color w:val="000000"/>
              </w:rPr>
              <w:t>(一)</w:t>
            </w:r>
            <w:r>
              <w:rPr>
                <w:rFonts w:ascii="仿宋_GB2312" w:hAnsi="仿宋_GB2312" w:cs="仿宋_GB2312" w:eastAsia="仿宋_GB2312"/>
                <w:sz w:val="24"/>
                <w:color w:val="000000"/>
              </w:rPr>
              <w:t>成交单位</w:t>
            </w:r>
            <w:r>
              <w:rPr>
                <w:rFonts w:ascii="仿宋_GB2312" w:hAnsi="仿宋_GB2312" w:cs="仿宋_GB2312" w:eastAsia="仿宋_GB2312"/>
                <w:sz w:val="24"/>
                <w:color w:val="000000"/>
              </w:rPr>
              <w:t>作为承接老年人意外伤害保险的承保机构，开展承保区域内政策宣传、现场勘查、事故跟踪、资</w:t>
            </w:r>
            <w:r>
              <w:rPr>
                <w:rFonts w:ascii="仿宋_GB2312" w:hAnsi="仿宋_GB2312" w:cs="仿宋_GB2312" w:eastAsia="仿宋_GB2312"/>
                <w:sz w:val="24"/>
                <w:color w:val="000000"/>
              </w:rPr>
              <w:t>料收集、审核单证、赔付方案、赔付资金兑现等工作。</w:t>
            </w:r>
          </w:p>
          <w:p>
            <w:pPr>
              <w:pStyle w:val="null3"/>
              <w:ind w:firstLine="420"/>
              <w:jc w:val="both"/>
            </w:pPr>
            <w:r>
              <w:rPr>
                <w:rFonts w:ascii="仿宋_GB2312" w:hAnsi="仿宋_GB2312" w:cs="仿宋_GB2312" w:eastAsia="仿宋_GB2312"/>
                <w:sz w:val="24"/>
                <w:color w:val="000000"/>
              </w:rPr>
              <w:t>(二)签订保险协议</w:t>
            </w:r>
          </w:p>
          <w:p>
            <w:pPr>
              <w:pStyle w:val="null3"/>
              <w:ind w:firstLine="420"/>
              <w:jc w:val="both"/>
            </w:pPr>
            <w:r>
              <w:rPr>
                <w:rFonts w:ascii="仿宋_GB2312" w:hAnsi="仿宋_GB2312" w:cs="仿宋_GB2312" w:eastAsia="仿宋_GB2312"/>
                <w:sz w:val="24"/>
                <w:color w:val="000000"/>
              </w:rPr>
              <w:t>“政府补贴人群”人员名单，由</w:t>
            </w:r>
            <w:r>
              <w:rPr>
                <w:rFonts w:ascii="仿宋_GB2312" w:hAnsi="仿宋_GB2312" w:cs="仿宋_GB2312" w:eastAsia="仿宋_GB2312"/>
                <w:sz w:val="24"/>
                <w:color w:val="000000"/>
              </w:rPr>
              <w:t>各街道办牵头确定，</w:t>
            </w:r>
            <w:r>
              <w:rPr>
                <w:rFonts w:ascii="仿宋_GB2312" w:hAnsi="仿宋_GB2312" w:cs="仿宋_GB2312" w:eastAsia="仿宋_GB2312"/>
                <w:sz w:val="24"/>
                <w:color w:val="000000"/>
              </w:rPr>
              <w:t>区民政局部门</w:t>
            </w:r>
            <w:r>
              <w:rPr>
                <w:rFonts w:ascii="仿宋_GB2312" w:hAnsi="仿宋_GB2312" w:cs="仿宋_GB2312" w:eastAsia="仿宋_GB2312"/>
                <w:sz w:val="24"/>
                <w:color w:val="000000"/>
              </w:rPr>
              <w:t>进行汇总</w:t>
            </w:r>
            <w:r>
              <w:rPr>
                <w:rFonts w:ascii="仿宋_GB2312" w:hAnsi="仿宋_GB2312" w:cs="仿宋_GB2312" w:eastAsia="仿宋_GB2312"/>
                <w:sz w:val="24"/>
                <w:color w:val="000000"/>
              </w:rPr>
              <w:t>，向承保本区域</w:t>
            </w:r>
            <w:r>
              <w:rPr>
                <w:rFonts w:ascii="仿宋_GB2312" w:hAnsi="仿宋_GB2312" w:cs="仿宋_GB2312" w:eastAsia="仿宋_GB2312"/>
                <w:sz w:val="24"/>
                <w:color w:val="000000"/>
              </w:rPr>
              <w:t>“政府补贴人群”的保险公司提供;承保保险公司以区为单位出具老年人团体意外伤害保险单。</w:t>
            </w:r>
          </w:p>
          <w:p>
            <w:pPr>
              <w:pStyle w:val="null3"/>
              <w:ind w:firstLine="420"/>
              <w:jc w:val="both"/>
            </w:pPr>
            <w:r>
              <w:rPr>
                <w:rFonts w:ascii="仿宋_GB2312" w:hAnsi="仿宋_GB2312" w:cs="仿宋_GB2312" w:eastAsia="仿宋_GB2312"/>
                <w:sz w:val="24"/>
                <w:color w:val="000000"/>
              </w:rPr>
              <w:t>在西安市临潼区居住的非</w:t>
            </w:r>
            <w:r>
              <w:rPr>
                <w:rFonts w:ascii="仿宋_GB2312" w:hAnsi="仿宋_GB2312" w:cs="仿宋_GB2312" w:eastAsia="仿宋_GB2312"/>
                <w:sz w:val="24"/>
                <w:color w:val="000000"/>
              </w:rPr>
              <w:t>“政府补贴人群”的人员承保，采取自愿原则，由承保保险公司负责收集资料并出具保单，享受同等的价格及理赔服务，保费自理。</w:t>
            </w:r>
          </w:p>
          <w:p>
            <w:pPr>
              <w:pStyle w:val="null3"/>
              <w:ind w:firstLine="420"/>
              <w:jc w:val="both"/>
            </w:pPr>
            <w:r>
              <w:rPr>
                <w:rFonts w:ascii="仿宋_GB2312" w:hAnsi="仿宋_GB2312" w:cs="仿宋_GB2312" w:eastAsia="仿宋_GB2312"/>
                <w:sz w:val="24"/>
                <w:color w:val="000000"/>
              </w:rPr>
              <w:t>(三)申请市级资金</w:t>
            </w:r>
          </w:p>
          <w:p>
            <w:pPr>
              <w:pStyle w:val="null3"/>
              <w:ind w:firstLine="420"/>
              <w:jc w:val="both"/>
            </w:pPr>
            <w:r>
              <w:rPr>
                <w:rFonts w:ascii="仿宋_GB2312" w:hAnsi="仿宋_GB2312" w:cs="仿宋_GB2312" w:eastAsia="仿宋_GB2312"/>
                <w:sz w:val="24"/>
                <w:color w:val="000000"/>
              </w:rPr>
              <w:t>“政府补贴人群”市级承担的补助资金，采取提前预下达和据实清算的方式实施。在每个保险期结束后，由区民政局向市民政局据实申报。</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四）发放投保告知单</w:t>
            </w:r>
          </w:p>
          <w:p>
            <w:pPr>
              <w:pStyle w:val="null3"/>
              <w:ind w:firstLine="420"/>
              <w:jc w:val="both"/>
            </w:pPr>
            <w:r>
              <w:rPr>
                <w:rFonts w:ascii="仿宋_GB2312" w:hAnsi="仿宋_GB2312" w:cs="仿宋_GB2312" w:eastAsia="仿宋_GB2312"/>
                <w:sz w:val="24"/>
                <w:color w:val="000000"/>
              </w:rPr>
              <w:t>由区民政局督促各承保保险公司印制《西安市老年人意外伤害保险投保告知单</w:t>
            </w:r>
            <w:r>
              <w:rPr>
                <w:rFonts w:ascii="仿宋_GB2312" w:hAnsi="仿宋_GB2312" w:cs="仿宋_GB2312" w:eastAsia="仿宋_GB2312"/>
                <w:sz w:val="24"/>
                <w:color w:val="000000"/>
              </w:rPr>
              <w:t>(政府补贴人群)》，各街道办事处、社区(村)将投保告知单发放给每位已投保“政府补贴人群”老年人。明确告知保险名称、保险责任、理赔流程等内容，确保老年人清晰知晓自身权益。</w:t>
            </w:r>
          </w:p>
          <w:p>
            <w:pPr>
              <w:pStyle w:val="null3"/>
              <w:jc w:val="both"/>
            </w:pPr>
            <w:r>
              <w:rPr>
                <w:rFonts w:ascii="仿宋_GB2312" w:hAnsi="仿宋_GB2312" w:cs="仿宋_GB2312" w:eastAsia="仿宋_GB2312"/>
                <w:sz w:val="24"/>
                <w:b/>
                <w:color w:val="000000"/>
              </w:rPr>
              <w:t>四、商务要求</w:t>
            </w:r>
          </w:p>
          <w:p>
            <w:pPr>
              <w:pStyle w:val="null3"/>
              <w:ind w:right="90" w:firstLine="670"/>
              <w:jc w:val="left"/>
            </w:pPr>
            <w:r>
              <w:rPr>
                <w:rFonts w:ascii="仿宋_GB2312" w:hAnsi="仿宋_GB2312" w:cs="仿宋_GB2312" w:eastAsia="仿宋_GB2312"/>
                <w:sz w:val="24"/>
                <w:color w:val="000000"/>
              </w:rPr>
              <w:t>1.服务地点：采购人指定地点。</w:t>
            </w:r>
          </w:p>
          <w:p>
            <w:pPr>
              <w:pStyle w:val="null3"/>
              <w:ind w:right="90" w:firstLine="670"/>
              <w:jc w:val="left"/>
            </w:pPr>
            <w:r>
              <w:rPr>
                <w:rFonts w:ascii="仿宋_GB2312" w:hAnsi="仿宋_GB2312" w:cs="仿宋_GB2312" w:eastAsia="仿宋_GB2312"/>
                <w:sz w:val="24"/>
                <w:color w:val="000000"/>
              </w:rPr>
              <w:t>2.服务期：自合同签订之日起至2026年12月31日二十四时止。</w:t>
            </w:r>
          </w:p>
          <w:p>
            <w:pPr>
              <w:pStyle w:val="null3"/>
              <w:ind w:right="90" w:firstLine="67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.支付保险缴费</w:t>
            </w:r>
          </w:p>
          <w:p>
            <w:pPr>
              <w:pStyle w:val="null3"/>
              <w:ind w:right="90" w:firstLine="670"/>
              <w:jc w:val="left"/>
            </w:pPr>
            <w:r>
              <w:rPr>
                <w:rFonts w:ascii="仿宋_GB2312" w:hAnsi="仿宋_GB2312" w:cs="仿宋_GB2312" w:eastAsia="仿宋_GB2312"/>
                <w:sz w:val="24"/>
                <w:color w:val="000000"/>
              </w:rPr>
              <w:t>“政府补贴人群”的保费，采取预付资金和据实结算相结合模式。</w:t>
            </w:r>
          </w:p>
          <w:p>
            <w:pPr>
              <w:pStyle w:val="null3"/>
              <w:ind w:right="75" w:firstLine="634"/>
              <w:jc w:val="left"/>
            </w:pPr>
            <w:r>
              <w:rPr>
                <w:rFonts w:ascii="仿宋_GB2312" w:hAnsi="仿宋_GB2312" w:cs="仿宋_GB2312" w:eastAsia="仿宋_GB2312"/>
                <w:sz w:val="24"/>
                <w:color w:val="000000"/>
              </w:rPr>
              <w:t>（一）在签订承保协议后，由区</w:t>
            </w:r>
            <w:r>
              <w:rPr>
                <w:rFonts w:ascii="仿宋_GB2312" w:hAnsi="仿宋_GB2312" w:cs="仿宋_GB2312" w:eastAsia="仿宋_GB2312"/>
                <w:sz w:val="24"/>
                <w:color w:val="000000"/>
              </w:rPr>
              <w:t>民政局</w:t>
            </w:r>
            <w:r>
              <w:rPr>
                <w:rFonts w:ascii="仿宋_GB2312" w:hAnsi="仿宋_GB2312" w:cs="仿宋_GB2312" w:eastAsia="仿宋_GB2312"/>
                <w:sz w:val="24"/>
                <w:color w:val="000000"/>
              </w:rPr>
              <w:t>将市级财政承担的补助资金和本级财政配套资金汇总，先向承保保险公司支付保险期全额保险费的</w:t>
            </w:r>
            <w:r>
              <w:rPr>
                <w:rFonts w:ascii="仿宋_GB2312" w:hAnsi="仿宋_GB2312" w:cs="仿宋_GB2312" w:eastAsia="仿宋_GB2312"/>
                <w:sz w:val="24"/>
                <w:color w:val="000000"/>
              </w:rPr>
              <w:t>50%；</w:t>
            </w:r>
          </w:p>
          <w:p>
            <w:pPr>
              <w:pStyle w:val="null3"/>
              <w:ind w:firstLine="631"/>
              <w:jc w:val="left"/>
            </w:pPr>
            <w:r>
              <w:rPr>
                <w:rFonts w:ascii="仿宋_GB2312" w:hAnsi="仿宋_GB2312" w:cs="仿宋_GB2312" w:eastAsia="仿宋_GB2312"/>
                <w:sz w:val="24"/>
                <w:color w:val="000000"/>
              </w:rPr>
              <w:t>（二）保险期结束后，根据当年理赔金额占保险费总额比例，确定保险费支付金额</w:t>
            </w:r>
            <w:r>
              <w:rPr>
                <w:rFonts w:ascii="仿宋_GB2312" w:hAnsi="仿宋_GB2312" w:cs="仿宋_GB2312" w:eastAsia="仿宋_GB2312"/>
                <w:sz w:val="24"/>
                <w:color w:val="000000"/>
              </w:rPr>
              <w:t>，</w:t>
            </w:r>
            <w:r>
              <w:rPr>
                <w:rFonts w:ascii="仿宋_GB2312" w:hAnsi="仿宋_GB2312" w:cs="仿宋_GB2312" w:eastAsia="仿宋_GB2312"/>
                <w:sz w:val="24"/>
                <w:color w:val="000000"/>
              </w:rPr>
              <w:t>具体标准如下：</w:t>
            </w:r>
          </w:p>
          <w:p>
            <w:pPr>
              <w:pStyle w:val="null3"/>
              <w:ind w:left="30" w:right="75" w:firstLine="639"/>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当年理赔金额占保险费总额比例</w:t>
            </w:r>
            <w:r>
              <w:rPr>
                <w:rFonts w:ascii="仿宋_GB2312" w:hAnsi="仿宋_GB2312" w:cs="仿宋_GB2312" w:eastAsia="仿宋_GB2312"/>
                <w:sz w:val="24"/>
                <w:color w:val="000000"/>
              </w:rPr>
              <w:t>≥80%时，全额支付保险费。</w:t>
            </w:r>
          </w:p>
          <w:p>
            <w:pPr>
              <w:pStyle w:val="null3"/>
              <w:ind w:left="30" w:right="75" w:firstLine="639"/>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当年理赔金额占保险费总额比例</w:t>
            </w:r>
            <w:r>
              <w:rPr>
                <w:rFonts w:ascii="仿宋_GB2312" w:hAnsi="仿宋_GB2312" w:cs="仿宋_GB2312" w:eastAsia="仿宋_GB2312"/>
                <w:sz w:val="24"/>
                <w:color w:val="000000"/>
              </w:rPr>
              <w:t>&lt;80%时，按“理赔金额×1.2”支付。</w:t>
            </w:r>
          </w:p>
          <w:p>
            <w:pPr>
              <w:pStyle w:val="null3"/>
              <w:spacing w:before="180"/>
              <w:ind w:firstLine="67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当年</w:t>
            </w:r>
            <w:r>
              <w:rPr>
                <w:rFonts w:ascii="仿宋_GB2312" w:hAnsi="仿宋_GB2312" w:cs="仿宋_GB2312" w:eastAsia="仿宋_GB2312"/>
                <w:sz w:val="24"/>
                <w:color w:val="000000"/>
              </w:rPr>
              <w:t>“理赔金额×1.2”不足全额保险费的50%的部分资金，</w:t>
            </w:r>
            <w:r>
              <w:rPr>
                <w:rFonts w:ascii="仿宋_GB2312" w:hAnsi="仿宋_GB2312" w:cs="仿宋_GB2312" w:eastAsia="仿宋_GB2312"/>
                <w:sz w:val="24"/>
                <w:color w:val="000000"/>
              </w:rPr>
              <w:t>承保保险公司返还民政部门。</w:t>
            </w:r>
          </w:p>
          <w:p>
            <w:pPr>
              <w:pStyle w:val="null3"/>
              <w:ind w:left="15" w:right="150" w:firstLine="648"/>
              <w:jc w:val="left"/>
            </w:pPr>
            <w:r>
              <w:rPr>
                <w:rFonts w:ascii="仿宋_GB2312" w:hAnsi="仿宋_GB2312" w:cs="仿宋_GB2312" w:eastAsia="仿宋_GB2312"/>
                <w:sz w:val="24"/>
                <w:color w:val="000000"/>
              </w:rPr>
              <w:t>4.当年实付保费与应付保费之间差额部分,保险公司自行承担处理。</w:t>
            </w:r>
          </w:p>
          <w:p>
            <w:pPr>
              <w:pStyle w:val="null3"/>
              <w:ind w:left="15" w:right="150" w:firstLine="648"/>
              <w:jc w:val="left"/>
            </w:pPr>
            <w:r>
              <w:rPr>
                <w:rFonts w:ascii="仿宋_GB2312" w:hAnsi="仿宋_GB2312" w:cs="仿宋_GB2312" w:eastAsia="仿宋_GB2312"/>
                <w:sz w:val="24"/>
                <w:b/>
                <w:color w:val="000000"/>
              </w:rPr>
              <w:t>注：因系统无法完整录入支付方式，故支付方式按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.支付保险缴费”执行。</w:t>
            </w:r>
          </w:p>
          <w:p>
            <w:pPr>
              <w:pStyle w:val="null3"/>
              <w:ind w:firstLine="420"/>
              <w:jc w:val="both"/>
            </w:pPr>
            <w:r>
              <w:rPr>
                <w:rFonts w:ascii="仿宋_GB2312" w:hAnsi="仿宋_GB2312" w:cs="仿宋_GB2312" w:eastAsia="仿宋_GB2312"/>
                <w:sz w:val="24"/>
                <w:b/>
                <w:color w:val="000000"/>
              </w:rPr>
              <w:t>五、服务要求</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1）培训服务</w:t>
            </w:r>
          </w:p>
          <w:p>
            <w:pPr>
              <w:pStyle w:val="null3"/>
              <w:ind w:firstLine="420"/>
              <w:jc w:val="both"/>
            </w:pPr>
            <w:r>
              <w:rPr>
                <w:rFonts w:ascii="仿宋_GB2312" w:hAnsi="仿宋_GB2312" w:cs="仿宋_GB2312" w:eastAsia="仿宋_GB2312"/>
                <w:sz w:val="24"/>
                <w:color w:val="000000"/>
              </w:rPr>
              <w:t>在保险期限内，承保单位负责举办至少两次保险知识和风险管理培训，以提供被保险人相关人员的安全意识和防灾防损技能。培训时发生的场地费、住宿费、餐饮费及接待费用由承保单位承担。具体举办时间和地点，由承保单位及投保人共同协商确定。培训计划及内容：</w:t>
            </w:r>
          </w:p>
          <w:p>
            <w:pPr>
              <w:pStyle w:val="null3"/>
              <w:ind w:firstLine="42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签订保险合同一周之内</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保险条款及合同讲解</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签订保险合同</w:t>
            </w:r>
            <w:r>
              <w:rPr>
                <w:rFonts w:ascii="仿宋_GB2312" w:hAnsi="仿宋_GB2312" w:cs="仿宋_GB2312" w:eastAsia="仿宋_GB2312"/>
                <w:sz w:val="24"/>
                <w:color w:val="000000"/>
              </w:rPr>
              <w:t>3个月之内</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索赔流程及要点介绍</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签订保险合同半年之内</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风险防范及灾后自救</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2）组织实施回访服务</w:t>
            </w:r>
          </w:p>
          <w:p>
            <w:pPr>
              <w:pStyle w:val="null3"/>
              <w:ind w:firstLine="420"/>
              <w:jc w:val="both"/>
            </w:pPr>
            <w:r>
              <w:rPr>
                <w:rFonts w:ascii="仿宋_GB2312" w:hAnsi="仿宋_GB2312" w:cs="仿宋_GB2312" w:eastAsia="仿宋_GB2312"/>
                <w:sz w:val="24"/>
                <w:color w:val="000000"/>
              </w:rPr>
              <w:t>在保单有效期内，由承保单位负责组织项目小组定期以电话沟通、登门回访或慰问走访等多种灵活形式收集客户反馈意见。</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3）建立联席会议制度</w:t>
            </w:r>
          </w:p>
          <w:p>
            <w:pPr>
              <w:pStyle w:val="null3"/>
              <w:ind w:firstLine="420"/>
              <w:jc w:val="both"/>
            </w:pPr>
            <w:r>
              <w:rPr>
                <w:rFonts w:ascii="仿宋_GB2312" w:hAnsi="仿宋_GB2312" w:cs="仿宋_GB2312" w:eastAsia="仿宋_GB2312"/>
                <w:sz w:val="24"/>
                <w:color w:val="000000"/>
              </w:rPr>
              <w:t>承保单位负责每半年联合组织一次由承保公司、有关被保险人代表和民政相关领导参加的联席会议</w:t>
            </w:r>
            <w:r>
              <w:rPr>
                <w:rFonts w:ascii="仿宋_GB2312" w:hAnsi="仿宋_GB2312" w:cs="仿宋_GB2312" w:eastAsia="仿宋_GB2312"/>
                <w:sz w:val="24"/>
                <w:color w:val="000000"/>
              </w:rPr>
              <w:t>(费用由承保单位承担)，通报保险承保、理赔与其他服务情况，就有关问题进行沟通与协商。</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4）承保理赔报表</w:t>
            </w:r>
          </w:p>
          <w:p>
            <w:pPr>
              <w:pStyle w:val="null3"/>
              <w:ind w:firstLine="420"/>
              <w:jc w:val="both"/>
            </w:pPr>
            <w:r>
              <w:rPr>
                <w:rFonts w:ascii="仿宋_GB2312" w:hAnsi="仿宋_GB2312" w:cs="仿宋_GB2312" w:eastAsia="仿宋_GB2312"/>
                <w:sz w:val="24"/>
                <w:color w:val="000000"/>
              </w:rPr>
              <w:t>承保单位应当在每季度结束后的</w:t>
            </w:r>
            <w:r>
              <w:rPr>
                <w:rFonts w:ascii="仿宋_GB2312" w:hAnsi="仿宋_GB2312" w:cs="仿宋_GB2312" w:eastAsia="仿宋_GB2312"/>
                <w:sz w:val="24"/>
                <w:color w:val="000000"/>
              </w:rPr>
              <w:t>10个工作日内向民政局主管部门提交上季度保险承保和理赔报表(具体报表格式由民政局主管部门与承保单位共同商定)。</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5）重大自然灾害预警机制</w:t>
            </w:r>
          </w:p>
          <w:p>
            <w:pPr>
              <w:pStyle w:val="null3"/>
              <w:ind w:firstLine="420"/>
              <w:jc w:val="both"/>
            </w:pPr>
            <w:r>
              <w:rPr>
                <w:rFonts w:ascii="仿宋_GB2312" w:hAnsi="仿宋_GB2312" w:cs="仿宋_GB2312" w:eastAsia="仿宋_GB2312"/>
                <w:sz w:val="24"/>
                <w:color w:val="000000"/>
              </w:rPr>
              <w:t>承保单位应主动向客户提供具备重大自然灾害预警信息，即在</w:t>
            </w:r>
            <w:r>
              <w:rPr>
                <w:rFonts w:ascii="仿宋_GB2312" w:hAnsi="仿宋_GB2312" w:cs="仿宋_GB2312" w:eastAsia="仿宋_GB2312"/>
                <w:sz w:val="24"/>
                <w:color w:val="000000"/>
              </w:rPr>
              <w:t>大</w:t>
            </w:r>
            <w:r>
              <w:rPr>
                <w:rFonts w:ascii="仿宋_GB2312" w:hAnsi="仿宋_GB2312" w:cs="仿宋_GB2312" w:eastAsia="仿宋_GB2312"/>
                <w:sz w:val="24"/>
                <w:color w:val="000000"/>
              </w:rPr>
              <w:t>风、暴雨、大雾、大雪、高温等恶劣天气来临前</w:t>
            </w:r>
            <w:r>
              <w:rPr>
                <w:rFonts w:ascii="仿宋_GB2312" w:hAnsi="仿宋_GB2312" w:cs="仿宋_GB2312" w:eastAsia="仿宋_GB2312"/>
                <w:sz w:val="24"/>
                <w:color w:val="000000"/>
              </w:rPr>
              <w:t>48小时，自动向VIP客户发送灾害预警短信，提醒客户做好防损工作。对于可能出现的重大气象情况，承保单位客服人员立即通过后援中心的短信服务平台将预警信息第一时间发送到客户手中。短信内容包括气象跟踪实时信息、灾害前的防范措施、灾害中的应急措施和灾后的紧急抢救措施和相关注意事项。在向客户发送重大自然灾害预警短信的同时，承保单位内部将立即启动应急预案，按照应急预案组成应急指挥中心，统一调度协调，组成重大灾害调度小组、现场查勘小组、定损小组、核算小组、理赔小组、后勤保障小组等。</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6）第三方责任事故法律援助</w:t>
            </w:r>
          </w:p>
          <w:p>
            <w:pPr>
              <w:pStyle w:val="null3"/>
              <w:ind w:firstLine="420"/>
              <w:jc w:val="both"/>
            </w:pPr>
            <w:r>
              <w:rPr>
                <w:rFonts w:ascii="仿宋_GB2312" w:hAnsi="仿宋_GB2312" w:cs="仿宋_GB2312" w:eastAsia="仿宋_GB2312"/>
                <w:sz w:val="24"/>
                <w:color w:val="000000"/>
              </w:rPr>
              <w:t>对于因保险事故产生的第三者纠纷，如被保险人有需求，承保单位应在事故发生之初就及时介入调解处理，为被保险人提供处理建议，防止事件扩大，并提供无偿的法律咨询服务。</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承保单位宣传到位，利用多种方式宣传发动，让全社会充分认识老年人意外伤害保险是经济社会发展和人口老龄化发展的客观要求，充分发挥自身优势，利用网点覆盖广泛、服务队伍专业性强等特点，采取短信提醒、制发一人一张的承保明白卡、张贴宣传单、微信公众号等方式，借助各类媒体手段和宣传平台，面向全社会开展形式多样、内容丰富的宣传活动，提高社会各界对老年人意外伤害保险的认知度和关注度。</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8）服务保证</w:t>
            </w:r>
          </w:p>
          <w:p>
            <w:pPr>
              <w:pStyle w:val="null3"/>
              <w:ind w:firstLine="420"/>
              <w:jc w:val="both"/>
            </w:pPr>
            <w:r>
              <w:rPr>
                <w:rFonts w:ascii="仿宋_GB2312" w:hAnsi="仿宋_GB2312" w:cs="仿宋_GB2312" w:eastAsia="仿宋_GB2312"/>
                <w:sz w:val="24"/>
                <w:color w:val="000000"/>
              </w:rPr>
              <w:t>①制度保证</w:t>
            </w:r>
          </w:p>
          <w:p>
            <w:pPr>
              <w:pStyle w:val="null3"/>
              <w:ind w:firstLine="420"/>
              <w:jc w:val="both"/>
            </w:pPr>
            <w:r>
              <w:rPr>
                <w:rFonts w:ascii="仿宋_GB2312" w:hAnsi="仿宋_GB2312" w:cs="仿宋_GB2312" w:eastAsia="仿宋_GB2312"/>
                <w:sz w:val="24"/>
                <w:color w:val="000000"/>
              </w:rPr>
              <w:t>一旦中标成为承保人，承保单位将以红头文件或者工作通知书将服务计划和承保条件公布在内部网并邮件通知各分支机构，各分支机构按照文件及市政府关于老年人意外伤害保险项目相关要求与相关单位取得联络，以便开展保险服务工作。</w:t>
            </w:r>
          </w:p>
          <w:p>
            <w:pPr>
              <w:pStyle w:val="null3"/>
              <w:ind w:firstLine="420"/>
              <w:jc w:val="both"/>
            </w:pPr>
            <w:r>
              <w:rPr>
                <w:rFonts w:ascii="仿宋_GB2312" w:hAnsi="仿宋_GB2312" w:cs="仿宋_GB2312" w:eastAsia="仿宋_GB2312"/>
                <w:sz w:val="24"/>
                <w:color w:val="000000"/>
              </w:rPr>
              <w:t>②优秀的再保险保证</w:t>
            </w:r>
          </w:p>
          <w:p>
            <w:pPr>
              <w:pStyle w:val="null3"/>
              <w:ind w:firstLine="420"/>
              <w:jc w:val="both"/>
            </w:pPr>
            <w:r>
              <w:rPr>
                <w:rFonts w:ascii="仿宋_GB2312" w:hAnsi="仿宋_GB2312" w:cs="仿宋_GB2312" w:eastAsia="仿宋_GB2312"/>
                <w:sz w:val="24"/>
                <w:color w:val="000000"/>
              </w:rPr>
              <w:t>承保单位要积极与高标准的再保险公司合作，加强企业实力和承保能力。</w:t>
            </w:r>
          </w:p>
          <w:p>
            <w:pPr>
              <w:pStyle w:val="null3"/>
              <w:ind w:firstLine="420"/>
              <w:jc w:val="both"/>
            </w:pPr>
            <w:r>
              <w:rPr>
                <w:rFonts w:ascii="仿宋_GB2312" w:hAnsi="仿宋_GB2312" w:cs="仿宋_GB2312" w:eastAsia="仿宋_GB2312"/>
                <w:sz w:val="24"/>
                <w:color w:val="000000"/>
              </w:rPr>
              <w:t>③出色的网络服务平台</w:t>
            </w:r>
          </w:p>
          <w:p>
            <w:pPr>
              <w:pStyle w:val="null3"/>
              <w:ind w:firstLine="420"/>
              <w:jc w:val="both"/>
            </w:pPr>
            <w:r>
              <w:rPr>
                <w:rFonts w:ascii="仿宋_GB2312" w:hAnsi="仿宋_GB2312" w:cs="仿宋_GB2312" w:eastAsia="仿宋_GB2312"/>
                <w:sz w:val="24"/>
                <w:color w:val="000000"/>
              </w:rPr>
              <w:t>承保单位应具备功能强大的网络平台，可以为客户提供专业化的产品和服务。</w:t>
            </w:r>
          </w:p>
          <w:p>
            <w:pPr>
              <w:pStyle w:val="null3"/>
              <w:ind w:firstLine="420"/>
              <w:jc w:val="both"/>
            </w:pPr>
            <w:r>
              <w:rPr>
                <w:rFonts w:ascii="仿宋_GB2312" w:hAnsi="仿宋_GB2312" w:cs="仿宋_GB2312" w:eastAsia="仿宋_GB2312"/>
                <w:sz w:val="24"/>
                <w:color w:val="000000"/>
              </w:rPr>
              <w:t>④专业的服务团队</w:t>
            </w:r>
          </w:p>
          <w:p>
            <w:pPr>
              <w:pStyle w:val="null3"/>
              <w:ind w:firstLine="420"/>
              <w:jc w:val="both"/>
            </w:pPr>
            <w:r>
              <w:rPr>
                <w:rFonts w:ascii="仿宋_GB2312" w:hAnsi="仿宋_GB2312" w:cs="仿宋_GB2312" w:eastAsia="仿宋_GB2312"/>
                <w:sz w:val="24"/>
                <w:color w:val="000000"/>
              </w:rPr>
              <w:t>承保单位应设有</w:t>
            </w:r>
            <w:r>
              <w:rPr>
                <w:rFonts w:ascii="仿宋_GB2312" w:hAnsi="仿宋_GB2312" w:cs="仿宋_GB2312" w:eastAsia="仿宋_GB2312"/>
                <w:sz w:val="24"/>
                <w:color w:val="000000"/>
              </w:rPr>
              <w:t>24小时热线客户咨询服务、投诉举报电话，安排专人接听、记录、受理；本着“专业、稳定、热诚、差异”的原则，承保单位应为本项目按照最优等客户服务模式组建专属服务团队，构建与实际服务能力相适应的多级服务体系。</w:t>
            </w:r>
          </w:p>
          <w:p>
            <w:pPr>
              <w:pStyle w:val="null3"/>
              <w:ind w:firstLine="420"/>
              <w:jc w:val="both"/>
            </w:pPr>
            <w:r>
              <w:rPr>
                <w:rFonts w:ascii="仿宋_GB2312" w:hAnsi="仿宋_GB2312" w:cs="仿宋_GB2312" w:eastAsia="仿宋_GB2312"/>
                <w:sz w:val="24"/>
                <w:color w:val="000000"/>
              </w:rPr>
              <w:t>⑤监督和控制</w:t>
            </w:r>
          </w:p>
          <w:p>
            <w:pPr>
              <w:pStyle w:val="null3"/>
              <w:ind w:firstLine="420"/>
              <w:jc w:val="both"/>
            </w:pPr>
            <w:r>
              <w:rPr>
                <w:rFonts w:ascii="仿宋_GB2312" w:hAnsi="仿宋_GB2312" w:cs="仿宋_GB2312" w:eastAsia="仿宋_GB2312"/>
                <w:sz w:val="24"/>
                <w:color w:val="000000"/>
              </w:rPr>
              <w:t>保险服务的承诺如何落实在于对服务的跟踪及监督，承保单位应对各下属机构的保险服务建立跟踪监督机制，具体将从以下几个方面着手：</w:t>
            </w:r>
          </w:p>
          <w:p>
            <w:pPr>
              <w:pStyle w:val="null3"/>
              <w:ind w:firstLine="42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日常跟踪及沟通：每月将与民政局相关部门沟通，了解下属机构的服务评价以及产生的相关问题；</w:t>
            </w:r>
          </w:p>
          <w:p>
            <w:pPr>
              <w:pStyle w:val="null3"/>
              <w:ind w:firstLine="42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每季度向西安市老年人意外伤害保险主管单位发送《保险公司服务质量调查问卷》，了解承保单位及其下属企业的季度工作评价，以便发现问题、改进工作及提高服务水平；</w:t>
            </w:r>
          </w:p>
          <w:p>
            <w:pPr>
              <w:pStyle w:val="null3"/>
              <w:ind w:firstLine="42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对于承保及理赔工作，承保单位通过强大的</w:t>
            </w:r>
            <w:r>
              <w:rPr>
                <w:rFonts w:ascii="仿宋_GB2312" w:hAnsi="仿宋_GB2312" w:cs="仿宋_GB2312" w:eastAsia="仿宋_GB2312"/>
                <w:sz w:val="24"/>
                <w:color w:val="000000"/>
              </w:rPr>
              <w:t>IT系统进行检测、跟进和监督，依托IT系统能保证提出准确的承保、理赔清单；</w:t>
            </w:r>
          </w:p>
          <w:p>
            <w:pPr>
              <w:pStyle w:val="null3"/>
              <w:ind w:firstLine="42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客户联络电话中心应具备客户投诉渠道，有效对被保险人投诉事件进行统计和反馈；</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惩罚制度：承保单位有专门部门负责对机构经营、服务进行判定，根据问题严重程度有红、黄、蓝牌处罚制度。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自合同签订之日起至2026年12月31日二十四时止。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 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其他，保险期结束后，根据当年理赔金额占保险费总额比例，理赔金额占比≥80%，达到付款条件起30个工作日内，支付合同总金额的50.0%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1、本项目为非专门面向中小企业采购。 2、本项目属性：服务类；本项目采购标的所属行业为：其他未列明行业。（按照《工信部 国家统计局 发改委 财政部 工信部联企业》中小企业划型标准（〔2011〕300号）规定：从业人员300人以下的为中小微型企业。其中，从业人员100人及以上的为中型企业；从业人员10人及以上的为小型企业；从业人员10人以下的为微型企业。 3、成交供应商在成交结果发布后3个工作日内无偿向代理机构提供纸质版响应文件二套，电子U盘二个（U盘内容包括Word版本、与系统上传后导出完全一致的PDF版响应文件）。 4、分公司参与投标必须获得总公司的明确授权，授权应列明授权范围、期限等关键内容，确保分公司在授权范围内依法开展投标业务。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供应商应提供行业主管部门颁发的保险许可证或金融许可证(同一保险机构只允许其本部或一家分支机构参与）；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（2）响应文件格式：符合磋商文件“第七章 响应文件格式”的规定； （3）报价唯一：只能有一个有效报价，不得提交选择性报价，且报价不超过磋商文件规定的采购预算金额。</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供应商资格证明文件.docx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1.培训服务（3分）：培训次数≥2次，计划含时间/地点/内容/受众；满足最低标准2次的基础上每增加1次得1分，最高得3分，内容不全不加分。 2.回访机制（3分）：每季度≥1次电话/登门回访，有记录；频次满足最低标准1次的基础上每增加1次得1分，最高得3分，无记录不加分。 3.联席会议（3分）：每半年1次（民政局+承保方+养老机构），有纪要；频次满足最低标准半年1次的基础上每增加1次得1分，最高得3分，未组织纪要不全不得分。 4.报表提交（3分）：每季度结束后10个工作日内提交上季度理赔报表得2分；提前1个工作日加1分。 5.法律援助（1分）：事故纠纷提供无偿咨询的1分；未承诺不得分。 6. 宣传服务（2分）：多种方式（短信/公众号/手册等），多种方式得2分；方式单一得1分，无计划不得分。 注：以上内容响应方式不局限于承诺、内容描述或者其他证明材料描述。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风险综合评级</w:t>
            </w:r>
          </w:p>
        </w:tc>
        <w:tc>
          <w:tcPr>
            <w:tcW w:type="dxa" w:w="2492"/>
          </w:tcPr>
          <w:p>
            <w:pPr>
              <w:pStyle w:val="null3"/>
            </w:pPr>
            <w:r>
              <w:rPr>
                <w:rFonts w:ascii="仿宋_GB2312" w:hAnsi="仿宋_GB2312" w:cs="仿宋_GB2312" w:eastAsia="仿宋_GB2312"/>
              </w:rPr>
              <w:t>风险综合评级：供应商所属总公司近两年（2024-2025年）风险综合评级情况，按每个季度风险综合评级（分类监管）评价得分，每获得一次A的，得1分；每获得一次B的，得0.5分；C、D不得分，满分8分。（提供供应商所属总公司风险综合评级相关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偿付能力</w:t>
            </w:r>
          </w:p>
        </w:tc>
        <w:tc>
          <w:tcPr>
            <w:tcW w:type="dxa" w:w="2492"/>
          </w:tcPr>
          <w:p>
            <w:pPr>
              <w:pStyle w:val="null3"/>
            </w:pPr>
            <w:r>
              <w:rPr>
                <w:rFonts w:ascii="仿宋_GB2312" w:hAnsi="仿宋_GB2312" w:cs="仿宋_GB2312" w:eastAsia="仿宋_GB2312"/>
              </w:rPr>
              <w:t>偿付能力充足率：供应商应提供上一年度经第三方审计机构出具的偿付能力报告，综合偿付能力 200%及以上计7分，综合偿付能力 150%(含)-200%计5分，综合偿付能力100%(含)-150%计3分。综合偿付能力低于100%不计分（未提供经第三方机构审计的年度末偿付能力报告不计分）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针对本项目提供详细的服务方案； 包括：①承保服务、理赔服务手续； ②具有完整成套的理赔措施，理赔措施详尽合理，并具有方便、快捷的特点；③对责任事故处理有明确的理赔时效； ④供应商提供上门和其他便捷理赔服务方案；⑤对被保险人提供理赔材料有欠缺的协助处理方案，提供相关方案；⑥供应商应对投保人（被保险人）提供合理的、覆盖面广的培训与宣传方案，确保投保人（被保险人）充分理解保险、理赔流程等，并加大媒体宣传，开展形式多样内容丰富的宣传活动；⑦供应商针对本项目提供管理制度方案，包括但不限于保险理赔管理制度、人员管理制度、用户投诉受理制度、档案管理。 二、赋分标准：每缺少上述一项内容扣5分；各项：①内容完整全面、科学合理、可操作性强，完全满足采购人需求得5分； ②内容全面，可操作性较强，基本满足采购人需求得4分； ③内容基本完善，可操作性一般得3分； ④内容简单，空泛得2分； ⑤内容有缺漏，不能满足采购人需求得1分； ⑥此项未提供者不计分。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拟投入的团队人员</w:t>
            </w:r>
          </w:p>
        </w:tc>
        <w:tc>
          <w:tcPr>
            <w:tcW w:type="dxa" w:w="2492"/>
          </w:tcPr>
          <w:p>
            <w:pPr>
              <w:pStyle w:val="null3"/>
            </w:pPr>
            <w:r>
              <w:rPr>
                <w:rFonts w:ascii="仿宋_GB2312" w:hAnsi="仿宋_GB2312" w:cs="仿宋_GB2312" w:eastAsia="仿宋_GB2312"/>
              </w:rPr>
              <w:t>包括但不限于(1)承保(2)理赔(3)风险管理(4)协调沟通等不同专业能力和职能的人员且从业时间不少于3年（提供相关证明资料）；每提供一名资料齐全的团队人员得1分，最高得5分。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提供2023年8月1日至今类似项目业绩，每个业绩计3 分，满分 15 分。（业绩资料提供合同复印件，复印件加盖公章。以合同签订日期为准。）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2.满足磋商文件实质性要求且最终报价最低的供应商的价格为磋商基准价，其价格分为满分15分。 3.磋商报价得分=（磋商基准价/最终磋商报价）×15的公式计算得分。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